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100965</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169545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23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23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Washington, D.C. 20549</w:t>
      </w:r>
    </w:p>
    <w:p>
      <w:pPr>
        <w:spacing w:after="0" w:line="187" w:lineRule="exact"/>
        <w:rPr>
          <w:sz w:val="24"/>
          <w:szCs w:val="24"/>
          <w:color w:val="auto"/>
        </w:rPr>
      </w:pPr>
    </w:p>
    <w:p>
      <w:pPr>
        <w:jc w:val="center"/>
        <w:ind w:right="-199"/>
        <w:spacing w:after="0"/>
        <w:rPr>
          <w:sz w:val="20"/>
          <w:szCs w:val="20"/>
          <w:color w:val="auto"/>
        </w:rPr>
      </w:pPr>
      <w:r>
        <w:rPr>
          <w:rFonts w:ascii="Arial" w:cs="Arial" w:eastAsia="Arial" w:hAnsi="Arial"/>
          <w:sz w:val="25"/>
          <w:szCs w:val="25"/>
          <w:b w:val="1"/>
          <w:bCs w:val="1"/>
          <w:color w:val="auto"/>
        </w:rPr>
        <w:t>SCHEDULE 14A</w:t>
      </w:r>
    </w:p>
    <w:p>
      <w:pPr>
        <w:spacing w:after="0" w:line="34"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Proxy Statement Pursuant to Section 14(a)</w:t>
      </w:r>
    </w:p>
    <w:p>
      <w:pPr>
        <w:spacing w:after="0" w:line="7" w:lineRule="exact"/>
        <w:rPr>
          <w:sz w:val="24"/>
          <w:szCs w:val="24"/>
          <w:color w:val="auto"/>
        </w:rPr>
      </w:pPr>
    </w:p>
    <w:p>
      <w:pPr>
        <w:jc w:val="center"/>
        <w:ind w:right="-219"/>
        <w:spacing w:after="0"/>
        <w:tabs>
          <w:tab w:leader="none" w:pos="300" w:val="left"/>
        </w:tabs>
        <w:rPr>
          <w:sz w:val="20"/>
          <w:szCs w:val="20"/>
          <w:color w:val="auto"/>
        </w:rPr>
      </w:pPr>
      <w:r>
        <w:rPr>
          <w:rFonts w:ascii="Arial" w:cs="Arial" w:eastAsia="Arial" w:hAnsi="Arial"/>
          <w:sz w:val="17"/>
          <w:szCs w:val="17"/>
          <w:b w:val="1"/>
          <w:bCs w:val="1"/>
          <w:color w:val="auto"/>
        </w:rPr>
        <w:t>of the Securities Exchange Act of 1934 (Amendment No.</w:t>
      </w:r>
      <w:r>
        <w:rPr>
          <w:sz w:val="20"/>
          <w:szCs w:val="20"/>
          <w:color w:val="auto"/>
        </w:rPr>
        <w:tab/>
      </w:r>
      <w:r>
        <w:rPr>
          <w:rFonts w:ascii="Arial" w:cs="Arial" w:eastAsia="Arial" w:hAnsi="Arial"/>
          <w:sz w:val="18"/>
          <w:szCs w:val="18"/>
          <w:b w:val="1"/>
          <w:bCs w:val="1"/>
          <w:color w:val="auto"/>
        </w:rPr>
        <w:t>)</w:t>
      </w:r>
    </w:p>
    <w:p>
      <w:pPr>
        <w:spacing w:after="0" w:line="17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5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6"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42" w:lineRule="exact"/>
        <w:rPr>
          <w:sz w:val="24"/>
          <w:szCs w:val="24"/>
          <w:color w:val="auto"/>
        </w:rPr>
      </w:pPr>
    </w:p>
    <w:p>
      <w:pPr>
        <w:ind w:left="440" w:hanging="252"/>
        <w:spacing w:after="0"/>
        <w:tabs>
          <w:tab w:leader="none" w:pos="44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98" w:lineRule="exact"/>
        <w:rPr>
          <w:rFonts w:ascii="MS PGothic" w:cs="MS PGothic" w:eastAsia="MS PGothic" w:hAnsi="MS PGothic"/>
          <w:sz w:val="18"/>
          <w:szCs w:val="18"/>
          <w:color w:val="auto"/>
        </w:rPr>
      </w:pPr>
    </w:p>
    <w:p>
      <w:pPr>
        <w:ind w:left="440" w:hanging="252"/>
        <w:spacing w:after="0"/>
        <w:tabs>
          <w:tab w:leader="none" w:pos="44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198" w:lineRule="exact"/>
        <w:rPr>
          <w:rFonts w:ascii="MS PGothic" w:cs="MS PGothic" w:eastAsia="MS PGothic" w:hAnsi="MS PGothic"/>
          <w:sz w:val="18"/>
          <w:szCs w:val="18"/>
          <w:color w:val="auto"/>
        </w:rPr>
      </w:pPr>
    </w:p>
    <w:p>
      <w:pPr>
        <w:ind w:left="440" w:hanging="25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98" w:lineRule="exact"/>
        <w:rPr>
          <w:rFonts w:ascii="MS PGothic" w:cs="MS PGothic" w:eastAsia="MS PGothic" w:hAnsi="MS PGothic"/>
          <w:sz w:val="18"/>
          <w:szCs w:val="18"/>
          <w:color w:val="auto"/>
        </w:rPr>
      </w:pPr>
    </w:p>
    <w:p>
      <w:pPr>
        <w:ind w:left="440" w:hanging="252"/>
        <w:spacing w:after="0"/>
        <w:tabs>
          <w:tab w:leader="none" w:pos="44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98" w:lineRule="exact"/>
        <w:rPr>
          <w:rFonts w:ascii="MS PGothic" w:cs="MS PGothic" w:eastAsia="MS PGothic" w:hAnsi="MS PGothic"/>
          <w:sz w:val="18"/>
          <w:szCs w:val="18"/>
          <w:color w:val="auto"/>
        </w:rPr>
      </w:pPr>
    </w:p>
    <w:p>
      <w:pPr>
        <w:ind w:left="440" w:hanging="252"/>
        <w:spacing w:after="0"/>
        <w:tabs>
          <w:tab w:leader="none" w:pos="44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Section 240.14a-12</w:t>
      </w:r>
    </w:p>
    <w:p>
      <w:pPr>
        <w:spacing w:after="0" w:line="306"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AMERICAN FINANCIAL GROUP, INC.</w:t>
      </w:r>
    </w:p>
    <w:p>
      <w:pPr>
        <w:spacing w:after="0" w:line="31" w:lineRule="exact"/>
        <w:rPr>
          <w:sz w:val="24"/>
          <w:szCs w:val="24"/>
          <w:color w:val="auto"/>
        </w:rPr>
      </w:pPr>
    </w:p>
    <w:p>
      <w:pPr>
        <w:ind w:left="1400"/>
        <w:spacing w:after="0"/>
        <w:rPr>
          <w:sz w:val="20"/>
          <w:szCs w:val="20"/>
          <w:color w:val="auto"/>
        </w:rPr>
      </w:pPr>
      <w:r>
        <w:rPr>
          <w:rFonts w:ascii="Arial" w:cs="Arial" w:eastAsia="Arial" w:hAnsi="Arial"/>
          <w:sz w:val="14"/>
          <w:szCs w:val="14"/>
          <w:color w:val="auto"/>
        </w:rPr>
        <w:t>(Name of Registrant as Specified In Its Charter) (Name of Person(s) Filing Proxy Statement if other than the Registrant)</w:t>
      </w:r>
    </w:p>
    <w:p>
      <w:pPr>
        <w:spacing w:after="0" w:line="317"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66" w:lineRule="exact"/>
        <w:rPr>
          <w:sz w:val="24"/>
          <w:szCs w:val="24"/>
          <w:color w:val="auto"/>
        </w:rPr>
      </w:pPr>
    </w:p>
    <w:p>
      <w:pPr>
        <w:ind w:left="500" w:hanging="316"/>
        <w:spacing w:after="0"/>
        <w:tabs>
          <w:tab w:leader="none" w:pos="5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346" w:lineRule="exact"/>
        <w:rPr>
          <w:rFonts w:ascii="MS PGothic" w:cs="MS PGothic" w:eastAsia="MS PGothic" w:hAnsi="MS PGothic"/>
          <w:sz w:val="18"/>
          <w:szCs w:val="18"/>
          <w:color w:val="auto"/>
        </w:rPr>
      </w:pPr>
    </w:p>
    <w:p>
      <w:pPr>
        <w:ind w:left="500" w:hanging="312"/>
        <w:spacing w:after="0"/>
        <w:tabs>
          <w:tab w:leader="none" w:pos="50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346" w:lineRule="exact"/>
        <w:rPr>
          <w:rFonts w:ascii="MS PGothic" w:cs="MS PGothic" w:eastAsia="MS PGothic" w:hAnsi="MS PGothic"/>
          <w:sz w:val="18"/>
          <w:szCs w:val="18"/>
          <w:color w:val="auto"/>
        </w:rPr>
      </w:pPr>
    </w:p>
    <w:p>
      <w:pPr>
        <w:ind w:left="820" w:hanging="330"/>
        <w:spacing w:after="0"/>
        <w:tabs>
          <w:tab w:leader="none" w:pos="820" w:val="left"/>
        </w:tabs>
        <w:numPr>
          <w:ilvl w:val="2"/>
          <w:numId w:val="2"/>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46" w:lineRule="exact"/>
        <w:rPr>
          <w:rFonts w:ascii="Arial" w:cs="Arial" w:eastAsia="Arial" w:hAnsi="Arial"/>
          <w:sz w:val="18"/>
          <w:szCs w:val="18"/>
          <w:color w:val="auto"/>
        </w:rPr>
      </w:pPr>
    </w:p>
    <w:p>
      <w:pPr>
        <w:ind w:left="820" w:hanging="330"/>
        <w:spacing w:after="0"/>
        <w:tabs>
          <w:tab w:leader="none" w:pos="820" w:val="left"/>
        </w:tabs>
        <w:numPr>
          <w:ilvl w:val="2"/>
          <w:numId w:val="2"/>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46" w:lineRule="exact"/>
        <w:rPr>
          <w:rFonts w:ascii="Arial" w:cs="Arial" w:eastAsia="Arial" w:hAnsi="Arial"/>
          <w:sz w:val="18"/>
          <w:szCs w:val="18"/>
          <w:color w:val="auto"/>
        </w:rPr>
      </w:pPr>
    </w:p>
    <w:p>
      <w:pPr>
        <w:ind w:left="820" w:right="1400" w:hanging="330"/>
        <w:spacing w:after="0" w:line="308" w:lineRule="auto"/>
        <w:tabs>
          <w:tab w:leader="none" w:pos="820" w:val="left"/>
        </w:tabs>
        <w:numPr>
          <w:ilvl w:val="2"/>
          <w:numId w:val="2"/>
        </w:numPr>
        <w:rPr>
          <w:rFonts w:ascii="Arial" w:cs="Arial" w:eastAsia="Arial" w:hAnsi="Arial"/>
          <w:sz w:val="17"/>
          <w:szCs w:val="17"/>
          <w:color w:val="auto"/>
        </w:rPr>
      </w:pPr>
      <w:r>
        <w:rPr>
          <w:rFonts w:ascii="Arial" w:cs="Arial" w:eastAsia="Arial" w:hAnsi="Arial"/>
          <w:sz w:val="17"/>
          <w:szCs w:val="17"/>
          <w:color w:val="auto"/>
        </w:rPr>
        <w:t>Per unit price or other underlying value of transaction computed pursuant to Exchange Act Rule 0-11 (Set forth the amount on which the filing fee is calculated and state how it was determined):</w:t>
      </w:r>
    </w:p>
    <w:p>
      <w:pPr>
        <w:spacing w:after="0" w:line="267" w:lineRule="exact"/>
        <w:rPr>
          <w:rFonts w:ascii="Arial" w:cs="Arial" w:eastAsia="Arial" w:hAnsi="Arial"/>
          <w:sz w:val="17"/>
          <w:szCs w:val="17"/>
          <w:color w:val="auto"/>
        </w:rPr>
      </w:pPr>
    </w:p>
    <w:p>
      <w:pPr>
        <w:ind w:left="820" w:hanging="330"/>
        <w:spacing w:after="0"/>
        <w:tabs>
          <w:tab w:leader="none" w:pos="820" w:val="left"/>
        </w:tabs>
        <w:numPr>
          <w:ilvl w:val="2"/>
          <w:numId w:val="2"/>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46" w:lineRule="exact"/>
        <w:rPr>
          <w:rFonts w:ascii="Arial" w:cs="Arial" w:eastAsia="Arial" w:hAnsi="Arial"/>
          <w:sz w:val="18"/>
          <w:szCs w:val="18"/>
          <w:color w:val="auto"/>
        </w:rPr>
      </w:pPr>
    </w:p>
    <w:p>
      <w:pPr>
        <w:ind w:left="820" w:hanging="330"/>
        <w:spacing w:after="0"/>
        <w:tabs>
          <w:tab w:leader="none" w:pos="820" w:val="left"/>
        </w:tabs>
        <w:numPr>
          <w:ilvl w:val="2"/>
          <w:numId w:val="2"/>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346" w:lineRule="exact"/>
        <w:rPr>
          <w:rFonts w:ascii="Arial" w:cs="Arial" w:eastAsia="Arial" w:hAnsi="Arial"/>
          <w:sz w:val="18"/>
          <w:szCs w:val="18"/>
          <w:color w:val="auto"/>
        </w:rPr>
      </w:pPr>
    </w:p>
    <w:p>
      <w:pPr>
        <w:ind w:left="500" w:hanging="312"/>
        <w:spacing w:after="0"/>
        <w:tabs>
          <w:tab w:leader="none" w:pos="50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46" w:lineRule="exact"/>
        <w:rPr>
          <w:rFonts w:ascii="MS PGothic" w:cs="MS PGothic" w:eastAsia="MS PGothic" w:hAnsi="MS PGothic"/>
          <w:sz w:val="18"/>
          <w:szCs w:val="18"/>
          <w:color w:val="auto"/>
        </w:rPr>
      </w:pPr>
    </w:p>
    <w:p>
      <w:pPr>
        <w:ind w:left="500" w:hanging="312"/>
        <w:spacing w:after="0" w:line="263" w:lineRule="auto"/>
        <w:tabs>
          <w:tab w:leader="none" w:pos="50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305" w:lineRule="exact"/>
        <w:rPr>
          <w:rFonts w:ascii="MS PGothic" w:cs="MS PGothic" w:eastAsia="MS PGothic" w:hAnsi="MS PGothic"/>
          <w:sz w:val="18"/>
          <w:szCs w:val="18"/>
          <w:color w:val="auto"/>
        </w:rPr>
      </w:pPr>
    </w:p>
    <w:p>
      <w:pPr>
        <w:ind w:left="820" w:hanging="330"/>
        <w:spacing w:after="0"/>
        <w:tabs>
          <w:tab w:leader="none" w:pos="820" w:val="left"/>
        </w:tabs>
        <w:numPr>
          <w:ilvl w:val="2"/>
          <w:numId w:val="2"/>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46" w:lineRule="exact"/>
        <w:rPr>
          <w:rFonts w:ascii="Arial" w:cs="Arial" w:eastAsia="Arial" w:hAnsi="Arial"/>
          <w:sz w:val="18"/>
          <w:szCs w:val="18"/>
          <w:color w:val="auto"/>
        </w:rPr>
      </w:pPr>
    </w:p>
    <w:p>
      <w:pPr>
        <w:ind w:left="820" w:hanging="330"/>
        <w:spacing w:after="0"/>
        <w:tabs>
          <w:tab w:leader="none" w:pos="820" w:val="left"/>
        </w:tabs>
        <w:numPr>
          <w:ilvl w:val="2"/>
          <w:numId w:val="2"/>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46" w:lineRule="exact"/>
        <w:rPr>
          <w:rFonts w:ascii="Arial" w:cs="Arial" w:eastAsia="Arial" w:hAnsi="Arial"/>
          <w:sz w:val="18"/>
          <w:szCs w:val="18"/>
          <w:color w:val="auto"/>
        </w:rPr>
      </w:pPr>
    </w:p>
    <w:p>
      <w:pPr>
        <w:ind w:left="820" w:hanging="330"/>
        <w:spacing w:after="0"/>
        <w:tabs>
          <w:tab w:leader="none" w:pos="820" w:val="left"/>
        </w:tabs>
        <w:numPr>
          <w:ilvl w:val="2"/>
          <w:numId w:val="2"/>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46" w:lineRule="exact"/>
        <w:rPr>
          <w:rFonts w:ascii="Arial" w:cs="Arial" w:eastAsia="Arial" w:hAnsi="Arial"/>
          <w:sz w:val="18"/>
          <w:szCs w:val="18"/>
          <w:color w:val="auto"/>
        </w:rPr>
      </w:pPr>
    </w:p>
    <w:p>
      <w:pPr>
        <w:ind w:left="820" w:hanging="330"/>
        <w:spacing w:after="0"/>
        <w:tabs>
          <w:tab w:leader="none" w:pos="820" w:val="left"/>
        </w:tabs>
        <w:numPr>
          <w:ilvl w:val="2"/>
          <w:numId w:val="2"/>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340360</wp:posOffset>
            </wp:positionV>
            <wp:extent cx="699516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151765</wp:posOffset>
            </wp:positionV>
            <wp:extent cx="61722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203200</wp:posOffset>
            </wp:positionV>
            <wp:extent cx="617220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72200" cy="26035"/>
                    </a:xfrm>
                    <a:prstGeom prst="rect">
                      <a:avLst/>
                    </a:prstGeom>
                    <a:noFill/>
                  </pic:spPr>
                </pic:pic>
              </a:graphicData>
            </a:graphic>
          </wp:anchor>
        </w:drawing>
      </w:r>
    </w:p>
    <w:p>
      <w:pPr>
        <w:sectPr>
          <w:pgSz w:w="11900" w:h="16838" w:orient="portrait"/>
          <w:cols w:equalWidth="0" w:num="1">
            <w:col w:w="9500"/>
          </w:cols>
          <w:pgMar w:left="1080" w:top="225" w:right="1319" w:bottom="1440" w:gutter="0" w:footer="0" w:header="0"/>
        </w:sectPr>
      </w:pPr>
    </w:p>
    <w:bookmarkStart w:id="1" w:name="page2"/>
    <w:bookmarkEnd w:id="1"/>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92075</wp:posOffset>
            </wp:positionV>
            <wp:extent cx="6995160" cy="8872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72220"/>
                    </a:xfrm>
                    <a:prstGeom prst="rect">
                      <a:avLst/>
                    </a:prstGeom>
                    <a:noFill/>
                  </pic:spPr>
                </pic:pic>
              </a:graphicData>
            </a:graphic>
          </wp:anchor>
        </w:drawing>
      </w:r>
    </w:p>
    <w:p>
      <w:pPr>
        <w:sectPr>
          <w:pgSz w:w="11900" w:h="16838" w:orient="portrait"/>
          <w:cols w:equalWidth="0" w:num="1">
            <w:col w:w="10039"/>
          </w:cols>
          <w:pgMar w:left="420" w:top="265" w:right="1440" w:bottom="1440" w:gutter="0" w:footer="0" w:header="0"/>
        </w:sectPr>
      </w:pPr>
    </w:p>
    <w:bookmarkStart w:id="2" w:name="page3"/>
    <w:bookmarkEnd w:id="2"/>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6515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651510"/>
                    </a:xfrm>
                    <a:prstGeom prst="rect">
                      <a:avLst/>
                    </a:prstGeom>
                    <a:noFill/>
                  </pic:spPr>
                </pic:pic>
              </a:graphicData>
            </a:graphic>
          </wp:anchor>
        </w:drawing>
      </w:r>
    </w:p>
    <w:p>
      <w:pPr>
        <w:sectPr>
          <w:pgSz w:w="11900" w:h="16838" w:orient="portrait"/>
          <w:cols w:equalWidth="0" w:num="1">
            <w:col w:w="10160"/>
          </w:cols>
          <w:pgMar w:left="320" w:top="265"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080"/>
        <w:spacing w:after="0"/>
        <w:rPr>
          <w:sz w:val="20"/>
          <w:szCs w:val="20"/>
          <w:color w:val="auto"/>
        </w:rPr>
      </w:pPr>
      <w:r>
        <w:rPr>
          <w:rFonts w:ascii="Arial" w:cs="Arial" w:eastAsia="Arial" w:hAnsi="Arial"/>
          <w:sz w:val="36"/>
          <w:szCs w:val="36"/>
          <w:color w:val="auto"/>
        </w:rPr>
        <w:t>Notice of 2020 Annual</w:t>
      </w:r>
    </w:p>
    <w:p>
      <w:pPr>
        <w:spacing w:after="0" w:line="37" w:lineRule="exact"/>
        <w:rPr>
          <w:sz w:val="20"/>
          <w:szCs w:val="20"/>
          <w:color w:val="auto"/>
        </w:rPr>
      </w:pPr>
    </w:p>
    <w:p>
      <w:pPr>
        <w:ind w:left="1080"/>
        <w:spacing w:after="0"/>
        <w:rPr>
          <w:sz w:val="20"/>
          <w:szCs w:val="20"/>
          <w:color w:val="auto"/>
        </w:rPr>
      </w:pPr>
      <w:r>
        <w:rPr>
          <w:rFonts w:ascii="Arial" w:cs="Arial" w:eastAsia="Arial" w:hAnsi="Arial"/>
          <w:sz w:val="36"/>
          <w:szCs w:val="36"/>
          <w:color w:val="auto"/>
        </w:rPr>
        <w:t>Meeting of Shareholders</w:t>
      </w:r>
    </w:p>
    <w:p>
      <w:pPr>
        <w:spacing w:after="0" w:line="196" w:lineRule="exact"/>
        <w:rPr>
          <w:sz w:val="20"/>
          <w:szCs w:val="20"/>
          <w:color w:val="auto"/>
        </w:rPr>
      </w:pPr>
    </w:p>
    <w:p>
      <w:pPr>
        <w:jc w:val="right"/>
        <w:spacing w:after="0"/>
        <w:rPr>
          <w:sz w:val="20"/>
          <w:szCs w:val="20"/>
          <w:color w:val="auto"/>
        </w:rPr>
      </w:pPr>
      <w:r>
        <w:rPr>
          <w:rFonts w:ascii="Arial" w:cs="Arial" w:eastAsia="Arial" w:hAnsi="Arial"/>
          <w:sz w:val="22"/>
          <w:szCs w:val="22"/>
          <w:color w:val="auto"/>
        </w:rPr>
        <w:t>Cincinnati, Ohio</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22"/>
          <w:szCs w:val="22"/>
          <w:color w:val="auto"/>
        </w:rPr>
        <w:t>April 3, 2020</w:t>
      </w:r>
    </w:p>
    <w:p>
      <w:pPr>
        <w:spacing w:after="0" w:line="188"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Dear Shareholder:</w:t>
      </w:r>
    </w:p>
    <w:p>
      <w:pPr>
        <w:spacing w:after="0" w:line="206" w:lineRule="exact"/>
        <w:rPr>
          <w:sz w:val="20"/>
          <w:szCs w:val="20"/>
          <w:color w:val="auto"/>
        </w:rPr>
      </w:pPr>
    </w:p>
    <w:p>
      <w:pPr>
        <w:ind w:left="1080" w:right="60"/>
        <w:spacing w:after="0" w:line="250" w:lineRule="auto"/>
        <w:rPr>
          <w:sz w:val="20"/>
          <w:szCs w:val="20"/>
          <w:color w:val="auto"/>
        </w:rPr>
      </w:pPr>
      <w:r>
        <w:rPr>
          <w:rFonts w:ascii="Arial" w:cs="Arial" w:eastAsia="Arial" w:hAnsi="Arial"/>
          <w:sz w:val="22"/>
          <w:szCs w:val="22"/>
          <w:color w:val="auto"/>
        </w:rPr>
        <w:t>We invite you to attend our annual meeting of shareholders on Wednesday, May 20, 2020, in Cincinnati, Ohio for the following purposes:</w:t>
      </w:r>
    </w:p>
    <w:p>
      <w:pPr>
        <w:spacing w:after="0" w:line="175" w:lineRule="exact"/>
        <w:rPr>
          <w:sz w:val="20"/>
          <w:szCs w:val="20"/>
          <w:color w:val="auto"/>
        </w:rPr>
      </w:pPr>
    </w:p>
    <w:p>
      <w:pPr>
        <w:ind w:left="2160" w:hanging="352"/>
        <w:spacing w:after="0"/>
        <w:tabs>
          <w:tab w:leader="none" w:pos="2160" w:val="left"/>
        </w:tabs>
        <w:numPr>
          <w:ilvl w:val="0"/>
          <w:numId w:val="3"/>
        </w:numPr>
        <w:rPr>
          <w:rFonts w:ascii="Arial" w:cs="Arial" w:eastAsia="Arial" w:hAnsi="Arial"/>
          <w:sz w:val="22"/>
          <w:szCs w:val="22"/>
          <w:color w:val="auto"/>
        </w:rPr>
      </w:pPr>
      <w:r>
        <w:rPr>
          <w:rFonts w:ascii="Arial" w:cs="Arial" w:eastAsia="Arial" w:hAnsi="Arial"/>
          <w:sz w:val="22"/>
          <w:szCs w:val="22"/>
          <w:color w:val="auto"/>
        </w:rPr>
        <w:t>To elect 12 directors;</w:t>
      </w:r>
    </w:p>
    <w:p>
      <w:pPr>
        <w:spacing w:after="0" w:line="8" w:lineRule="exact"/>
        <w:rPr>
          <w:rFonts w:ascii="Arial" w:cs="Arial" w:eastAsia="Arial" w:hAnsi="Arial"/>
          <w:sz w:val="22"/>
          <w:szCs w:val="22"/>
          <w:color w:val="auto"/>
        </w:rPr>
      </w:pPr>
    </w:p>
    <w:p>
      <w:pPr>
        <w:ind w:left="2160" w:hanging="352"/>
        <w:spacing w:after="0" w:line="230" w:lineRule="auto"/>
        <w:tabs>
          <w:tab w:leader="none" w:pos="2160" w:val="left"/>
        </w:tabs>
        <w:numPr>
          <w:ilvl w:val="0"/>
          <w:numId w:val="3"/>
        </w:numPr>
        <w:rPr>
          <w:rFonts w:ascii="Arial" w:cs="Arial" w:eastAsia="Arial" w:hAnsi="Arial"/>
          <w:sz w:val="22"/>
          <w:szCs w:val="22"/>
          <w:color w:val="auto"/>
        </w:rPr>
      </w:pPr>
      <w:r>
        <w:rPr>
          <w:rFonts w:ascii="Arial" w:cs="Arial" w:eastAsia="Arial" w:hAnsi="Arial"/>
          <w:sz w:val="22"/>
          <w:szCs w:val="22"/>
          <w:color w:val="auto"/>
        </w:rPr>
        <w:t>To ratify our independent registered public accounting firm; and</w:t>
      </w:r>
    </w:p>
    <w:p>
      <w:pPr>
        <w:ind w:left="2160" w:hanging="352"/>
        <w:spacing w:after="0"/>
        <w:tabs>
          <w:tab w:leader="none" w:pos="2160" w:val="left"/>
        </w:tabs>
        <w:numPr>
          <w:ilvl w:val="0"/>
          <w:numId w:val="3"/>
        </w:numPr>
        <w:rPr>
          <w:rFonts w:ascii="Arial" w:cs="Arial" w:eastAsia="Arial" w:hAnsi="Arial"/>
          <w:sz w:val="22"/>
          <w:szCs w:val="22"/>
          <w:color w:val="auto"/>
        </w:rPr>
      </w:pPr>
      <w:r>
        <w:rPr>
          <w:rFonts w:ascii="Arial" w:cs="Arial" w:eastAsia="Arial" w:hAnsi="Arial"/>
          <w:sz w:val="22"/>
          <w:szCs w:val="22"/>
          <w:color w:val="auto"/>
        </w:rPr>
        <w:t>To approve on an advisory basis our named executive officer compensation.</w:t>
      </w:r>
    </w:p>
    <w:p>
      <w:pPr>
        <w:spacing w:after="0" w:line="188" w:lineRule="exact"/>
        <w:rPr>
          <w:sz w:val="20"/>
          <w:szCs w:val="20"/>
          <w:color w:val="auto"/>
        </w:rPr>
      </w:pPr>
    </w:p>
    <w:p>
      <w:pPr>
        <w:ind w:left="1080" w:right="460"/>
        <w:spacing w:after="0" w:line="250" w:lineRule="auto"/>
        <w:rPr>
          <w:sz w:val="20"/>
          <w:szCs w:val="20"/>
          <w:color w:val="auto"/>
        </w:rPr>
      </w:pPr>
      <w:r>
        <w:rPr>
          <w:rFonts w:ascii="Arial" w:cs="Arial" w:eastAsia="Arial" w:hAnsi="Arial"/>
          <w:sz w:val="22"/>
          <w:szCs w:val="22"/>
          <w:color w:val="auto"/>
        </w:rPr>
        <w:t>Shareholders will also transact such other business as may properly come before the meeting or any adjournment or postponement of the meeting.</w:t>
      </w:r>
    </w:p>
    <w:p>
      <w:pPr>
        <w:spacing w:after="0" w:line="175" w:lineRule="exact"/>
        <w:rPr>
          <w:sz w:val="20"/>
          <w:szCs w:val="20"/>
          <w:color w:val="auto"/>
        </w:rPr>
      </w:pPr>
    </w:p>
    <w:p>
      <w:pPr>
        <w:ind w:left="1080" w:right="200"/>
        <w:spacing w:after="0" w:line="274" w:lineRule="auto"/>
        <w:rPr>
          <w:sz w:val="20"/>
          <w:szCs w:val="20"/>
          <w:color w:val="auto"/>
        </w:rPr>
      </w:pPr>
      <w:r>
        <w:rPr>
          <w:rFonts w:ascii="Arial" w:cs="Arial" w:eastAsia="Arial" w:hAnsi="Arial"/>
          <w:sz w:val="19"/>
          <w:szCs w:val="19"/>
          <w:color w:val="auto"/>
        </w:rPr>
        <w:t>This year we are again providing access to our proxy materials over the Internet under the U.S. Securities and Exchange Commission “notice and access” rules. As a result, we are mailing to most of our shareholders a notice instead of a paper copy of this proxy statement and our 2019 Annual Report. The notice contains instructions on how to access those documents over the Internet. The notice also instructs you on how to submit your proxy over the Internet. We believe that continuing to employ this distribution process allows us to provide our shareholders with the information they need in a timely manner, while reducing the environmental impact and lowering the costs of our annual meeting. If you received a notice by mail and would like to receive a printed copy of our proxy materials, you should follow the instructions for requesting such materials included in the notice.</w:t>
      </w:r>
    </w:p>
    <w:p>
      <w:pPr>
        <w:spacing w:after="0" w:line="158" w:lineRule="exact"/>
        <w:rPr>
          <w:sz w:val="20"/>
          <w:szCs w:val="20"/>
          <w:color w:val="auto"/>
        </w:rPr>
      </w:pPr>
    </w:p>
    <w:p>
      <w:pPr>
        <w:ind w:left="1080" w:right="820"/>
        <w:spacing w:after="0" w:line="328" w:lineRule="auto"/>
        <w:rPr>
          <w:sz w:val="20"/>
          <w:szCs w:val="20"/>
          <w:color w:val="auto"/>
        </w:rPr>
      </w:pPr>
      <w:r>
        <w:rPr>
          <w:rFonts w:ascii="Arial" w:cs="Arial" w:eastAsia="Arial" w:hAnsi="Arial"/>
          <w:sz w:val="19"/>
          <w:szCs w:val="19"/>
          <w:color w:val="auto"/>
        </w:rPr>
        <w:t>We want your shares to be represented at the meeting and urge you to vote using our Internet or telephone voting systems or by promptly returning a properly completed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3202305</wp:posOffset>
            </wp:positionH>
            <wp:positionV relativeFrom="paragraph">
              <wp:posOffset>80010</wp:posOffset>
            </wp:positionV>
            <wp:extent cx="951230" cy="3771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95123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5080"/>
        <w:spacing w:after="0"/>
        <w:rPr>
          <w:sz w:val="20"/>
          <w:szCs w:val="20"/>
          <w:color w:val="auto"/>
        </w:rPr>
      </w:pPr>
      <w:r>
        <w:rPr>
          <w:rFonts w:ascii="Arial" w:cs="Arial" w:eastAsia="Arial" w:hAnsi="Arial"/>
          <w:sz w:val="22"/>
          <w:szCs w:val="22"/>
          <w:color w:val="auto"/>
        </w:rPr>
        <w:t>Karl J. Grafe</w:t>
      </w:r>
    </w:p>
    <w:p>
      <w:pPr>
        <w:spacing w:after="0" w:line="8" w:lineRule="exact"/>
        <w:rPr>
          <w:sz w:val="20"/>
          <w:szCs w:val="20"/>
          <w:color w:val="auto"/>
        </w:rPr>
      </w:pPr>
    </w:p>
    <w:p>
      <w:pPr>
        <w:ind w:left="5040"/>
        <w:spacing w:after="0"/>
        <w:rPr>
          <w:sz w:val="20"/>
          <w:szCs w:val="20"/>
          <w:color w:val="auto"/>
        </w:rPr>
      </w:pPr>
      <w:r>
        <w:rPr>
          <w:rFonts w:ascii="Arial" w:cs="Arial" w:eastAsia="Arial" w:hAnsi="Arial"/>
          <w:sz w:val="22"/>
          <w:szCs w:val="22"/>
          <w:color w:val="auto"/>
        </w:rPr>
        <w:t>Vice President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347345</wp:posOffset>
            </wp:positionV>
            <wp:extent cx="5760720" cy="10883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60720" cy="1088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FFFFFF"/>
        </w:rPr>
        <w:t>Important Notice</w:t>
      </w:r>
    </w:p>
    <w:p>
      <w:pPr>
        <w:spacing w:after="0" w:line="215" w:lineRule="exact"/>
        <w:rPr>
          <w:sz w:val="20"/>
          <w:szCs w:val="20"/>
          <w:color w:val="auto"/>
        </w:rPr>
      </w:pPr>
    </w:p>
    <w:p>
      <w:pPr>
        <w:ind w:left="1260" w:right="320"/>
        <w:spacing w:after="0" w:line="258" w:lineRule="auto"/>
        <w:rPr>
          <w:sz w:val="20"/>
          <w:szCs w:val="20"/>
          <w:color w:val="auto"/>
        </w:rPr>
      </w:pPr>
      <w:r>
        <w:rPr>
          <w:rFonts w:ascii="Arial" w:cs="Arial" w:eastAsia="Arial" w:hAnsi="Arial"/>
          <w:sz w:val="18"/>
          <w:szCs w:val="18"/>
          <w:b w:val="1"/>
          <w:bCs w:val="1"/>
          <w:color w:val="FFFFFF"/>
        </w:rPr>
        <w:t>Contingent Remote Access: Due to the emerging public health impact of the coronavirus (COVID-19), we will monitor the need to allow participation or attendance solely by means of remote communication. In that event, details on how to participate will be set forth in a press release issued by the Company and available at www.AFGinc.com. If you plan to attend the meeting, please check our website one week prior to the meeting for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102235</wp:posOffset>
            </wp:positionV>
            <wp:extent cx="699516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160"/>
          </w:cols>
          <w:pgMar w:left="320" w:top="265" w:right="1419" w:bottom="1440" w:gutter="0" w:footer="0" w:header="0"/>
          <w:type w:val="continuous"/>
        </w:sectPr>
      </w:pPr>
    </w:p>
    <w:bookmarkStart w:id="3" w:name="page4"/>
    <w:bookmarkEnd w:id="3"/>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6515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651510"/>
                    </a:xfrm>
                    <a:prstGeom prst="rect">
                      <a:avLst/>
                    </a:prstGeom>
                    <a:noFill/>
                  </pic:spPr>
                </pic:pic>
              </a:graphicData>
            </a:graphic>
          </wp:anchor>
        </w:drawing>
      </w:r>
    </w:p>
    <w:p>
      <w:pPr>
        <w:sectPr>
          <w:pgSz w:w="11900" w:h="16838" w:orient="portrait"/>
          <w:cols w:equalWidth="0" w:num="1">
            <w:col w:w="10139"/>
          </w:cols>
          <w:pgMar w:left="320" w:top="26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100"/>
        <w:spacing w:after="0"/>
        <w:rPr>
          <w:sz w:val="20"/>
          <w:szCs w:val="20"/>
          <w:color w:val="auto"/>
        </w:rPr>
      </w:pPr>
      <w:r>
        <w:rPr>
          <w:rFonts w:ascii="Arial" w:cs="Arial" w:eastAsia="Arial" w:hAnsi="Arial"/>
          <w:sz w:val="29"/>
          <w:szCs w:val="29"/>
          <w:b w:val="1"/>
          <w:bCs w:val="1"/>
          <w:color w:val="auto"/>
        </w:rPr>
        <w:t>ANNUAL MEETING OF SHAREHOLDERS</w:t>
      </w:r>
    </w:p>
    <w:p>
      <w:pPr>
        <w:spacing w:after="0" w:line="235" w:lineRule="exact"/>
        <w:rPr>
          <w:sz w:val="20"/>
          <w:szCs w:val="20"/>
          <w:color w:val="auto"/>
        </w:rPr>
      </w:pPr>
    </w:p>
    <w:p>
      <w:pPr>
        <w:jc w:val="center"/>
        <w:ind w:right="-1100"/>
        <w:spacing w:after="0"/>
        <w:rPr>
          <w:sz w:val="20"/>
          <w:szCs w:val="20"/>
          <w:color w:val="auto"/>
        </w:rPr>
      </w:pPr>
      <w:r>
        <w:rPr>
          <w:rFonts w:ascii="Arial" w:cs="Arial" w:eastAsia="Arial" w:hAnsi="Arial"/>
          <w:sz w:val="25"/>
          <w:szCs w:val="25"/>
          <w:color w:val="auto"/>
        </w:rPr>
        <w:t>AMERICAN FINANCIAL GROUP, INC.</w:t>
      </w:r>
    </w:p>
    <w:p>
      <w:pPr>
        <w:spacing w:after="0" w:line="13"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Great American Insurance Group Tower</w:t>
      </w:r>
    </w:p>
    <w:p>
      <w:pPr>
        <w:jc w:val="center"/>
        <w:ind w:right="-1100"/>
        <w:spacing w:after="0" w:line="230" w:lineRule="auto"/>
        <w:rPr>
          <w:sz w:val="20"/>
          <w:szCs w:val="20"/>
          <w:color w:val="auto"/>
        </w:rPr>
      </w:pPr>
      <w:r>
        <w:rPr>
          <w:rFonts w:ascii="Arial" w:cs="Arial" w:eastAsia="Arial" w:hAnsi="Arial"/>
          <w:sz w:val="22"/>
          <w:szCs w:val="22"/>
          <w:color w:val="auto"/>
        </w:rPr>
        <w:t>301 East Fourth Street</w:t>
      </w:r>
    </w:p>
    <w:p>
      <w:pPr>
        <w:spacing w:after="0" w:line="1"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Cincinnati, Ohio 45202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681355</wp:posOffset>
            </wp:positionV>
            <wp:extent cx="57607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080" w:right="999"/>
        <w:spacing w:after="0" w:line="250" w:lineRule="auto"/>
        <w:rPr>
          <w:sz w:val="20"/>
          <w:szCs w:val="20"/>
          <w:color w:val="auto"/>
        </w:rPr>
      </w:pPr>
      <w:r>
        <w:rPr>
          <w:rFonts w:ascii="Arial" w:cs="Arial" w:eastAsia="Arial" w:hAnsi="Arial"/>
          <w:sz w:val="22"/>
          <w:szCs w:val="22"/>
          <w:color w:val="auto"/>
        </w:rPr>
        <w:t>In connection with the annual meeting, we will report on our operations and you will have an opportunity to meet your Company’s directors and senior executives.</w:t>
      </w:r>
    </w:p>
    <w:p>
      <w:pPr>
        <w:spacing w:after="0" w:line="169" w:lineRule="exact"/>
        <w:rPr>
          <w:sz w:val="20"/>
          <w:szCs w:val="20"/>
          <w:color w:val="auto"/>
        </w:rPr>
      </w:pPr>
    </w:p>
    <w:p>
      <w:pPr>
        <w:ind w:left="1080" w:right="79"/>
        <w:spacing w:after="0" w:line="260" w:lineRule="auto"/>
        <w:rPr>
          <w:sz w:val="20"/>
          <w:szCs w:val="20"/>
          <w:color w:val="auto"/>
        </w:rPr>
      </w:pPr>
      <w:r>
        <w:rPr>
          <w:rFonts w:ascii="Arial" w:cs="Arial" w:eastAsia="Arial" w:hAnsi="Arial"/>
          <w:sz w:val="21"/>
          <w:szCs w:val="21"/>
          <w:b w:val="1"/>
          <w:bCs w:val="1"/>
          <w:color w:val="auto"/>
        </w:rPr>
        <w:t>If you plan to attend the meeting in person, you must register on or before Wednesday, May 13, 2020, or you will not be admitted to the meeting. See “Information about the Annual Meeting and Voting—How do I attend the annual meeting?”</w:t>
      </w:r>
    </w:p>
    <w:p>
      <w:pPr>
        <w:spacing w:after="0" w:line="166" w:lineRule="exact"/>
        <w:rPr>
          <w:sz w:val="20"/>
          <w:szCs w:val="20"/>
          <w:color w:val="auto"/>
        </w:rPr>
      </w:pPr>
    </w:p>
    <w:p>
      <w:pPr>
        <w:ind w:left="1080" w:right="119"/>
        <w:spacing w:after="0" w:line="297" w:lineRule="auto"/>
        <w:rPr>
          <w:sz w:val="20"/>
          <w:szCs w:val="20"/>
          <w:color w:val="auto"/>
        </w:rPr>
      </w:pPr>
      <w:r>
        <w:rPr>
          <w:rFonts w:ascii="Arial" w:cs="Arial" w:eastAsia="Arial" w:hAnsi="Arial"/>
          <w:sz w:val="19"/>
          <w:szCs w:val="19"/>
          <w:color w:val="auto"/>
        </w:rPr>
        <w:t>This booklet includes the formal notice of the annual meeting and the proxy statement. The proxy statement tells you more about the agenda and procedures for the annual meeting. It also describes how your Board of Directors operates and provides information about the director candidates.</w:t>
      </w:r>
    </w:p>
    <w:p>
      <w:pPr>
        <w:spacing w:after="0" w:line="128" w:lineRule="exact"/>
        <w:rPr>
          <w:sz w:val="20"/>
          <w:szCs w:val="20"/>
          <w:color w:val="auto"/>
        </w:rPr>
      </w:pPr>
    </w:p>
    <w:p>
      <w:pPr>
        <w:ind w:left="1080" w:right="39"/>
        <w:spacing w:after="0" w:line="278" w:lineRule="auto"/>
        <w:rPr>
          <w:sz w:val="20"/>
          <w:szCs w:val="20"/>
          <w:color w:val="auto"/>
        </w:rPr>
      </w:pPr>
      <w:r>
        <w:rPr>
          <w:rFonts w:ascii="Arial" w:cs="Arial" w:eastAsia="Arial" w:hAnsi="Arial"/>
          <w:sz w:val="19"/>
          <w:szCs w:val="19"/>
          <w:color w:val="auto"/>
        </w:rPr>
        <w:t xml:space="preserve">The approximate availability date of the proxy statement and the proxy card is April 3, 2020. </w:t>
      </w:r>
      <w:r>
        <w:rPr>
          <w:rFonts w:ascii="Arial" w:cs="Arial" w:eastAsia="Arial" w:hAnsi="Arial"/>
          <w:sz w:val="19"/>
          <w:szCs w:val="19"/>
          <w:b w:val="1"/>
          <w:bCs w:val="1"/>
          <w:color w:val="auto"/>
        </w:rPr>
        <w:t>Your vote</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is important. </w:t>
      </w:r>
      <w:r>
        <w:rPr>
          <w:rFonts w:ascii="Arial" w:cs="Arial" w:eastAsia="Arial" w:hAnsi="Arial"/>
          <w:sz w:val="19"/>
          <w:szCs w:val="19"/>
          <w:color w:val="auto"/>
        </w:rPr>
        <w:t>Whether or not you plan to attend the annual meeting, the Board of Directors urges you to</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vote via the Internet, by telephone or by returning a proxy card. </w:t>
      </w:r>
      <w:r>
        <w:rPr>
          <w:rFonts w:ascii="Arial" w:cs="Arial" w:eastAsia="Arial" w:hAnsi="Arial"/>
          <w:sz w:val="19"/>
          <w:szCs w:val="19"/>
          <w:b w:val="1"/>
          <w:bCs w:val="1"/>
          <w:color w:val="auto"/>
        </w:rPr>
        <w:t>If you vote via the Internet or by</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telephone, do not return your proxy card. </w:t>
      </w:r>
      <w:r>
        <w:rPr>
          <w:rFonts w:ascii="Arial" w:cs="Arial" w:eastAsia="Arial" w:hAnsi="Arial"/>
          <w:sz w:val="19"/>
          <w:szCs w:val="19"/>
          <w:color w:val="auto"/>
        </w:rPr>
        <w:t>You may revoke your proxy at any time before the vote is</w:t>
      </w:r>
      <w:r>
        <w:rPr>
          <w:rFonts w:ascii="Arial" w:cs="Arial" w:eastAsia="Arial" w:hAnsi="Arial"/>
          <w:sz w:val="19"/>
          <w:szCs w:val="19"/>
          <w:b w:val="1"/>
          <w:bCs w:val="1"/>
          <w:color w:val="auto"/>
        </w:rPr>
        <w:t xml:space="preserve"> </w:t>
      </w:r>
      <w:r>
        <w:rPr>
          <w:rFonts w:ascii="Arial" w:cs="Arial" w:eastAsia="Arial" w:hAnsi="Arial"/>
          <w:sz w:val="19"/>
          <w:szCs w:val="19"/>
          <w:color w:val="auto"/>
        </w:rPr>
        <w:t>taken at the annual meeting provided that you comply with the procedures set forth in the proxy statement which accompanies this notice of annual meeting of shareholders. If you attend the annual meeting, you may either vote by proxy or vote in person.</w:t>
      </w:r>
    </w:p>
    <w:p>
      <w:pPr>
        <w:spacing w:after="0" w:line="151" w:lineRule="exact"/>
        <w:rPr>
          <w:sz w:val="20"/>
          <w:szCs w:val="20"/>
          <w:color w:val="auto"/>
        </w:rPr>
      </w:pPr>
    </w:p>
    <w:p>
      <w:pPr>
        <w:ind w:left="1080" w:right="59"/>
        <w:spacing w:after="0" w:line="252" w:lineRule="auto"/>
        <w:rPr>
          <w:sz w:val="20"/>
          <w:szCs w:val="20"/>
          <w:color w:val="auto"/>
        </w:rPr>
      </w:pPr>
      <w:r>
        <w:rPr>
          <w:rFonts w:ascii="Arial" w:cs="Arial" w:eastAsia="Arial" w:hAnsi="Arial"/>
          <w:sz w:val="21"/>
          <w:szCs w:val="21"/>
          <w:color w:val="auto"/>
        </w:rPr>
        <w:t>Without instructions from the beneficial owner, a broker, bank or other nominee is not permitted to vote on the election of directors or the advisory resolution to approve named executive officer compensation. Therefore, if your shares are held in the name of your broker, bank or other nominee, unless you vote your shares, your shares will not be voted regarding these proposals.</w:t>
      </w:r>
    </w:p>
    <w:p>
      <w:pPr>
        <w:spacing w:after="0" w:line="168"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We encourage you to read the proxy statement and vote your shares as soon as possible.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151765</wp:posOffset>
            </wp:positionV>
            <wp:extent cx="699516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139"/>
          </w:cols>
          <w:pgMar w:left="320" w:top="265" w:right="1440" w:bottom="1440" w:gutter="0" w:footer="0" w:header="0"/>
          <w:type w:val="continuous"/>
        </w:sectPr>
      </w:pPr>
    </w:p>
    <w:bookmarkStart w:id="4" w:name="page5"/>
    <w:bookmarkEnd w:id="4"/>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6515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080"/>
        <w:spacing w:after="0"/>
        <w:rPr>
          <w:sz w:val="20"/>
          <w:szCs w:val="20"/>
          <w:color w:val="auto"/>
        </w:rPr>
      </w:pPr>
      <w:r>
        <w:rPr>
          <w:rFonts w:ascii="Arial" w:cs="Arial" w:eastAsia="Arial" w:hAnsi="Arial"/>
          <w:sz w:val="31"/>
          <w:szCs w:val="31"/>
          <w:b w:val="1"/>
          <w:bCs w:val="1"/>
          <w:color w:val="002875"/>
        </w:rPr>
        <w:t>AMERICAN FINANCIAL GROUP, INC.</w:t>
      </w:r>
    </w:p>
    <w:p>
      <w:pPr>
        <w:spacing w:after="0" w:line="29" w:lineRule="exact"/>
        <w:rPr>
          <w:sz w:val="20"/>
          <w:szCs w:val="20"/>
          <w:color w:val="auto"/>
        </w:rPr>
      </w:pPr>
    </w:p>
    <w:p>
      <w:pPr>
        <w:ind w:left="1080"/>
        <w:spacing w:after="0"/>
        <w:rPr>
          <w:sz w:val="20"/>
          <w:szCs w:val="20"/>
          <w:color w:val="auto"/>
        </w:rPr>
      </w:pPr>
      <w:r>
        <w:rPr>
          <w:rFonts w:ascii="Arial" w:cs="Arial" w:eastAsia="Arial" w:hAnsi="Arial"/>
          <w:sz w:val="31"/>
          <w:szCs w:val="31"/>
          <w:b w:val="1"/>
          <w:bCs w:val="1"/>
          <w:color w:val="002875"/>
        </w:rPr>
        <w:t>2020 Proxy Statement – Summary</w:t>
      </w:r>
    </w:p>
    <w:p>
      <w:pPr>
        <w:spacing w:after="0" w:line="91" w:lineRule="exact"/>
        <w:rPr>
          <w:sz w:val="20"/>
          <w:szCs w:val="20"/>
          <w:color w:val="auto"/>
        </w:rPr>
      </w:pPr>
    </w:p>
    <w:p>
      <w:pPr>
        <w:ind w:left="1080" w:right="120"/>
        <w:spacing w:after="0" w:line="308" w:lineRule="auto"/>
        <w:rPr>
          <w:sz w:val="20"/>
          <w:szCs w:val="20"/>
          <w:color w:val="auto"/>
        </w:rPr>
      </w:pPr>
      <w:r>
        <w:rPr>
          <w:rFonts w:ascii="Arial" w:cs="Arial" w:eastAsia="Arial" w:hAnsi="Arial"/>
          <w:sz w:val="17"/>
          <w:szCs w:val="17"/>
          <w:color w:val="auto"/>
        </w:rPr>
        <w:t>This summary highlights information contained elsewhere in this proxy statement. This summary does not contain all of the information you should consider. You should read the entire proxy statement carefully before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41910</wp:posOffset>
            </wp:positionV>
            <wp:extent cx="5760720" cy="70980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60720" cy="7098030"/>
                    </a:xfrm>
                    <a:prstGeom prst="rect">
                      <a:avLst/>
                    </a:prstGeom>
                    <a:noFill/>
                  </pic:spPr>
                </pic:pic>
              </a:graphicData>
            </a:graphic>
          </wp:anchor>
        </w:drawing>
      </w:r>
    </w:p>
    <w:p>
      <w:pPr>
        <w:spacing w:after="0" w:line="118" w:lineRule="exact"/>
        <w:rPr>
          <w:sz w:val="20"/>
          <w:szCs w:val="20"/>
          <w:color w:val="auto"/>
        </w:rPr>
      </w:pPr>
    </w:p>
    <w:tbl>
      <w:tblPr>
        <w:tblLayout w:type="fixed"/>
        <w:tblInd w:w="1160" w:type="dxa"/>
        <w:tblCellMar>
          <w:top w:w="0" w:type="dxa"/>
          <w:left w:w="0" w:type="dxa"/>
          <w:bottom w:w="0" w:type="dxa"/>
          <w:right w:w="0" w:type="dxa"/>
        </w:tblCellMar>
      </w:tblPr>
      <w:tr>
        <w:trPr>
          <w:trHeight w:val="256"/>
        </w:trPr>
        <w:tc>
          <w:tcPr>
            <w:tcW w:w="4420" w:type="dxa"/>
            <w:vAlign w:val="bottom"/>
          </w:tcPr>
          <w:p>
            <w:pPr>
              <w:spacing w:after="0"/>
              <w:rPr>
                <w:sz w:val="20"/>
                <w:szCs w:val="20"/>
                <w:color w:val="auto"/>
              </w:rPr>
            </w:pPr>
            <w:r>
              <w:rPr>
                <w:rFonts w:ascii="Arial" w:cs="Arial" w:eastAsia="Arial" w:hAnsi="Arial"/>
                <w:sz w:val="20"/>
                <w:szCs w:val="20"/>
                <w:b w:val="1"/>
                <w:bCs w:val="1"/>
                <w:color w:val="3F3F3F"/>
              </w:rPr>
              <w:t>General Information</w:t>
            </w:r>
          </w:p>
        </w:tc>
        <w:tc>
          <w:tcPr>
            <w:tcW w:w="4400" w:type="dxa"/>
            <w:vAlign w:val="bottom"/>
          </w:tcPr>
          <w:p>
            <w:pPr>
              <w:ind w:left="120"/>
              <w:spacing w:after="0"/>
              <w:rPr>
                <w:sz w:val="20"/>
                <w:szCs w:val="20"/>
                <w:color w:val="auto"/>
              </w:rPr>
            </w:pPr>
            <w:r>
              <w:rPr>
                <w:rFonts w:ascii="Arial" w:cs="Arial" w:eastAsia="Arial" w:hAnsi="Arial"/>
                <w:sz w:val="20"/>
                <w:szCs w:val="20"/>
                <w:b w:val="1"/>
                <w:bCs w:val="1"/>
                <w:color w:val="3F3F3F"/>
              </w:rPr>
              <w:t>Items to be Voted On</w:t>
            </w:r>
          </w:p>
        </w:tc>
        <w:tc>
          <w:tcPr>
            <w:tcW w:w="0" w:type="dxa"/>
            <w:vAlign w:val="bottom"/>
          </w:tcPr>
          <w:p>
            <w:pPr>
              <w:spacing w:after="0"/>
              <w:rPr>
                <w:sz w:val="1"/>
                <w:szCs w:val="1"/>
                <w:color w:val="auto"/>
              </w:rPr>
            </w:pPr>
          </w:p>
        </w:tc>
      </w:tr>
      <w:tr>
        <w:trPr>
          <w:trHeight w:val="360"/>
        </w:trPr>
        <w:tc>
          <w:tcPr>
            <w:tcW w:w="4420" w:type="dxa"/>
            <w:vAlign w:val="bottom"/>
          </w:tcPr>
          <w:p>
            <w:pPr>
              <w:spacing w:after="0"/>
              <w:rPr>
                <w:sz w:val="20"/>
                <w:szCs w:val="20"/>
                <w:color w:val="auto"/>
              </w:rPr>
            </w:pPr>
            <w:r>
              <w:rPr>
                <w:rFonts w:ascii="Arial" w:cs="Arial" w:eastAsia="Arial" w:hAnsi="Arial"/>
                <w:sz w:val="18"/>
                <w:szCs w:val="18"/>
                <w:b w:val="1"/>
                <w:bCs w:val="1"/>
                <w:color w:val="auto"/>
              </w:rPr>
              <w:t xml:space="preserve">Meeting: </w:t>
            </w:r>
            <w:r>
              <w:rPr>
                <w:rFonts w:ascii="Arial" w:cs="Arial" w:eastAsia="Arial" w:hAnsi="Arial"/>
                <w:sz w:val="18"/>
                <w:szCs w:val="18"/>
                <w:color w:val="auto"/>
              </w:rPr>
              <w:t>Annual Meeting of Shareholders</w:t>
            </w:r>
          </w:p>
        </w:tc>
        <w:tc>
          <w:tcPr>
            <w:tcW w:w="4400" w:type="dxa"/>
            <w:vAlign w:val="bottom"/>
          </w:tcPr>
          <w:p>
            <w:pPr>
              <w:ind w:left="120"/>
              <w:spacing w:after="0"/>
              <w:rPr>
                <w:sz w:val="20"/>
                <w:szCs w:val="20"/>
                <w:color w:val="auto"/>
              </w:rPr>
            </w:pPr>
            <w:r>
              <w:rPr>
                <w:rFonts w:ascii="Arial" w:cs="Arial" w:eastAsia="Arial" w:hAnsi="Arial"/>
                <w:sz w:val="18"/>
                <w:szCs w:val="18"/>
                <w:b w:val="1"/>
                <w:bCs w:val="1"/>
                <w:color w:val="auto"/>
              </w:rPr>
              <w:t>1.  Election of 12 Directors</w:t>
            </w:r>
          </w:p>
        </w:tc>
        <w:tc>
          <w:tcPr>
            <w:tcW w:w="0" w:type="dxa"/>
            <w:vAlign w:val="bottom"/>
          </w:tcPr>
          <w:p>
            <w:pPr>
              <w:spacing w:after="0"/>
              <w:rPr>
                <w:sz w:val="1"/>
                <w:szCs w:val="1"/>
                <w:color w:val="auto"/>
              </w:rPr>
            </w:pPr>
          </w:p>
        </w:tc>
      </w:tr>
      <w:tr>
        <w:trPr>
          <w:trHeight w:val="364"/>
        </w:trPr>
        <w:tc>
          <w:tcPr>
            <w:tcW w:w="4420" w:type="dxa"/>
            <w:vAlign w:val="bottom"/>
            <w:vMerge w:val="restart"/>
          </w:tcPr>
          <w:p>
            <w:pPr>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May 20, 2020</w:t>
            </w:r>
          </w:p>
        </w:tc>
        <w:tc>
          <w:tcPr>
            <w:tcW w:w="4400" w:type="dxa"/>
            <w:vAlign w:val="bottom"/>
          </w:tcPr>
          <w:p>
            <w:pPr>
              <w:ind w:left="460"/>
              <w:spacing w:after="0"/>
              <w:rPr>
                <w:sz w:val="20"/>
                <w:szCs w:val="20"/>
                <w:color w:val="auto"/>
              </w:rPr>
            </w:pPr>
            <w:r>
              <w:rPr>
                <w:rFonts w:ascii="Arial" w:cs="Arial" w:eastAsia="Arial" w:hAnsi="Arial"/>
                <w:sz w:val="18"/>
                <w:szCs w:val="18"/>
                <w:i w:val="1"/>
                <w:iCs w:val="1"/>
                <w:color w:val="auto"/>
              </w:rPr>
              <w:t>Director Nominees</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4420" w:type="dxa"/>
            <w:vAlign w:val="bottom"/>
            <w:vMerge w:val="continue"/>
          </w:tcPr>
          <w:p>
            <w:pPr>
              <w:spacing w:after="0"/>
              <w:rPr>
                <w:sz w:val="5"/>
                <w:szCs w:val="5"/>
                <w:color w:val="auto"/>
              </w:rPr>
            </w:pPr>
          </w:p>
        </w:tc>
        <w:tc>
          <w:tcPr>
            <w:tcW w:w="4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3"/>
        </w:trPr>
        <w:tc>
          <w:tcPr>
            <w:tcW w:w="4420" w:type="dxa"/>
            <w:vAlign w:val="bottom"/>
            <w:vMerge w:val="restart"/>
          </w:tcPr>
          <w:p>
            <w:pPr>
              <w:spacing w:after="0"/>
              <w:rPr>
                <w:sz w:val="20"/>
                <w:szCs w:val="20"/>
                <w:color w:val="auto"/>
              </w:rPr>
            </w:pPr>
            <w:r>
              <w:rPr>
                <w:rFonts w:ascii="Arial" w:cs="Arial" w:eastAsia="Arial" w:hAnsi="Arial"/>
                <w:sz w:val="18"/>
                <w:szCs w:val="18"/>
                <w:b w:val="1"/>
                <w:bCs w:val="1"/>
                <w:color w:val="auto"/>
              </w:rPr>
              <w:t xml:space="preserve">Time: </w:t>
            </w:r>
            <w:r>
              <w:rPr>
                <w:rFonts w:ascii="Arial" w:cs="Arial" w:eastAsia="Arial" w:hAnsi="Arial"/>
                <w:sz w:val="18"/>
                <w:szCs w:val="18"/>
                <w:color w:val="auto"/>
              </w:rPr>
              <w:t>11:00 a.m. Eastern Time</w:t>
            </w:r>
          </w:p>
        </w:tc>
        <w:tc>
          <w:tcPr>
            <w:tcW w:w="4400" w:type="dxa"/>
            <w:vAlign w:val="bottom"/>
          </w:tcPr>
          <w:p>
            <w:pPr>
              <w:ind w:left="460"/>
              <w:spacing w:after="0"/>
              <w:rPr>
                <w:sz w:val="20"/>
                <w:szCs w:val="20"/>
                <w:color w:val="auto"/>
              </w:rPr>
            </w:pPr>
            <w:r>
              <w:rPr>
                <w:rFonts w:ascii="Arial" w:cs="Arial" w:eastAsia="Arial" w:hAnsi="Arial"/>
                <w:sz w:val="18"/>
                <w:szCs w:val="18"/>
                <w:color w:val="auto"/>
              </w:rPr>
              <w:t>Carl H. Lindner III</w:t>
            </w:r>
          </w:p>
        </w:tc>
        <w:tc>
          <w:tcPr>
            <w:tcW w:w="0" w:type="dxa"/>
            <w:vAlign w:val="bottom"/>
          </w:tcPr>
          <w:p>
            <w:pPr>
              <w:spacing w:after="0"/>
              <w:rPr>
                <w:sz w:val="1"/>
                <w:szCs w:val="1"/>
                <w:color w:val="auto"/>
              </w:rPr>
            </w:pPr>
          </w:p>
        </w:tc>
      </w:tr>
      <w:tr>
        <w:trPr>
          <w:trHeight w:val="149"/>
        </w:trPr>
        <w:tc>
          <w:tcPr>
            <w:tcW w:w="4420" w:type="dxa"/>
            <w:vAlign w:val="bottom"/>
            <w:vMerge w:val="continue"/>
          </w:tcPr>
          <w:p>
            <w:pPr>
              <w:spacing w:after="0"/>
              <w:rPr>
                <w:sz w:val="12"/>
                <w:szCs w:val="12"/>
                <w:color w:val="auto"/>
              </w:rPr>
            </w:pPr>
          </w:p>
        </w:tc>
        <w:tc>
          <w:tcPr>
            <w:tcW w:w="4400" w:type="dxa"/>
            <w:vAlign w:val="bottom"/>
            <w:vMerge w:val="restart"/>
          </w:tcPr>
          <w:p>
            <w:pPr>
              <w:ind w:left="460"/>
              <w:spacing w:after="0"/>
              <w:rPr>
                <w:sz w:val="20"/>
                <w:szCs w:val="20"/>
                <w:color w:val="auto"/>
              </w:rPr>
            </w:pPr>
            <w:r>
              <w:rPr>
                <w:rFonts w:ascii="Arial" w:cs="Arial" w:eastAsia="Arial" w:hAnsi="Arial"/>
                <w:sz w:val="18"/>
                <w:szCs w:val="18"/>
                <w:color w:val="auto"/>
              </w:rPr>
              <w:t>S. Craig Lindner</w:t>
            </w:r>
          </w:p>
        </w:tc>
        <w:tc>
          <w:tcPr>
            <w:tcW w:w="0" w:type="dxa"/>
            <w:vAlign w:val="bottom"/>
          </w:tcPr>
          <w:p>
            <w:pPr>
              <w:spacing w:after="0"/>
              <w:rPr>
                <w:sz w:val="1"/>
                <w:szCs w:val="1"/>
                <w:color w:val="auto"/>
              </w:rPr>
            </w:pPr>
          </w:p>
        </w:tc>
      </w:tr>
      <w:tr>
        <w:trPr>
          <w:trHeight w:val="67"/>
        </w:trPr>
        <w:tc>
          <w:tcPr>
            <w:tcW w:w="4420" w:type="dxa"/>
            <w:vAlign w:val="bottom"/>
          </w:tcPr>
          <w:p>
            <w:pPr>
              <w:spacing w:after="0"/>
              <w:rPr>
                <w:sz w:val="5"/>
                <w:szCs w:val="5"/>
                <w:color w:val="auto"/>
              </w:rPr>
            </w:pPr>
          </w:p>
        </w:tc>
        <w:tc>
          <w:tcPr>
            <w:tcW w:w="44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420" w:type="dxa"/>
            <w:vAlign w:val="bottom"/>
            <w:vMerge w:val="restart"/>
          </w:tcPr>
          <w:p>
            <w:pPr>
              <w:spacing w:after="0"/>
              <w:rPr>
                <w:sz w:val="20"/>
                <w:szCs w:val="20"/>
                <w:color w:val="auto"/>
              </w:rPr>
            </w:pPr>
            <w:r>
              <w:rPr>
                <w:rFonts w:ascii="Arial" w:cs="Arial" w:eastAsia="Arial" w:hAnsi="Arial"/>
                <w:sz w:val="18"/>
                <w:szCs w:val="18"/>
                <w:b w:val="1"/>
                <w:bCs w:val="1"/>
                <w:color w:val="auto"/>
              </w:rPr>
              <w:t xml:space="preserve">Location: </w:t>
            </w:r>
            <w:r>
              <w:rPr>
                <w:rFonts w:ascii="Arial" w:cs="Arial" w:eastAsia="Arial" w:hAnsi="Arial"/>
                <w:sz w:val="18"/>
                <w:szCs w:val="18"/>
                <w:color w:val="auto"/>
              </w:rPr>
              <w:t>Great American Insurance Group Tower,</w:t>
            </w:r>
          </w:p>
        </w:tc>
        <w:tc>
          <w:tcPr>
            <w:tcW w:w="4400" w:type="dxa"/>
            <w:vAlign w:val="bottom"/>
          </w:tcPr>
          <w:p>
            <w:pPr>
              <w:ind w:left="460"/>
              <w:spacing w:after="0"/>
              <w:rPr>
                <w:sz w:val="20"/>
                <w:szCs w:val="20"/>
                <w:color w:val="auto"/>
              </w:rPr>
            </w:pPr>
            <w:r>
              <w:rPr>
                <w:rFonts w:ascii="Arial" w:cs="Arial" w:eastAsia="Arial" w:hAnsi="Arial"/>
                <w:sz w:val="18"/>
                <w:szCs w:val="18"/>
                <w:color w:val="auto"/>
              </w:rPr>
              <w:t>Kenneth C. Ambrecht (Independent)</w:t>
            </w:r>
          </w:p>
        </w:tc>
        <w:tc>
          <w:tcPr>
            <w:tcW w:w="0" w:type="dxa"/>
            <w:vAlign w:val="bottom"/>
          </w:tcPr>
          <w:p>
            <w:pPr>
              <w:spacing w:after="0"/>
              <w:rPr>
                <w:sz w:val="1"/>
                <w:szCs w:val="1"/>
                <w:color w:val="auto"/>
              </w:rPr>
            </w:pPr>
          </w:p>
        </w:tc>
      </w:tr>
      <w:tr>
        <w:trPr>
          <w:trHeight w:val="125"/>
        </w:trPr>
        <w:tc>
          <w:tcPr>
            <w:tcW w:w="4420" w:type="dxa"/>
            <w:vAlign w:val="bottom"/>
            <w:vMerge w:val="continue"/>
          </w:tcPr>
          <w:p>
            <w:pPr>
              <w:spacing w:after="0"/>
              <w:rPr>
                <w:sz w:val="10"/>
                <w:szCs w:val="10"/>
                <w:color w:val="auto"/>
              </w:rPr>
            </w:pPr>
          </w:p>
        </w:tc>
        <w:tc>
          <w:tcPr>
            <w:tcW w:w="4400" w:type="dxa"/>
            <w:vAlign w:val="bottom"/>
            <w:vMerge w:val="restart"/>
          </w:tcPr>
          <w:p>
            <w:pPr>
              <w:ind w:left="460"/>
              <w:spacing w:after="0"/>
              <w:rPr>
                <w:sz w:val="20"/>
                <w:szCs w:val="20"/>
                <w:color w:val="auto"/>
              </w:rPr>
            </w:pPr>
            <w:r>
              <w:rPr>
                <w:rFonts w:ascii="Arial" w:cs="Arial" w:eastAsia="Arial" w:hAnsi="Arial"/>
                <w:sz w:val="18"/>
                <w:szCs w:val="18"/>
                <w:color w:val="auto"/>
              </w:rPr>
              <w:t>John B. Berding</w:t>
            </w:r>
          </w:p>
        </w:tc>
        <w:tc>
          <w:tcPr>
            <w:tcW w:w="0" w:type="dxa"/>
            <w:vAlign w:val="bottom"/>
          </w:tcPr>
          <w:p>
            <w:pPr>
              <w:spacing w:after="0"/>
              <w:rPr>
                <w:sz w:val="1"/>
                <w:szCs w:val="1"/>
                <w:color w:val="auto"/>
              </w:rPr>
            </w:pPr>
          </w:p>
        </w:tc>
      </w:tr>
      <w:tr>
        <w:trPr>
          <w:trHeight w:val="91"/>
        </w:trPr>
        <w:tc>
          <w:tcPr>
            <w:tcW w:w="4420" w:type="dxa"/>
            <w:vAlign w:val="bottom"/>
            <w:vMerge w:val="restart"/>
          </w:tcPr>
          <w:p>
            <w:pPr>
              <w:spacing w:after="0" w:line="267" w:lineRule="exact"/>
              <w:rPr>
                <w:sz w:val="20"/>
                <w:szCs w:val="20"/>
                <w:color w:val="auto"/>
              </w:rPr>
            </w:pPr>
            <w:r>
              <w:rPr>
                <w:rFonts w:ascii="Arial" w:cs="Arial" w:eastAsia="Arial" w:hAnsi="Arial"/>
                <w:sz w:val="18"/>
                <w:szCs w:val="18"/>
                <w:color w:val="auto"/>
              </w:rPr>
              <w:t>18</w:t>
            </w:r>
            <w:r>
              <w:rPr>
                <w:rFonts w:ascii="Arial" w:cs="Arial" w:eastAsia="Arial" w:hAnsi="Arial"/>
                <w:sz w:val="29"/>
                <w:szCs w:val="29"/>
                <w:color w:val="auto"/>
                <w:vertAlign w:val="superscript"/>
              </w:rPr>
              <w:t>th</w:t>
            </w:r>
            <w:r>
              <w:rPr>
                <w:rFonts w:ascii="Arial" w:cs="Arial" w:eastAsia="Arial" w:hAnsi="Arial"/>
                <w:sz w:val="18"/>
                <w:szCs w:val="18"/>
                <w:color w:val="auto"/>
              </w:rPr>
              <w:t>Floor, 301 East Fourth Street, Cincinnati, Ohio</w:t>
            </w:r>
          </w:p>
        </w:tc>
        <w:tc>
          <w:tcPr>
            <w:tcW w:w="44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4420" w:type="dxa"/>
            <w:vAlign w:val="bottom"/>
            <w:vMerge w:val="continue"/>
          </w:tcPr>
          <w:p>
            <w:pPr>
              <w:spacing w:after="0"/>
              <w:rPr>
                <w:sz w:val="15"/>
                <w:szCs w:val="15"/>
                <w:color w:val="auto"/>
              </w:rPr>
            </w:pPr>
          </w:p>
        </w:tc>
        <w:tc>
          <w:tcPr>
            <w:tcW w:w="4400" w:type="dxa"/>
            <w:vAlign w:val="bottom"/>
            <w:vMerge w:val="restart"/>
          </w:tcPr>
          <w:p>
            <w:pPr>
              <w:ind w:left="460"/>
              <w:spacing w:after="0"/>
              <w:rPr>
                <w:sz w:val="20"/>
                <w:szCs w:val="20"/>
                <w:color w:val="auto"/>
              </w:rPr>
            </w:pPr>
            <w:r>
              <w:rPr>
                <w:rFonts w:ascii="Arial" w:cs="Arial" w:eastAsia="Arial" w:hAnsi="Arial"/>
                <w:sz w:val="18"/>
                <w:szCs w:val="18"/>
                <w:color w:val="auto"/>
              </w:rPr>
              <w:t>Joseph E. (Jeff) Consolino</w:t>
            </w:r>
          </w:p>
        </w:tc>
        <w:tc>
          <w:tcPr>
            <w:tcW w:w="0" w:type="dxa"/>
            <w:vAlign w:val="bottom"/>
          </w:tcPr>
          <w:p>
            <w:pPr>
              <w:spacing w:after="0"/>
              <w:rPr>
                <w:sz w:val="1"/>
                <w:szCs w:val="1"/>
                <w:color w:val="auto"/>
              </w:rPr>
            </w:pPr>
          </w:p>
        </w:tc>
      </w:tr>
      <w:tr>
        <w:trPr>
          <w:trHeight w:val="40"/>
        </w:trPr>
        <w:tc>
          <w:tcPr>
            <w:tcW w:w="4420" w:type="dxa"/>
            <w:vAlign w:val="bottom"/>
          </w:tcPr>
          <w:p>
            <w:pPr>
              <w:spacing w:after="0"/>
              <w:rPr>
                <w:sz w:val="3"/>
                <w:szCs w:val="3"/>
                <w:color w:val="auto"/>
              </w:rPr>
            </w:pPr>
          </w:p>
        </w:tc>
        <w:tc>
          <w:tcPr>
            <w:tcW w:w="44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4420" w:type="dxa"/>
            <w:vAlign w:val="bottom"/>
            <w:vMerge w:val="restart"/>
          </w:tcPr>
          <w:p>
            <w:pPr>
              <w:spacing w:after="0"/>
              <w:rPr>
                <w:sz w:val="20"/>
                <w:szCs w:val="20"/>
                <w:color w:val="auto"/>
              </w:rPr>
            </w:pPr>
            <w:r>
              <w:rPr>
                <w:rFonts w:ascii="Arial" w:cs="Arial" w:eastAsia="Arial" w:hAnsi="Arial"/>
                <w:sz w:val="18"/>
                <w:szCs w:val="18"/>
                <w:b w:val="1"/>
                <w:bCs w:val="1"/>
                <w:color w:val="auto"/>
              </w:rPr>
              <w:t xml:space="preserve">Record Date: </w:t>
            </w:r>
            <w:r>
              <w:rPr>
                <w:rFonts w:ascii="Arial" w:cs="Arial" w:eastAsia="Arial" w:hAnsi="Arial"/>
                <w:sz w:val="18"/>
                <w:szCs w:val="18"/>
                <w:color w:val="auto"/>
              </w:rPr>
              <w:t>March 27, 2020</w:t>
            </w:r>
          </w:p>
        </w:tc>
        <w:tc>
          <w:tcPr>
            <w:tcW w:w="4400" w:type="dxa"/>
            <w:vAlign w:val="bottom"/>
          </w:tcPr>
          <w:p>
            <w:pPr>
              <w:ind w:left="460"/>
              <w:spacing w:after="0"/>
              <w:rPr>
                <w:sz w:val="20"/>
                <w:szCs w:val="20"/>
                <w:color w:val="auto"/>
              </w:rPr>
            </w:pPr>
            <w:r>
              <w:rPr>
                <w:rFonts w:ascii="Arial" w:cs="Arial" w:eastAsia="Arial" w:hAnsi="Arial"/>
                <w:sz w:val="18"/>
                <w:szCs w:val="18"/>
                <w:color w:val="auto"/>
              </w:rPr>
              <w:t>Virginia “Gina” C. Drosos (Independent)</w:t>
            </w:r>
          </w:p>
        </w:tc>
        <w:tc>
          <w:tcPr>
            <w:tcW w:w="0" w:type="dxa"/>
            <w:vAlign w:val="bottom"/>
          </w:tcPr>
          <w:p>
            <w:pPr>
              <w:spacing w:after="0"/>
              <w:rPr>
                <w:sz w:val="1"/>
                <w:szCs w:val="1"/>
                <w:color w:val="auto"/>
              </w:rPr>
            </w:pPr>
          </w:p>
        </w:tc>
      </w:tr>
      <w:tr>
        <w:trPr>
          <w:trHeight w:val="149"/>
        </w:trPr>
        <w:tc>
          <w:tcPr>
            <w:tcW w:w="4420" w:type="dxa"/>
            <w:vAlign w:val="bottom"/>
            <w:vMerge w:val="continue"/>
          </w:tcPr>
          <w:p>
            <w:pPr>
              <w:spacing w:after="0"/>
              <w:rPr>
                <w:sz w:val="12"/>
                <w:szCs w:val="12"/>
                <w:color w:val="auto"/>
              </w:rPr>
            </w:pPr>
          </w:p>
        </w:tc>
        <w:tc>
          <w:tcPr>
            <w:tcW w:w="4400" w:type="dxa"/>
            <w:vAlign w:val="bottom"/>
            <w:vMerge w:val="restart"/>
          </w:tcPr>
          <w:p>
            <w:pPr>
              <w:ind w:left="460"/>
              <w:spacing w:after="0"/>
              <w:rPr>
                <w:sz w:val="20"/>
                <w:szCs w:val="20"/>
                <w:color w:val="auto"/>
              </w:rPr>
            </w:pPr>
            <w:r>
              <w:rPr>
                <w:rFonts w:ascii="Arial" w:cs="Arial" w:eastAsia="Arial" w:hAnsi="Arial"/>
                <w:sz w:val="18"/>
                <w:szCs w:val="18"/>
                <w:color w:val="auto"/>
              </w:rPr>
              <w:t>James E. Evans</w:t>
            </w:r>
          </w:p>
        </w:tc>
        <w:tc>
          <w:tcPr>
            <w:tcW w:w="0" w:type="dxa"/>
            <w:vAlign w:val="bottom"/>
          </w:tcPr>
          <w:p>
            <w:pPr>
              <w:spacing w:after="0"/>
              <w:rPr>
                <w:sz w:val="1"/>
                <w:szCs w:val="1"/>
                <w:color w:val="auto"/>
              </w:rPr>
            </w:pPr>
          </w:p>
        </w:tc>
      </w:tr>
      <w:tr>
        <w:trPr>
          <w:trHeight w:val="67"/>
        </w:trPr>
        <w:tc>
          <w:tcPr>
            <w:tcW w:w="4420" w:type="dxa"/>
            <w:vAlign w:val="bottom"/>
          </w:tcPr>
          <w:p>
            <w:pPr>
              <w:spacing w:after="0"/>
              <w:rPr>
                <w:sz w:val="5"/>
                <w:szCs w:val="5"/>
                <w:color w:val="auto"/>
              </w:rPr>
            </w:pPr>
          </w:p>
        </w:tc>
        <w:tc>
          <w:tcPr>
            <w:tcW w:w="44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420" w:type="dxa"/>
            <w:vAlign w:val="bottom"/>
            <w:vMerge w:val="restart"/>
          </w:tcPr>
          <w:p>
            <w:pPr>
              <w:spacing w:after="0"/>
              <w:rPr>
                <w:sz w:val="20"/>
                <w:szCs w:val="20"/>
                <w:color w:val="auto"/>
              </w:rPr>
            </w:pPr>
            <w:r>
              <w:rPr>
                <w:rFonts w:ascii="Arial" w:cs="Arial" w:eastAsia="Arial" w:hAnsi="Arial"/>
                <w:sz w:val="18"/>
                <w:szCs w:val="18"/>
                <w:b w:val="1"/>
                <w:bCs w:val="1"/>
                <w:color w:val="auto"/>
                <w:w w:val="99"/>
              </w:rPr>
              <w:t xml:space="preserve">Common Shares Entitled to Vote: </w:t>
            </w:r>
            <w:r>
              <w:rPr>
                <w:rFonts w:ascii="Arial" w:cs="Arial" w:eastAsia="Arial" w:hAnsi="Arial"/>
                <w:sz w:val="18"/>
                <w:szCs w:val="18"/>
                <w:color w:val="auto"/>
                <w:w w:val="99"/>
              </w:rPr>
              <w:t>89,857,336 shares</w:t>
            </w:r>
          </w:p>
        </w:tc>
        <w:tc>
          <w:tcPr>
            <w:tcW w:w="4400" w:type="dxa"/>
            <w:vAlign w:val="bottom"/>
          </w:tcPr>
          <w:p>
            <w:pPr>
              <w:ind w:left="460"/>
              <w:spacing w:after="0"/>
              <w:rPr>
                <w:sz w:val="20"/>
                <w:szCs w:val="20"/>
                <w:color w:val="auto"/>
              </w:rPr>
            </w:pPr>
            <w:r>
              <w:rPr>
                <w:rFonts w:ascii="Arial" w:cs="Arial" w:eastAsia="Arial" w:hAnsi="Arial"/>
                <w:sz w:val="18"/>
                <w:szCs w:val="18"/>
                <w:color w:val="auto"/>
              </w:rPr>
              <w:t>Terry S. Jacobs (Independent)</w:t>
            </w:r>
          </w:p>
        </w:tc>
        <w:tc>
          <w:tcPr>
            <w:tcW w:w="0" w:type="dxa"/>
            <w:vAlign w:val="bottom"/>
          </w:tcPr>
          <w:p>
            <w:pPr>
              <w:spacing w:after="0"/>
              <w:rPr>
                <w:sz w:val="1"/>
                <w:szCs w:val="1"/>
                <w:color w:val="auto"/>
              </w:rPr>
            </w:pPr>
          </w:p>
        </w:tc>
      </w:tr>
      <w:tr>
        <w:trPr>
          <w:trHeight w:val="149"/>
        </w:trPr>
        <w:tc>
          <w:tcPr>
            <w:tcW w:w="4420" w:type="dxa"/>
            <w:vAlign w:val="bottom"/>
            <w:vMerge w:val="continue"/>
          </w:tcPr>
          <w:p>
            <w:pPr>
              <w:spacing w:after="0"/>
              <w:rPr>
                <w:sz w:val="12"/>
                <w:szCs w:val="12"/>
                <w:color w:val="auto"/>
              </w:rPr>
            </w:pPr>
          </w:p>
        </w:tc>
        <w:tc>
          <w:tcPr>
            <w:tcW w:w="4400" w:type="dxa"/>
            <w:vAlign w:val="bottom"/>
            <w:vMerge w:val="restart"/>
          </w:tcPr>
          <w:p>
            <w:pPr>
              <w:ind w:left="460"/>
              <w:spacing w:after="0"/>
              <w:rPr>
                <w:sz w:val="20"/>
                <w:szCs w:val="20"/>
                <w:color w:val="auto"/>
              </w:rPr>
            </w:pPr>
            <w:r>
              <w:rPr>
                <w:rFonts w:ascii="Arial" w:cs="Arial" w:eastAsia="Arial" w:hAnsi="Arial"/>
                <w:sz w:val="18"/>
                <w:szCs w:val="18"/>
                <w:color w:val="auto"/>
              </w:rPr>
              <w:t>Gregory G. Joseph (Independent)</w:t>
            </w:r>
          </w:p>
        </w:tc>
        <w:tc>
          <w:tcPr>
            <w:tcW w:w="0" w:type="dxa"/>
            <w:vAlign w:val="bottom"/>
          </w:tcPr>
          <w:p>
            <w:pPr>
              <w:spacing w:after="0"/>
              <w:rPr>
                <w:sz w:val="1"/>
                <w:szCs w:val="1"/>
                <w:color w:val="auto"/>
              </w:rPr>
            </w:pPr>
          </w:p>
        </w:tc>
      </w:tr>
      <w:tr>
        <w:trPr>
          <w:trHeight w:val="67"/>
        </w:trPr>
        <w:tc>
          <w:tcPr>
            <w:tcW w:w="4420" w:type="dxa"/>
            <w:vAlign w:val="bottom"/>
          </w:tcPr>
          <w:p>
            <w:pPr>
              <w:spacing w:after="0"/>
              <w:rPr>
                <w:sz w:val="5"/>
                <w:szCs w:val="5"/>
                <w:color w:val="auto"/>
              </w:rPr>
            </w:pPr>
          </w:p>
        </w:tc>
        <w:tc>
          <w:tcPr>
            <w:tcW w:w="44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420" w:type="dxa"/>
            <w:vAlign w:val="bottom"/>
            <w:vMerge w:val="restart"/>
          </w:tcPr>
          <w:p>
            <w:pPr>
              <w:spacing w:after="0"/>
              <w:rPr>
                <w:sz w:val="20"/>
                <w:szCs w:val="20"/>
                <w:color w:val="auto"/>
              </w:rPr>
            </w:pPr>
            <w:r>
              <w:rPr>
                <w:rFonts w:ascii="Arial" w:cs="Arial" w:eastAsia="Arial" w:hAnsi="Arial"/>
                <w:sz w:val="18"/>
                <w:szCs w:val="18"/>
                <w:b w:val="1"/>
                <w:bCs w:val="1"/>
                <w:color w:val="auto"/>
              </w:rPr>
              <w:t xml:space="preserve">Stock Symbol: </w:t>
            </w:r>
            <w:r>
              <w:rPr>
                <w:rFonts w:ascii="Arial" w:cs="Arial" w:eastAsia="Arial" w:hAnsi="Arial"/>
                <w:sz w:val="18"/>
                <w:szCs w:val="18"/>
                <w:color w:val="auto"/>
              </w:rPr>
              <w:t>AFG</w:t>
            </w:r>
          </w:p>
        </w:tc>
        <w:tc>
          <w:tcPr>
            <w:tcW w:w="4400" w:type="dxa"/>
            <w:vAlign w:val="bottom"/>
          </w:tcPr>
          <w:p>
            <w:pPr>
              <w:ind w:left="460"/>
              <w:spacing w:after="0"/>
              <w:rPr>
                <w:sz w:val="20"/>
                <w:szCs w:val="20"/>
                <w:color w:val="auto"/>
              </w:rPr>
            </w:pPr>
            <w:r>
              <w:rPr>
                <w:rFonts w:ascii="Arial" w:cs="Arial" w:eastAsia="Arial" w:hAnsi="Arial"/>
                <w:sz w:val="18"/>
                <w:szCs w:val="18"/>
                <w:color w:val="auto"/>
              </w:rPr>
              <w:t>Mary Beth Martin (Independent)</w:t>
            </w:r>
          </w:p>
        </w:tc>
        <w:tc>
          <w:tcPr>
            <w:tcW w:w="0" w:type="dxa"/>
            <w:vAlign w:val="bottom"/>
          </w:tcPr>
          <w:p>
            <w:pPr>
              <w:spacing w:after="0"/>
              <w:rPr>
                <w:sz w:val="1"/>
                <w:szCs w:val="1"/>
                <w:color w:val="auto"/>
              </w:rPr>
            </w:pPr>
          </w:p>
        </w:tc>
      </w:tr>
      <w:tr>
        <w:trPr>
          <w:trHeight w:val="149"/>
        </w:trPr>
        <w:tc>
          <w:tcPr>
            <w:tcW w:w="4420" w:type="dxa"/>
            <w:vAlign w:val="bottom"/>
            <w:vMerge w:val="continue"/>
          </w:tcPr>
          <w:p>
            <w:pPr>
              <w:spacing w:after="0"/>
              <w:rPr>
                <w:sz w:val="12"/>
                <w:szCs w:val="12"/>
                <w:color w:val="auto"/>
              </w:rPr>
            </w:pPr>
          </w:p>
        </w:tc>
        <w:tc>
          <w:tcPr>
            <w:tcW w:w="4400" w:type="dxa"/>
            <w:vAlign w:val="bottom"/>
            <w:vMerge w:val="restart"/>
          </w:tcPr>
          <w:p>
            <w:pPr>
              <w:ind w:left="460"/>
              <w:spacing w:after="0"/>
              <w:rPr>
                <w:sz w:val="20"/>
                <w:szCs w:val="20"/>
                <w:color w:val="auto"/>
              </w:rPr>
            </w:pPr>
            <w:r>
              <w:rPr>
                <w:rFonts w:ascii="Arial" w:cs="Arial" w:eastAsia="Arial" w:hAnsi="Arial"/>
                <w:sz w:val="18"/>
                <w:szCs w:val="18"/>
                <w:color w:val="auto"/>
              </w:rPr>
              <w:t>William W. Verity (Independent)</w:t>
            </w:r>
          </w:p>
        </w:tc>
        <w:tc>
          <w:tcPr>
            <w:tcW w:w="0" w:type="dxa"/>
            <w:vAlign w:val="bottom"/>
          </w:tcPr>
          <w:p>
            <w:pPr>
              <w:spacing w:after="0"/>
              <w:rPr>
                <w:sz w:val="1"/>
                <w:szCs w:val="1"/>
                <w:color w:val="auto"/>
              </w:rPr>
            </w:pPr>
          </w:p>
        </w:tc>
      </w:tr>
      <w:tr>
        <w:trPr>
          <w:trHeight w:val="67"/>
        </w:trPr>
        <w:tc>
          <w:tcPr>
            <w:tcW w:w="4420" w:type="dxa"/>
            <w:vAlign w:val="bottom"/>
          </w:tcPr>
          <w:p>
            <w:pPr>
              <w:spacing w:after="0"/>
              <w:rPr>
                <w:sz w:val="5"/>
                <w:szCs w:val="5"/>
                <w:color w:val="auto"/>
              </w:rPr>
            </w:pPr>
          </w:p>
        </w:tc>
        <w:tc>
          <w:tcPr>
            <w:tcW w:w="44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4420" w:type="dxa"/>
            <w:vAlign w:val="bottom"/>
            <w:vMerge w:val="restart"/>
          </w:tcPr>
          <w:p>
            <w:pPr>
              <w:spacing w:after="0"/>
              <w:rPr>
                <w:sz w:val="20"/>
                <w:szCs w:val="20"/>
                <w:color w:val="auto"/>
              </w:rPr>
            </w:pPr>
            <w:r>
              <w:rPr>
                <w:rFonts w:ascii="Arial" w:cs="Arial" w:eastAsia="Arial" w:hAnsi="Arial"/>
                <w:sz w:val="18"/>
                <w:szCs w:val="18"/>
                <w:b w:val="1"/>
                <w:bCs w:val="1"/>
                <w:color w:val="auto"/>
              </w:rPr>
              <w:t xml:space="preserve">Exchange: </w:t>
            </w:r>
            <w:r>
              <w:rPr>
                <w:rFonts w:ascii="Arial" w:cs="Arial" w:eastAsia="Arial" w:hAnsi="Arial"/>
                <w:sz w:val="18"/>
                <w:szCs w:val="18"/>
                <w:color w:val="auto"/>
              </w:rPr>
              <w:t>NYSE</w:t>
            </w:r>
          </w:p>
        </w:tc>
        <w:tc>
          <w:tcPr>
            <w:tcW w:w="4400" w:type="dxa"/>
            <w:vAlign w:val="bottom"/>
          </w:tcPr>
          <w:p>
            <w:pPr>
              <w:ind w:left="460"/>
              <w:spacing w:after="0"/>
              <w:rPr>
                <w:sz w:val="20"/>
                <w:szCs w:val="20"/>
                <w:color w:val="auto"/>
              </w:rPr>
            </w:pPr>
            <w:r>
              <w:rPr>
                <w:rFonts w:ascii="Arial" w:cs="Arial" w:eastAsia="Arial" w:hAnsi="Arial"/>
                <w:sz w:val="18"/>
                <w:szCs w:val="18"/>
                <w:color w:val="auto"/>
              </w:rPr>
              <w:t>John I. Von Lehman (Independent)</w:t>
            </w:r>
          </w:p>
        </w:tc>
        <w:tc>
          <w:tcPr>
            <w:tcW w:w="0" w:type="dxa"/>
            <w:vAlign w:val="bottom"/>
          </w:tcPr>
          <w:p>
            <w:pPr>
              <w:spacing w:after="0"/>
              <w:rPr>
                <w:sz w:val="1"/>
                <w:szCs w:val="1"/>
                <w:color w:val="auto"/>
              </w:rPr>
            </w:pPr>
          </w:p>
        </w:tc>
      </w:tr>
      <w:tr>
        <w:trPr>
          <w:trHeight w:val="135"/>
        </w:trPr>
        <w:tc>
          <w:tcPr>
            <w:tcW w:w="4420" w:type="dxa"/>
            <w:vAlign w:val="bottom"/>
            <w:vMerge w:val="continue"/>
          </w:tcPr>
          <w:p>
            <w:pPr>
              <w:spacing w:after="0"/>
              <w:rPr>
                <w:sz w:val="11"/>
                <w:szCs w:val="11"/>
                <w:color w:val="auto"/>
              </w:rPr>
            </w:pPr>
          </w:p>
        </w:tc>
        <w:tc>
          <w:tcPr>
            <w:tcW w:w="440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2.  Ratification of Independent Registered Public</w:t>
            </w:r>
          </w:p>
        </w:tc>
        <w:tc>
          <w:tcPr>
            <w:tcW w:w="0" w:type="dxa"/>
            <w:vAlign w:val="bottom"/>
          </w:tcPr>
          <w:p>
            <w:pPr>
              <w:spacing w:after="0"/>
              <w:rPr>
                <w:sz w:val="1"/>
                <w:szCs w:val="1"/>
                <w:color w:val="auto"/>
              </w:rPr>
            </w:pPr>
          </w:p>
        </w:tc>
      </w:tr>
      <w:tr>
        <w:trPr>
          <w:trHeight w:val="211"/>
        </w:trPr>
        <w:tc>
          <w:tcPr>
            <w:tcW w:w="4420" w:type="dxa"/>
            <w:vAlign w:val="bottom"/>
            <w:vMerge w:val="restart"/>
          </w:tcPr>
          <w:p>
            <w:pPr>
              <w:spacing w:after="0"/>
              <w:rPr>
                <w:sz w:val="20"/>
                <w:szCs w:val="20"/>
                <w:color w:val="auto"/>
              </w:rPr>
            </w:pPr>
            <w:r>
              <w:rPr>
                <w:rFonts w:ascii="Arial" w:cs="Arial" w:eastAsia="Arial" w:hAnsi="Arial"/>
                <w:sz w:val="18"/>
                <w:szCs w:val="18"/>
                <w:b w:val="1"/>
                <w:bCs w:val="1"/>
                <w:color w:val="auto"/>
              </w:rPr>
              <w:t xml:space="preserve">State of Incorporation: </w:t>
            </w:r>
            <w:r>
              <w:rPr>
                <w:rFonts w:ascii="Arial" w:cs="Arial" w:eastAsia="Arial" w:hAnsi="Arial"/>
                <w:sz w:val="18"/>
                <w:szCs w:val="18"/>
                <w:color w:val="auto"/>
              </w:rPr>
              <w:t>Ohio</w:t>
            </w:r>
          </w:p>
        </w:tc>
        <w:tc>
          <w:tcPr>
            <w:tcW w:w="4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420" w:type="dxa"/>
            <w:vAlign w:val="bottom"/>
            <w:vMerge w:val="continue"/>
          </w:tcPr>
          <w:p>
            <w:pPr>
              <w:spacing w:after="0"/>
              <w:rPr>
                <w:sz w:val="20"/>
                <w:szCs w:val="20"/>
                <w:color w:val="auto"/>
              </w:rPr>
            </w:pPr>
          </w:p>
        </w:tc>
        <w:tc>
          <w:tcPr>
            <w:tcW w:w="4400" w:type="dxa"/>
            <w:vAlign w:val="bottom"/>
          </w:tcPr>
          <w:p>
            <w:pPr>
              <w:ind w:left="460"/>
              <w:spacing w:after="0"/>
              <w:rPr>
                <w:sz w:val="20"/>
                <w:szCs w:val="20"/>
                <w:color w:val="auto"/>
              </w:rPr>
            </w:pPr>
            <w:r>
              <w:rPr>
                <w:rFonts w:ascii="Arial" w:cs="Arial" w:eastAsia="Arial" w:hAnsi="Arial"/>
                <w:sz w:val="18"/>
                <w:szCs w:val="18"/>
                <w:b w:val="1"/>
                <w:bCs w:val="1"/>
                <w:color w:val="auto"/>
              </w:rPr>
              <w:t>Accounting Firm</w:t>
            </w:r>
          </w:p>
        </w:tc>
        <w:tc>
          <w:tcPr>
            <w:tcW w:w="0" w:type="dxa"/>
            <w:vAlign w:val="bottom"/>
          </w:tcPr>
          <w:p>
            <w:pPr>
              <w:spacing w:after="0"/>
              <w:rPr>
                <w:sz w:val="1"/>
                <w:szCs w:val="1"/>
                <w:color w:val="auto"/>
              </w:rPr>
            </w:pPr>
          </w:p>
        </w:tc>
      </w:tr>
      <w:tr>
        <w:trPr>
          <w:trHeight w:val="364"/>
        </w:trPr>
        <w:tc>
          <w:tcPr>
            <w:tcW w:w="4420" w:type="dxa"/>
            <w:vAlign w:val="bottom"/>
          </w:tcPr>
          <w:p>
            <w:pPr>
              <w:spacing w:after="0"/>
              <w:rPr>
                <w:sz w:val="20"/>
                <w:szCs w:val="20"/>
                <w:color w:val="auto"/>
              </w:rPr>
            </w:pPr>
            <w:r>
              <w:rPr>
                <w:rFonts w:ascii="Arial" w:cs="Arial" w:eastAsia="Arial" w:hAnsi="Arial"/>
                <w:sz w:val="18"/>
                <w:szCs w:val="18"/>
                <w:b w:val="1"/>
                <w:bCs w:val="1"/>
                <w:color w:val="auto"/>
              </w:rPr>
              <w:t xml:space="preserve">Corporate Website: </w:t>
            </w:r>
            <w:r>
              <w:rPr>
                <w:rFonts w:ascii="Arial" w:cs="Arial" w:eastAsia="Arial" w:hAnsi="Arial"/>
                <w:sz w:val="18"/>
                <w:szCs w:val="18"/>
                <w:color w:val="auto"/>
              </w:rPr>
              <w:t>www.AFGinc.com</w:t>
            </w:r>
          </w:p>
        </w:tc>
        <w:tc>
          <w:tcPr>
            <w:tcW w:w="4400" w:type="dxa"/>
            <w:vAlign w:val="bottom"/>
          </w:tcPr>
          <w:p>
            <w:pPr>
              <w:ind w:left="120"/>
              <w:spacing w:after="0"/>
              <w:rPr>
                <w:sz w:val="20"/>
                <w:szCs w:val="20"/>
                <w:color w:val="auto"/>
              </w:rPr>
            </w:pPr>
            <w:r>
              <w:rPr>
                <w:rFonts w:ascii="Arial" w:cs="Arial" w:eastAsia="Arial" w:hAnsi="Arial"/>
                <w:sz w:val="18"/>
                <w:szCs w:val="18"/>
                <w:b w:val="1"/>
                <w:bCs w:val="1"/>
                <w:color w:val="auto"/>
                <w:w w:val="91"/>
              </w:rPr>
              <w:t>3.  Advisory Vote to Approve Compensation of Named</w:t>
            </w:r>
          </w:p>
        </w:tc>
        <w:tc>
          <w:tcPr>
            <w:tcW w:w="0" w:type="dxa"/>
            <w:vAlign w:val="bottom"/>
          </w:tcPr>
          <w:p>
            <w:pPr>
              <w:spacing w:after="0"/>
              <w:rPr>
                <w:sz w:val="1"/>
                <w:szCs w:val="1"/>
                <w:color w:val="auto"/>
              </w:rPr>
            </w:pPr>
          </w:p>
        </w:tc>
      </w:tr>
      <w:tr>
        <w:trPr>
          <w:trHeight w:val="234"/>
        </w:trPr>
        <w:tc>
          <w:tcPr>
            <w:tcW w:w="4420" w:type="dxa"/>
            <w:vAlign w:val="bottom"/>
          </w:tcPr>
          <w:p>
            <w:pPr>
              <w:spacing w:after="0"/>
              <w:rPr>
                <w:sz w:val="20"/>
                <w:szCs w:val="20"/>
                <w:color w:val="auto"/>
              </w:rPr>
            </w:pPr>
          </w:p>
        </w:tc>
        <w:tc>
          <w:tcPr>
            <w:tcW w:w="4400" w:type="dxa"/>
            <w:vAlign w:val="bottom"/>
          </w:tcPr>
          <w:p>
            <w:pPr>
              <w:ind w:left="460"/>
              <w:spacing w:after="0"/>
              <w:rPr>
                <w:sz w:val="20"/>
                <w:szCs w:val="20"/>
                <w:color w:val="auto"/>
              </w:rPr>
            </w:pPr>
            <w:r>
              <w:rPr>
                <w:rFonts w:ascii="Arial" w:cs="Arial" w:eastAsia="Arial" w:hAnsi="Arial"/>
                <w:sz w:val="18"/>
                <w:szCs w:val="18"/>
                <w:b w:val="1"/>
                <w:bCs w:val="1"/>
                <w:color w:val="auto"/>
              </w:rPr>
              <w:t>Executive Officers (“Say-on-Pay”)</w:t>
            </w:r>
          </w:p>
        </w:tc>
        <w:tc>
          <w:tcPr>
            <w:tcW w:w="0" w:type="dxa"/>
            <w:vAlign w:val="bottom"/>
          </w:tcPr>
          <w:p>
            <w:pPr>
              <w:spacing w:after="0"/>
              <w:rPr>
                <w:sz w:val="1"/>
                <w:szCs w:val="1"/>
                <w:color w:val="auto"/>
              </w:rPr>
            </w:pPr>
          </w:p>
        </w:tc>
      </w:tr>
      <w:tr>
        <w:trPr>
          <w:trHeight w:val="345"/>
        </w:trPr>
        <w:tc>
          <w:tcPr>
            <w:tcW w:w="4420" w:type="dxa"/>
            <w:vAlign w:val="bottom"/>
          </w:tcPr>
          <w:p>
            <w:pPr>
              <w:ind w:left="300"/>
              <w:spacing w:after="0"/>
              <w:rPr>
                <w:sz w:val="20"/>
                <w:szCs w:val="20"/>
                <w:color w:val="auto"/>
              </w:rPr>
            </w:pPr>
            <w:r>
              <w:rPr>
                <w:rFonts w:ascii="Arial" w:cs="Arial" w:eastAsia="Arial" w:hAnsi="Arial"/>
                <w:sz w:val="18"/>
                <w:szCs w:val="18"/>
                <w:color w:val="auto"/>
                <w:w w:val="96"/>
              </w:rPr>
              <w:t>References to our website in this proxy statement are</w:t>
            </w:r>
          </w:p>
        </w:tc>
        <w:tc>
          <w:tcPr>
            <w:tcW w:w="4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300"/>
              <w:spacing w:after="0"/>
              <w:rPr>
                <w:sz w:val="20"/>
                <w:szCs w:val="20"/>
                <w:color w:val="auto"/>
              </w:rPr>
            </w:pPr>
            <w:r>
              <w:rPr>
                <w:rFonts w:ascii="Arial" w:cs="Arial" w:eastAsia="Arial" w:hAnsi="Arial"/>
                <w:sz w:val="18"/>
                <w:szCs w:val="18"/>
                <w:color w:val="auto"/>
                <w:w w:val="99"/>
              </w:rPr>
              <w:t>for informational purposes only, and the information</w:t>
            </w:r>
          </w:p>
        </w:tc>
        <w:tc>
          <w:tcPr>
            <w:tcW w:w="4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300"/>
              <w:spacing w:after="0"/>
              <w:rPr>
                <w:sz w:val="20"/>
                <w:szCs w:val="20"/>
                <w:color w:val="auto"/>
              </w:rPr>
            </w:pPr>
            <w:r>
              <w:rPr>
                <w:rFonts w:ascii="Arial" w:cs="Arial" w:eastAsia="Arial" w:hAnsi="Arial"/>
                <w:sz w:val="18"/>
                <w:szCs w:val="18"/>
                <w:color w:val="auto"/>
                <w:w w:val="99"/>
              </w:rPr>
              <w:t>contained on, or that may be accessed through, our</w:t>
            </w:r>
          </w:p>
        </w:tc>
        <w:tc>
          <w:tcPr>
            <w:tcW w:w="4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300"/>
              <w:spacing w:after="0"/>
              <w:rPr>
                <w:sz w:val="20"/>
                <w:szCs w:val="20"/>
                <w:color w:val="auto"/>
              </w:rPr>
            </w:pPr>
            <w:r>
              <w:rPr>
                <w:rFonts w:ascii="Arial" w:cs="Arial" w:eastAsia="Arial" w:hAnsi="Arial"/>
                <w:sz w:val="18"/>
                <w:szCs w:val="18"/>
                <w:color w:val="auto"/>
                <w:w w:val="92"/>
              </w:rPr>
              <w:t>website is not incorporated by reference into, and is not</w:t>
            </w:r>
          </w:p>
        </w:tc>
        <w:tc>
          <w:tcPr>
            <w:tcW w:w="4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20" w:type="dxa"/>
            <w:vAlign w:val="bottom"/>
          </w:tcPr>
          <w:p>
            <w:pPr>
              <w:ind w:left="300"/>
              <w:spacing w:after="0"/>
              <w:rPr>
                <w:sz w:val="20"/>
                <w:szCs w:val="20"/>
                <w:color w:val="auto"/>
              </w:rPr>
            </w:pPr>
            <w:r>
              <w:rPr>
                <w:rFonts w:ascii="Arial" w:cs="Arial" w:eastAsia="Arial" w:hAnsi="Arial"/>
                <w:sz w:val="18"/>
                <w:szCs w:val="18"/>
                <w:color w:val="auto"/>
              </w:rPr>
              <w:t>a part of, this proxy statement.</w:t>
            </w:r>
          </w:p>
        </w:tc>
        <w:tc>
          <w:tcPr>
            <w:tcW w:w="44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55" w:lineRule="exact"/>
        <w:rPr>
          <w:sz w:val="20"/>
          <w:szCs w:val="20"/>
          <w:color w:val="auto"/>
        </w:rPr>
      </w:pPr>
    </w:p>
    <w:tbl>
      <w:tblPr>
        <w:tblLayout w:type="fixed"/>
        <w:tblInd w:w="1160" w:type="dxa"/>
        <w:tblCellMar>
          <w:top w:w="0" w:type="dxa"/>
          <w:left w:w="0" w:type="dxa"/>
          <w:bottom w:w="0" w:type="dxa"/>
          <w:right w:w="0" w:type="dxa"/>
        </w:tblCellMar>
      </w:tblPr>
      <w:tr>
        <w:trPr>
          <w:trHeight w:val="256"/>
        </w:trPr>
        <w:tc>
          <w:tcPr>
            <w:tcW w:w="4360" w:type="dxa"/>
            <w:vAlign w:val="bottom"/>
          </w:tcPr>
          <w:p>
            <w:pPr>
              <w:spacing w:after="0"/>
              <w:rPr>
                <w:sz w:val="20"/>
                <w:szCs w:val="20"/>
                <w:color w:val="auto"/>
              </w:rPr>
            </w:pPr>
            <w:r>
              <w:rPr>
                <w:rFonts w:ascii="Arial" w:cs="Arial" w:eastAsia="Arial" w:hAnsi="Arial"/>
                <w:sz w:val="20"/>
                <w:szCs w:val="20"/>
                <w:b w:val="1"/>
                <w:bCs w:val="1"/>
                <w:color w:val="3F3F3F"/>
              </w:rPr>
              <w:t>Corporate Governance</w:t>
            </w:r>
          </w:p>
        </w:tc>
        <w:tc>
          <w:tcPr>
            <w:tcW w:w="4260" w:type="dxa"/>
            <w:vAlign w:val="bottom"/>
          </w:tcPr>
          <w:p>
            <w:pPr>
              <w:ind w:left="180"/>
              <w:spacing w:after="0"/>
              <w:rPr>
                <w:sz w:val="20"/>
                <w:szCs w:val="20"/>
                <w:color w:val="auto"/>
              </w:rPr>
            </w:pPr>
            <w:r>
              <w:rPr>
                <w:rFonts w:ascii="Arial" w:cs="Arial" w:eastAsia="Arial" w:hAnsi="Arial"/>
                <w:sz w:val="20"/>
                <w:szCs w:val="20"/>
                <w:b w:val="1"/>
                <w:bCs w:val="1"/>
                <w:color w:val="3F3F3F"/>
              </w:rPr>
              <w:t>Company Communications</w:t>
            </w:r>
          </w:p>
        </w:tc>
        <w:tc>
          <w:tcPr>
            <w:tcW w:w="0" w:type="dxa"/>
            <w:vAlign w:val="bottom"/>
          </w:tcPr>
          <w:p>
            <w:pPr>
              <w:spacing w:after="0"/>
              <w:rPr>
                <w:sz w:val="1"/>
                <w:szCs w:val="1"/>
                <w:color w:val="auto"/>
              </w:rPr>
            </w:pPr>
          </w:p>
        </w:tc>
      </w:tr>
      <w:tr>
        <w:trPr>
          <w:trHeight w:val="361"/>
        </w:trPr>
        <w:tc>
          <w:tcPr>
            <w:tcW w:w="4360" w:type="dxa"/>
            <w:vAlign w:val="bottom"/>
          </w:tcPr>
          <w:p>
            <w:pPr>
              <w:spacing w:after="0"/>
              <w:rPr>
                <w:sz w:val="20"/>
                <w:szCs w:val="20"/>
                <w:color w:val="auto"/>
              </w:rPr>
            </w:pPr>
            <w:r>
              <w:rPr>
                <w:rFonts w:ascii="Arial" w:cs="Arial" w:eastAsia="Arial" w:hAnsi="Arial"/>
                <w:sz w:val="18"/>
                <w:szCs w:val="18"/>
                <w:b w:val="1"/>
                <w:bCs w:val="1"/>
                <w:color w:val="auto"/>
              </w:rPr>
              <w:t xml:space="preserve">Director Term: </w:t>
            </w:r>
            <w:r>
              <w:rPr>
                <w:rFonts w:ascii="Arial" w:cs="Arial" w:eastAsia="Arial" w:hAnsi="Arial"/>
                <w:sz w:val="18"/>
                <w:szCs w:val="18"/>
                <w:color w:val="auto"/>
              </w:rPr>
              <w:t>One year</w:t>
            </w:r>
          </w:p>
        </w:tc>
        <w:tc>
          <w:tcPr>
            <w:tcW w:w="4260" w:type="dxa"/>
            <w:vAlign w:val="bottom"/>
          </w:tcPr>
          <w:p>
            <w:pPr>
              <w:ind w:left="180"/>
              <w:spacing w:after="0"/>
              <w:rPr>
                <w:sz w:val="20"/>
                <w:szCs w:val="20"/>
                <w:color w:val="auto"/>
              </w:rPr>
            </w:pPr>
            <w:r>
              <w:rPr>
                <w:rFonts w:ascii="Arial" w:cs="Arial" w:eastAsia="Arial" w:hAnsi="Arial"/>
                <w:sz w:val="18"/>
                <w:szCs w:val="18"/>
                <w:b w:val="1"/>
                <w:bCs w:val="1"/>
                <w:color w:val="auto"/>
              </w:rPr>
              <w:t xml:space="preserve">Company Secretary: </w:t>
            </w:r>
            <w:r>
              <w:rPr>
                <w:rFonts w:ascii="Arial" w:cs="Arial" w:eastAsia="Arial" w:hAnsi="Arial"/>
                <w:sz w:val="18"/>
                <w:szCs w:val="18"/>
                <w:color w:val="auto"/>
              </w:rPr>
              <w:t>By mail to:</w:t>
            </w:r>
          </w:p>
        </w:tc>
        <w:tc>
          <w:tcPr>
            <w:tcW w:w="0" w:type="dxa"/>
            <w:vAlign w:val="bottom"/>
          </w:tcPr>
          <w:p>
            <w:pPr>
              <w:spacing w:after="0"/>
              <w:rPr>
                <w:sz w:val="1"/>
                <w:szCs w:val="1"/>
                <w:color w:val="auto"/>
              </w:rPr>
            </w:pPr>
          </w:p>
        </w:tc>
      </w:tr>
      <w:tr>
        <w:trPr>
          <w:trHeight w:val="350"/>
        </w:trPr>
        <w:tc>
          <w:tcPr>
            <w:tcW w:w="4360" w:type="dxa"/>
            <w:vAlign w:val="bottom"/>
            <w:vMerge w:val="restart"/>
          </w:tcPr>
          <w:p>
            <w:pPr>
              <w:spacing w:after="0"/>
              <w:rPr>
                <w:sz w:val="20"/>
                <w:szCs w:val="20"/>
                <w:color w:val="auto"/>
              </w:rPr>
            </w:pPr>
            <w:r>
              <w:rPr>
                <w:rFonts w:ascii="Arial" w:cs="Arial" w:eastAsia="Arial" w:hAnsi="Arial"/>
                <w:sz w:val="18"/>
                <w:szCs w:val="18"/>
                <w:b w:val="1"/>
                <w:bCs w:val="1"/>
                <w:color w:val="auto"/>
              </w:rPr>
              <w:t xml:space="preserve">Director Election Standard: </w:t>
            </w:r>
            <w:r>
              <w:rPr>
                <w:rFonts w:ascii="Arial" w:cs="Arial" w:eastAsia="Arial" w:hAnsi="Arial"/>
                <w:sz w:val="18"/>
                <w:szCs w:val="18"/>
                <w:color w:val="auto"/>
              </w:rPr>
              <w:t>Majority vote</w:t>
            </w:r>
          </w:p>
        </w:tc>
        <w:tc>
          <w:tcPr>
            <w:tcW w:w="4260" w:type="dxa"/>
            <w:vAlign w:val="bottom"/>
          </w:tcPr>
          <w:p>
            <w:pPr>
              <w:ind w:left="820"/>
              <w:spacing w:after="0"/>
              <w:rPr>
                <w:sz w:val="20"/>
                <w:szCs w:val="20"/>
                <w:color w:val="auto"/>
              </w:rPr>
            </w:pPr>
            <w:r>
              <w:rPr>
                <w:rFonts w:ascii="Arial" w:cs="Arial" w:eastAsia="Arial" w:hAnsi="Arial"/>
                <w:sz w:val="18"/>
                <w:szCs w:val="18"/>
                <w:color w:val="auto"/>
              </w:rPr>
              <w:t>Karl J. Grafe</w:t>
            </w:r>
          </w:p>
        </w:tc>
        <w:tc>
          <w:tcPr>
            <w:tcW w:w="0" w:type="dxa"/>
            <w:vAlign w:val="bottom"/>
          </w:tcPr>
          <w:p>
            <w:pPr>
              <w:spacing w:after="0"/>
              <w:rPr>
                <w:sz w:val="1"/>
                <w:szCs w:val="1"/>
                <w:color w:val="auto"/>
              </w:rPr>
            </w:pPr>
          </w:p>
        </w:tc>
      </w:tr>
      <w:tr>
        <w:trPr>
          <w:trHeight w:val="82"/>
        </w:trPr>
        <w:tc>
          <w:tcPr>
            <w:tcW w:w="4360" w:type="dxa"/>
            <w:vAlign w:val="bottom"/>
            <w:vMerge w:val="continue"/>
          </w:tcPr>
          <w:p>
            <w:pPr>
              <w:spacing w:after="0"/>
              <w:rPr>
                <w:sz w:val="7"/>
                <w:szCs w:val="7"/>
                <w:color w:val="auto"/>
              </w:rPr>
            </w:pPr>
          </w:p>
        </w:tc>
        <w:tc>
          <w:tcPr>
            <w:tcW w:w="4260" w:type="dxa"/>
            <w:vAlign w:val="bottom"/>
            <w:vMerge w:val="restart"/>
          </w:tcPr>
          <w:p>
            <w:pPr>
              <w:ind w:left="820"/>
              <w:spacing w:after="0"/>
              <w:rPr>
                <w:sz w:val="20"/>
                <w:szCs w:val="20"/>
                <w:color w:val="auto"/>
              </w:rPr>
            </w:pPr>
            <w:r>
              <w:rPr>
                <w:rFonts w:ascii="Arial" w:cs="Arial" w:eastAsia="Arial" w:hAnsi="Arial"/>
                <w:sz w:val="18"/>
                <w:szCs w:val="18"/>
                <w:color w:val="auto"/>
              </w:rPr>
              <w:t>Vice President, Assistant General</w:t>
            </w:r>
          </w:p>
        </w:tc>
        <w:tc>
          <w:tcPr>
            <w:tcW w:w="0" w:type="dxa"/>
            <w:vAlign w:val="bottom"/>
          </w:tcPr>
          <w:p>
            <w:pPr>
              <w:spacing w:after="0"/>
              <w:rPr>
                <w:sz w:val="1"/>
                <w:szCs w:val="1"/>
                <w:color w:val="auto"/>
              </w:rPr>
            </w:pPr>
          </w:p>
        </w:tc>
      </w:tr>
      <w:tr>
        <w:trPr>
          <w:trHeight w:val="134"/>
        </w:trPr>
        <w:tc>
          <w:tcPr>
            <w:tcW w:w="4360" w:type="dxa"/>
            <w:vAlign w:val="bottom"/>
          </w:tcPr>
          <w:p>
            <w:pPr>
              <w:spacing w:after="0"/>
              <w:rPr>
                <w:sz w:val="11"/>
                <w:szCs w:val="11"/>
                <w:color w:val="auto"/>
              </w:rPr>
            </w:pPr>
          </w:p>
        </w:tc>
        <w:tc>
          <w:tcPr>
            <w:tcW w:w="4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360" w:type="dxa"/>
            <w:vAlign w:val="bottom"/>
            <w:vMerge w:val="restart"/>
          </w:tcPr>
          <w:p>
            <w:pPr>
              <w:spacing w:after="0"/>
              <w:rPr>
                <w:sz w:val="20"/>
                <w:szCs w:val="20"/>
                <w:color w:val="auto"/>
              </w:rPr>
            </w:pPr>
            <w:r>
              <w:rPr>
                <w:rFonts w:ascii="Arial" w:cs="Arial" w:eastAsia="Arial" w:hAnsi="Arial"/>
                <w:sz w:val="18"/>
                <w:szCs w:val="18"/>
                <w:b w:val="1"/>
                <w:bCs w:val="1"/>
                <w:color w:val="auto"/>
              </w:rPr>
              <w:t xml:space="preserve">Board Meetings in 2019: </w:t>
            </w:r>
            <w:r>
              <w:rPr>
                <w:rFonts w:ascii="Arial" w:cs="Arial" w:eastAsia="Arial" w:hAnsi="Arial"/>
                <w:sz w:val="18"/>
                <w:szCs w:val="18"/>
                <w:color w:val="auto"/>
              </w:rPr>
              <w:t>10</w:t>
            </w:r>
          </w:p>
        </w:tc>
        <w:tc>
          <w:tcPr>
            <w:tcW w:w="4260" w:type="dxa"/>
            <w:vAlign w:val="bottom"/>
          </w:tcPr>
          <w:p>
            <w:pPr>
              <w:ind w:left="1000"/>
              <w:spacing w:after="0"/>
              <w:rPr>
                <w:sz w:val="20"/>
                <w:szCs w:val="20"/>
                <w:color w:val="auto"/>
              </w:rPr>
            </w:pPr>
            <w:r>
              <w:rPr>
                <w:rFonts w:ascii="Arial" w:cs="Arial" w:eastAsia="Arial" w:hAnsi="Arial"/>
                <w:sz w:val="18"/>
                <w:szCs w:val="18"/>
                <w:color w:val="auto"/>
              </w:rPr>
              <w:t>Counsel &amp; Secretary</w:t>
            </w:r>
          </w:p>
        </w:tc>
        <w:tc>
          <w:tcPr>
            <w:tcW w:w="0" w:type="dxa"/>
            <w:vAlign w:val="bottom"/>
          </w:tcPr>
          <w:p>
            <w:pPr>
              <w:spacing w:after="0"/>
              <w:rPr>
                <w:sz w:val="1"/>
                <w:szCs w:val="1"/>
                <w:color w:val="auto"/>
              </w:rPr>
            </w:pPr>
          </w:p>
        </w:tc>
      </w:tr>
      <w:tr>
        <w:trPr>
          <w:trHeight w:val="63"/>
        </w:trPr>
        <w:tc>
          <w:tcPr>
            <w:tcW w:w="4360" w:type="dxa"/>
            <w:vAlign w:val="bottom"/>
            <w:vMerge w:val="continue"/>
          </w:tcPr>
          <w:p>
            <w:pPr>
              <w:spacing w:after="0"/>
              <w:rPr>
                <w:sz w:val="5"/>
                <w:szCs w:val="5"/>
                <w:color w:val="auto"/>
              </w:rPr>
            </w:pPr>
          </w:p>
        </w:tc>
        <w:tc>
          <w:tcPr>
            <w:tcW w:w="4260" w:type="dxa"/>
            <w:vAlign w:val="bottom"/>
            <w:vMerge w:val="restart"/>
          </w:tcPr>
          <w:p>
            <w:pPr>
              <w:ind w:left="820"/>
              <w:spacing w:after="0"/>
              <w:rPr>
                <w:sz w:val="20"/>
                <w:szCs w:val="20"/>
                <w:color w:val="auto"/>
              </w:rPr>
            </w:pPr>
            <w:r>
              <w:rPr>
                <w:rFonts w:ascii="Arial" w:cs="Arial" w:eastAsia="Arial" w:hAnsi="Arial"/>
                <w:sz w:val="18"/>
                <w:szCs w:val="18"/>
                <w:color w:val="auto"/>
              </w:rPr>
              <w:t>American Financial Group, Inc.</w:t>
            </w:r>
          </w:p>
        </w:tc>
        <w:tc>
          <w:tcPr>
            <w:tcW w:w="0" w:type="dxa"/>
            <w:vAlign w:val="bottom"/>
          </w:tcPr>
          <w:p>
            <w:pPr>
              <w:spacing w:after="0"/>
              <w:rPr>
                <w:sz w:val="1"/>
                <w:szCs w:val="1"/>
                <w:color w:val="auto"/>
              </w:rPr>
            </w:pPr>
          </w:p>
        </w:tc>
      </w:tr>
      <w:tr>
        <w:trPr>
          <w:trHeight w:val="153"/>
        </w:trPr>
        <w:tc>
          <w:tcPr>
            <w:tcW w:w="4360" w:type="dxa"/>
            <w:vAlign w:val="bottom"/>
            <w:vMerge w:val="restart"/>
          </w:tcPr>
          <w:p>
            <w:pPr>
              <w:spacing w:after="0"/>
              <w:rPr>
                <w:sz w:val="20"/>
                <w:szCs w:val="20"/>
                <w:color w:val="auto"/>
              </w:rPr>
            </w:pPr>
            <w:r>
              <w:rPr>
                <w:rFonts w:ascii="Arial" w:cs="Arial" w:eastAsia="Arial" w:hAnsi="Arial"/>
                <w:sz w:val="18"/>
                <w:szCs w:val="18"/>
                <w:b w:val="1"/>
                <w:bCs w:val="1"/>
                <w:color w:val="auto"/>
              </w:rPr>
              <w:t>Board Committees (Meetings in 2019):</w:t>
            </w:r>
          </w:p>
        </w:tc>
        <w:tc>
          <w:tcPr>
            <w:tcW w:w="4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4360" w:type="dxa"/>
            <w:vAlign w:val="bottom"/>
            <w:vMerge w:val="continue"/>
          </w:tcPr>
          <w:p>
            <w:pPr>
              <w:spacing w:after="0"/>
              <w:rPr>
                <w:sz w:val="5"/>
                <w:szCs w:val="5"/>
                <w:color w:val="auto"/>
              </w:rPr>
            </w:pPr>
          </w:p>
        </w:tc>
        <w:tc>
          <w:tcPr>
            <w:tcW w:w="4260" w:type="dxa"/>
            <w:vAlign w:val="bottom"/>
            <w:vMerge w:val="restart"/>
          </w:tcPr>
          <w:p>
            <w:pPr>
              <w:ind w:left="820"/>
              <w:spacing w:after="0"/>
              <w:rPr>
                <w:sz w:val="20"/>
                <w:szCs w:val="20"/>
                <w:color w:val="auto"/>
              </w:rPr>
            </w:pPr>
            <w:r>
              <w:rPr>
                <w:rFonts w:ascii="Arial" w:cs="Arial" w:eastAsia="Arial" w:hAnsi="Arial"/>
                <w:sz w:val="18"/>
                <w:szCs w:val="18"/>
                <w:color w:val="auto"/>
              </w:rPr>
              <w:t>Great American Insurance Group Tower</w:t>
            </w:r>
          </w:p>
        </w:tc>
        <w:tc>
          <w:tcPr>
            <w:tcW w:w="0" w:type="dxa"/>
            <w:vAlign w:val="bottom"/>
          </w:tcPr>
          <w:p>
            <w:pPr>
              <w:spacing w:after="0"/>
              <w:rPr>
                <w:sz w:val="1"/>
                <w:szCs w:val="1"/>
                <w:color w:val="auto"/>
              </w:rPr>
            </w:pPr>
          </w:p>
        </w:tc>
      </w:tr>
      <w:tr>
        <w:trPr>
          <w:trHeight w:val="149"/>
        </w:trPr>
        <w:tc>
          <w:tcPr>
            <w:tcW w:w="4360" w:type="dxa"/>
            <w:vAlign w:val="bottom"/>
            <w:vMerge w:val="restart"/>
          </w:tcPr>
          <w:p>
            <w:pPr>
              <w:spacing w:after="0"/>
              <w:rPr>
                <w:sz w:val="20"/>
                <w:szCs w:val="20"/>
                <w:color w:val="auto"/>
              </w:rPr>
            </w:pPr>
            <w:r>
              <w:rPr>
                <w:rFonts w:ascii="Arial" w:cs="Arial" w:eastAsia="Arial" w:hAnsi="Arial"/>
                <w:sz w:val="18"/>
                <w:szCs w:val="18"/>
                <w:color w:val="auto"/>
              </w:rPr>
              <w:t>Audit (7), Compensation (4), Governance (6)</w:t>
            </w:r>
          </w:p>
        </w:tc>
        <w:tc>
          <w:tcPr>
            <w:tcW w:w="4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4360" w:type="dxa"/>
            <w:vAlign w:val="bottom"/>
            <w:vMerge w:val="continue"/>
          </w:tcPr>
          <w:p>
            <w:pPr>
              <w:spacing w:after="0"/>
              <w:rPr>
                <w:sz w:val="7"/>
                <w:szCs w:val="7"/>
                <w:color w:val="auto"/>
              </w:rPr>
            </w:pPr>
          </w:p>
        </w:tc>
        <w:tc>
          <w:tcPr>
            <w:tcW w:w="4260" w:type="dxa"/>
            <w:vAlign w:val="bottom"/>
            <w:vMerge w:val="restart"/>
          </w:tcPr>
          <w:p>
            <w:pPr>
              <w:ind w:left="820"/>
              <w:spacing w:after="0"/>
              <w:rPr>
                <w:sz w:val="20"/>
                <w:szCs w:val="20"/>
                <w:color w:val="auto"/>
              </w:rPr>
            </w:pPr>
            <w:r>
              <w:rPr>
                <w:rFonts w:ascii="Arial" w:cs="Arial" w:eastAsia="Arial" w:hAnsi="Arial"/>
                <w:sz w:val="18"/>
                <w:szCs w:val="18"/>
                <w:color w:val="auto"/>
              </w:rPr>
              <w:t>301 East Fourth Street, 27th Floor</w:t>
            </w:r>
          </w:p>
        </w:tc>
        <w:tc>
          <w:tcPr>
            <w:tcW w:w="0" w:type="dxa"/>
            <w:vAlign w:val="bottom"/>
          </w:tcPr>
          <w:p>
            <w:pPr>
              <w:spacing w:after="0"/>
              <w:rPr>
                <w:sz w:val="1"/>
                <w:szCs w:val="1"/>
                <w:color w:val="auto"/>
              </w:rPr>
            </w:pPr>
          </w:p>
        </w:tc>
      </w:tr>
      <w:tr>
        <w:trPr>
          <w:trHeight w:val="134"/>
        </w:trPr>
        <w:tc>
          <w:tcPr>
            <w:tcW w:w="4360" w:type="dxa"/>
            <w:vAlign w:val="bottom"/>
          </w:tcPr>
          <w:p>
            <w:pPr>
              <w:spacing w:after="0"/>
              <w:rPr>
                <w:sz w:val="11"/>
                <w:szCs w:val="11"/>
                <w:color w:val="auto"/>
              </w:rPr>
            </w:pPr>
          </w:p>
        </w:tc>
        <w:tc>
          <w:tcPr>
            <w:tcW w:w="4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4360" w:type="dxa"/>
            <w:vAlign w:val="bottom"/>
            <w:vMerge w:val="restart"/>
          </w:tcPr>
          <w:p>
            <w:pPr>
              <w:spacing w:after="0"/>
              <w:rPr>
                <w:sz w:val="20"/>
                <w:szCs w:val="20"/>
                <w:color w:val="auto"/>
              </w:rPr>
            </w:pPr>
            <w:r>
              <w:rPr>
                <w:rFonts w:ascii="Arial" w:cs="Arial" w:eastAsia="Arial" w:hAnsi="Arial"/>
                <w:sz w:val="18"/>
                <w:szCs w:val="18"/>
                <w:b w:val="1"/>
                <w:bCs w:val="1"/>
                <w:color w:val="auto"/>
                <w:w w:val="97"/>
              </w:rPr>
              <w:t xml:space="preserve">Corporate Governance Materials: </w:t>
            </w:r>
            <w:r>
              <w:rPr>
                <w:rFonts w:ascii="Arial" w:cs="Arial" w:eastAsia="Arial" w:hAnsi="Arial"/>
                <w:sz w:val="18"/>
                <w:szCs w:val="18"/>
                <w:color w:val="auto"/>
                <w:w w:val="97"/>
              </w:rPr>
              <w:t>www.AFGinc.com –</w:t>
            </w:r>
          </w:p>
        </w:tc>
        <w:tc>
          <w:tcPr>
            <w:tcW w:w="4260" w:type="dxa"/>
            <w:vAlign w:val="bottom"/>
          </w:tcPr>
          <w:p>
            <w:pPr>
              <w:ind w:left="820"/>
              <w:spacing w:after="0"/>
              <w:rPr>
                <w:sz w:val="20"/>
                <w:szCs w:val="20"/>
                <w:color w:val="auto"/>
              </w:rPr>
            </w:pPr>
            <w:r>
              <w:rPr>
                <w:rFonts w:ascii="Arial" w:cs="Arial" w:eastAsia="Arial" w:hAnsi="Arial"/>
                <w:sz w:val="18"/>
                <w:szCs w:val="18"/>
                <w:color w:val="auto"/>
              </w:rPr>
              <w:t>Cincinnati, Ohio 45202</w:t>
            </w:r>
          </w:p>
        </w:tc>
        <w:tc>
          <w:tcPr>
            <w:tcW w:w="0" w:type="dxa"/>
            <w:vAlign w:val="bottom"/>
          </w:tcPr>
          <w:p>
            <w:pPr>
              <w:spacing w:after="0"/>
              <w:rPr>
                <w:sz w:val="1"/>
                <w:szCs w:val="1"/>
                <w:color w:val="auto"/>
              </w:rPr>
            </w:pPr>
          </w:p>
        </w:tc>
      </w:tr>
      <w:tr>
        <w:trPr>
          <w:trHeight w:val="53"/>
        </w:trPr>
        <w:tc>
          <w:tcPr>
            <w:tcW w:w="4360" w:type="dxa"/>
            <w:vAlign w:val="bottom"/>
            <w:vMerge w:val="continue"/>
          </w:tcPr>
          <w:p>
            <w:pPr>
              <w:spacing w:after="0"/>
              <w:rPr>
                <w:sz w:val="4"/>
                <w:szCs w:val="4"/>
                <w:color w:val="auto"/>
              </w:rPr>
            </w:pPr>
          </w:p>
        </w:tc>
        <w:tc>
          <w:tcPr>
            <w:tcW w:w="4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About Us</w:t>
            </w:r>
          </w:p>
        </w:tc>
        <w:tc>
          <w:tcPr>
            <w:tcW w:w="4260" w:type="dxa"/>
            <w:vAlign w:val="bottom"/>
            <w:vMerge w:val="restart"/>
          </w:tcPr>
          <w:p>
            <w:pPr>
              <w:ind w:left="180"/>
              <w:spacing w:after="0"/>
              <w:rPr>
                <w:sz w:val="20"/>
                <w:szCs w:val="20"/>
                <w:color w:val="auto"/>
              </w:rPr>
            </w:pPr>
            <w:r>
              <w:rPr>
                <w:rFonts w:ascii="Arial" w:cs="Arial" w:eastAsia="Arial" w:hAnsi="Arial"/>
                <w:sz w:val="18"/>
                <w:szCs w:val="18"/>
                <w:b w:val="1"/>
                <w:bCs w:val="1"/>
                <w:color w:val="auto"/>
                <w:w w:val="95"/>
              </w:rPr>
              <w:t xml:space="preserve">Board: </w:t>
            </w:r>
            <w:r>
              <w:rPr>
                <w:rFonts w:ascii="Arial" w:cs="Arial" w:eastAsia="Arial" w:hAnsi="Arial"/>
                <w:sz w:val="18"/>
                <w:szCs w:val="18"/>
                <w:color w:val="auto"/>
                <w:w w:val="95"/>
              </w:rPr>
              <w:t>By mail to the care of the Company Secretary</w:t>
            </w:r>
          </w:p>
        </w:tc>
        <w:tc>
          <w:tcPr>
            <w:tcW w:w="0" w:type="dxa"/>
            <w:vAlign w:val="bottom"/>
          </w:tcPr>
          <w:p>
            <w:pPr>
              <w:spacing w:after="0"/>
              <w:rPr>
                <w:sz w:val="1"/>
                <w:szCs w:val="1"/>
                <w:color w:val="auto"/>
              </w:rPr>
            </w:pPr>
          </w:p>
        </w:tc>
      </w:tr>
      <w:tr>
        <w:trPr>
          <w:trHeight w:val="67"/>
        </w:trPr>
        <w:tc>
          <w:tcPr>
            <w:tcW w:w="4360" w:type="dxa"/>
            <w:vAlign w:val="bottom"/>
          </w:tcPr>
          <w:p>
            <w:pPr>
              <w:spacing w:after="0"/>
              <w:rPr>
                <w:sz w:val="5"/>
                <w:szCs w:val="5"/>
                <w:color w:val="auto"/>
              </w:rPr>
            </w:pPr>
          </w:p>
        </w:tc>
        <w:tc>
          <w:tcPr>
            <w:tcW w:w="42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18"/>
                <w:szCs w:val="18"/>
                <w:color w:val="auto"/>
              </w:rPr>
            </w:pPr>
          </w:p>
        </w:tc>
        <w:tc>
          <w:tcPr>
            <w:tcW w:w="4260" w:type="dxa"/>
            <w:vAlign w:val="bottom"/>
          </w:tcPr>
          <w:p>
            <w:pPr>
              <w:ind w:left="820"/>
              <w:spacing w:after="0"/>
              <w:rPr>
                <w:sz w:val="20"/>
                <w:szCs w:val="20"/>
                <w:color w:val="auto"/>
              </w:rPr>
            </w:pPr>
            <w:r>
              <w:rPr>
                <w:rFonts w:ascii="Arial" w:cs="Arial" w:eastAsia="Arial" w:hAnsi="Arial"/>
                <w:sz w:val="18"/>
                <w:szCs w:val="18"/>
                <w:color w:val="auto"/>
                <w:w w:val="87"/>
              </w:rPr>
              <w:t>at the above address or to the Lead Independent</w:t>
            </w: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p>
        </w:tc>
        <w:tc>
          <w:tcPr>
            <w:tcW w:w="4260" w:type="dxa"/>
            <w:vAlign w:val="bottom"/>
          </w:tcPr>
          <w:p>
            <w:pPr>
              <w:ind w:left="820"/>
              <w:spacing w:after="0"/>
              <w:rPr>
                <w:sz w:val="20"/>
                <w:szCs w:val="20"/>
                <w:color w:val="auto"/>
              </w:rPr>
            </w:pPr>
            <w:r>
              <w:rPr>
                <w:rFonts w:ascii="Arial" w:cs="Arial" w:eastAsia="Arial" w:hAnsi="Arial"/>
                <w:sz w:val="18"/>
                <w:szCs w:val="18"/>
                <w:color w:val="auto"/>
              </w:rPr>
              <w:t>Director as follows:</w:t>
            </w:r>
          </w:p>
        </w:tc>
        <w:tc>
          <w:tcPr>
            <w:tcW w:w="0" w:type="dxa"/>
            <w:vAlign w:val="bottom"/>
          </w:tcPr>
          <w:p>
            <w:pPr>
              <w:spacing w:after="0"/>
              <w:rPr>
                <w:sz w:val="1"/>
                <w:szCs w:val="1"/>
                <w:color w:val="auto"/>
              </w:rPr>
            </w:pPr>
          </w:p>
        </w:tc>
      </w:tr>
      <w:tr>
        <w:trPr>
          <w:trHeight w:val="350"/>
        </w:trPr>
        <w:tc>
          <w:tcPr>
            <w:tcW w:w="4360" w:type="dxa"/>
            <w:vAlign w:val="bottom"/>
          </w:tcPr>
          <w:p>
            <w:pPr>
              <w:spacing w:after="0"/>
              <w:rPr>
                <w:sz w:val="24"/>
                <w:szCs w:val="24"/>
                <w:color w:val="auto"/>
              </w:rPr>
            </w:pPr>
          </w:p>
        </w:tc>
        <w:tc>
          <w:tcPr>
            <w:tcW w:w="4260" w:type="dxa"/>
            <w:vAlign w:val="bottom"/>
          </w:tcPr>
          <w:p>
            <w:pPr>
              <w:ind w:left="820"/>
              <w:spacing w:after="0"/>
              <w:rPr>
                <w:sz w:val="20"/>
                <w:szCs w:val="20"/>
                <w:color w:val="auto"/>
              </w:rPr>
            </w:pPr>
            <w:r>
              <w:rPr>
                <w:rFonts w:ascii="Arial" w:cs="Arial" w:eastAsia="Arial" w:hAnsi="Arial"/>
                <w:sz w:val="18"/>
                <w:szCs w:val="18"/>
                <w:color w:val="auto"/>
              </w:rPr>
              <w:t>Gregory G. Joseph</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18"/>
                <w:szCs w:val="18"/>
                <w:color w:val="auto"/>
              </w:rPr>
            </w:pPr>
          </w:p>
        </w:tc>
        <w:tc>
          <w:tcPr>
            <w:tcW w:w="4260" w:type="dxa"/>
            <w:vAlign w:val="bottom"/>
          </w:tcPr>
          <w:p>
            <w:pPr>
              <w:ind w:left="820"/>
              <w:spacing w:after="0"/>
              <w:rPr>
                <w:sz w:val="20"/>
                <w:szCs w:val="20"/>
                <w:color w:val="auto"/>
              </w:rPr>
            </w:pPr>
            <w:r>
              <w:rPr>
                <w:rFonts w:ascii="Arial" w:cs="Arial" w:eastAsia="Arial" w:hAnsi="Arial"/>
                <w:sz w:val="18"/>
                <w:szCs w:val="18"/>
                <w:color w:val="auto"/>
              </w:rPr>
              <w:t>Lead Independent Director</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18"/>
                <w:szCs w:val="18"/>
                <w:color w:val="auto"/>
              </w:rPr>
            </w:pPr>
          </w:p>
        </w:tc>
        <w:tc>
          <w:tcPr>
            <w:tcW w:w="4260" w:type="dxa"/>
            <w:vAlign w:val="bottom"/>
          </w:tcPr>
          <w:p>
            <w:pPr>
              <w:ind w:left="820"/>
              <w:spacing w:after="0"/>
              <w:rPr>
                <w:sz w:val="20"/>
                <w:szCs w:val="20"/>
                <w:color w:val="auto"/>
              </w:rPr>
            </w:pPr>
            <w:r>
              <w:rPr>
                <w:rFonts w:ascii="Arial" w:cs="Arial" w:eastAsia="Arial" w:hAnsi="Arial"/>
                <w:sz w:val="18"/>
                <w:szCs w:val="18"/>
                <w:color w:val="auto"/>
              </w:rPr>
              <w:t>American Financial Group, Inc.</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18"/>
                <w:szCs w:val="18"/>
                <w:color w:val="auto"/>
              </w:rPr>
            </w:pPr>
          </w:p>
        </w:tc>
        <w:tc>
          <w:tcPr>
            <w:tcW w:w="4260" w:type="dxa"/>
            <w:vAlign w:val="bottom"/>
          </w:tcPr>
          <w:p>
            <w:pPr>
              <w:ind w:left="820"/>
              <w:spacing w:after="0"/>
              <w:rPr>
                <w:sz w:val="20"/>
                <w:szCs w:val="20"/>
                <w:color w:val="auto"/>
              </w:rPr>
            </w:pPr>
            <w:r>
              <w:rPr>
                <w:rFonts w:ascii="Arial" w:cs="Arial" w:eastAsia="Arial" w:hAnsi="Arial"/>
                <w:sz w:val="18"/>
                <w:szCs w:val="18"/>
                <w:color w:val="auto"/>
              </w:rPr>
              <w:t>Great American Insurance Group Tower</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18"/>
                <w:szCs w:val="18"/>
                <w:color w:val="auto"/>
              </w:rPr>
            </w:pPr>
          </w:p>
        </w:tc>
        <w:tc>
          <w:tcPr>
            <w:tcW w:w="4260" w:type="dxa"/>
            <w:vAlign w:val="bottom"/>
          </w:tcPr>
          <w:p>
            <w:pPr>
              <w:ind w:left="820"/>
              <w:spacing w:after="0"/>
              <w:rPr>
                <w:sz w:val="20"/>
                <w:szCs w:val="20"/>
                <w:color w:val="auto"/>
              </w:rPr>
            </w:pPr>
            <w:r>
              <w:rPr>
                <w:rFonts w:ascii="Arial" w:cs="Arial" w:eastAsia="Arial" w:hAnsi="Arial"/>
                <w:sz w:val="18"/>
                <w:szCs w:val="18"/>
                <w:color w:val="auto"/>
              </w:rPr>
              <w:t>301 East Fourth Street</w:t>
            </w: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p>
        </w:tc>
        <w:tc>
          <w:tcPr>
            <w:tcW w:w="4260" w:type="dxa"/>
            <w:vAlign w:val="bottom"/>
          </w:tcPr>
          <w:p>
            <w:pPr>
              <w:ind w:left="820"/>
              <w:spacing w:after="0"/>
              <w:rPr>
                <w:sz w:val="20"/>
                <w:szCs w:val="20"/>
                <w:color w:val="auto"/>
              </w:rPr>
            </w:pPr>
            <w:r>
              <w:rPr>
                <w:rFonts w:ascii="Arial" w:cs="Arial" w:eastAsia="Arial" w:hAnsi="Arial"/>
                <w:sz w:val="18"/>
                <w:szCs w:val="18"/>
                <w:color w:val="auto"/>
              </w:rPr>
              <w:t>Cincinnati, Ohio 45202</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140"/>
          </w:cols>
          <w:pgMar w:left="320" w:top="265" w:right="1439" w:bottom="1440" w:gutter="0" w:footer="0" w:header="0"/>
        </w:sectPr>
      </w:pPr>
    </w:p>
    <w:p>
      <w:pPr>
        <w:spacing w:after="0" w:line="222" w:lineRule="exact"/>
        <w:rPr>
          <w:sz w:val="20"/>
          <w:szCs w:val="20"/>
          <w:color w:val="auto"/>
        </w:rPr>
      </w:pPr>
    </w:p>
    <w:p>
      <w:pPr>
        <w:ind w:left="10080"/>
        <w:spacing w:after="0"/>
        <w:rPr>
          <w:sz w:val="20"/>
          <w:szCs w:val="20"/>
          <w:color w:val="auto"/>
        </w:rPr>
      </w:pPr>
      <w:r>
        <w:rPr>
          <w:rFonts w:ascii="Arial" w:cs="Arial" w:eastAsia="Arial" w:hAnsi="Arial"/>
          <w:sz w:val="16"/>
          <w:szCs w:val="16"/>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137795</wp:posOffset>
            </wp:positionV>
            <wp:extent cx="69951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140"/>
          </w:cols>
          <w:pgMar w:left="320" w:top="265" w:right="1439" w:bottom="1440" w:gutter="0" w:footer="0" w:header="0"/>
          <w:type w:val="continuous"/>
        </w:sectPr>
      </w:pPr>
    </w:p>
    <w:bookmarkStart w:id="5" w:name="page6"/>
    <w:bookmarkEnd w:id="5"/>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6515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080"/>
        <w:spacing w:after="0"/>
        <w:rPr>
          <w:sz w:val="20"/>
          <w:szCs w:val="20"/>
          <w:color w:val="auto"/>
        </w:rPr>
      </w:pPr>
      <w:r>
        <w:rPr>
          <w:rFonts w:ascii="Arial" w:cs="Arial" w:eastAsia="Arial" w:hAnsi="Arial"/>
          <w:sz w:val="31"/>
          <w:szCs w:val="31"/>
          <w:b w:val="1"/>
          <w:bCs w:val="1"/>
          <w:color w:val="002875"/>
        </w:rPr>
        <w:t>Proxy Statement</w:t>
      </w:r>
    </w:p>
    <w:p>
      <w:pPr>
        <w:spacing w:after="0" w:line="29" w:lineRule="exact"/>
        <w:rPr>
          <w:sz w:val="20"/>
          <w:szCs w:val="20"/>
          <w:color w:val="auto"/>
        </w:rPr>
      </w:pPr>
    </w:p>
    <w:p>
      <w:pPr>
        <w:ind w:left="1080"/>
        <w:spacing w:after="0"/>
        <w:rPr>
          <w:sz w:val="20"/>
          <w:szCs w:val="20"/>
          <w:color w:val="auto"/>
        </w:rPr>
      </w:pPr>
      <w:r>
        <w:rPr>
          <w:rFonts w:ascii="Arial" w:cs="Arial" w:eastAsia="Arial" w:hAnsi="Arial"/>
          <w:sz w:val="31"/>
          <w:szCs w:val="31"/>
          <w:b w:val="1"/>
          <w:bCs w:val="1"/>
          <w:color w:val="002875"/>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1080" w:type="dxa"/>
        <w:tblCellMar>
          <w:top w:w="0" w:type="dxa"/>
          <w:left w:w="0" w:type="dxa"/>
          <w:bottom w:w="0" w:type="dxa"/>
          <w:right w:w="0" w:type="dxa"/>
        </w:tblCellMar>
      </w:tblPr>
      <w:tr>
        <w:trPr>
          <w:trHeight w:val="241"/>
        </w:trPr>
        <w:tc>
          <w:tcPr>
            <w:tcW w:w="8360" w:type="dxa"/>
            <w:vAlign w:val="bottom"/>
          </w:tcPr>
          <w:p>
            <w:pPr>
              <w:spacing w:after="0"/>
              <w:rPr>
                <w:rFonts w:ascii="Arial" w:cs="Arial" w:eastAsia="Arial" w:hAnsi="Arial"/>
                <w:sz w:val="21"/>
                <w:szCs w:val="21"/>
                <w:b w:val="1"/>
                <w:bCs w:val="1"/>
                <w:u w:val="single" w:color="auto"/>
                <w:color w:val="0000EE"/>
              </w:rPr>
            </w:pPr>
            <w:hyperlink w:anchor="page8">
              <w:r>
                <w:rPr>
                  <w:rFonts w:ascii="Arial" w:cs="Arial" w:eastAsia="Arial" w:hAnsi="Arial"/>
                  <w:sz w:val="21"/>
                  <w:szCs w:val="21"/>
                  <w:b w:val="1"/>
                  <w:bCs w:val="1"/>
                  <w:u w:val="single" w:color="auto"/>
                  <w:color w:val="0000EE"/>
                </w:rPr>
                <w:t>Information about the Annual Meeting and Voting</w:t>
              </w:r>
            </w:hyperlink>
          </w:p>
        </w:tc>
        <w:tc>
          <w:tcPr>
            <w:tcW w:w="700" w:type="dxa"/>
            <w:vAlign w:val="bottom"/>
            <w:gridSpan w:val="2"/>
          </w:tcPr>
          <w:p>
            <w:pPr>
              <w:jc w:val="right"/>
              <w:spacing w:after="0"/>
              <w:rPr>
                <w:rFonts w:ascii="Arial" w:cs="Arial" w:eastAsia="Arial" w:hAnsi="Arial"/>
                <w:sz w:val="21"/>
                <w:szCs w:val="21"/>
                <w:color w:val="0000EE"/>
              </w:rPr>
            </w:pPr>
            <w:hyperlink w:anchor="page8">
              <w:r>
                <w:rPr>
                  <w:rFonts w:ascii="Arial" w:cs="Arial" w:eastAsia="Arial" w:hAnsi="Arial"/>
                  <w:sz w:val="21"/>
                  <w:szCs w:val="21"/>
                  <w:color w:val="0000EE"/>
                </w:rPr>
                <w:t>1</w:t>
              </w:r>
            </w:hyperlink>
          </w:p>
        </w:tc>
        <w:tc>
          <w:tcPr>
            <w:tcW w:w="20" w:type="dxa"/>
            <w:vAlign w:val="bottom"/>
          </w:tcPr>
          <w:p>
            <w:pPr>
              <w:spacing w:after="0"/>
              <w:rPr>
                <w:sz w:val="21"/>
                <w:szCs w:val="21"/>
                <w:color w:val="auto"/>
              </w:rPr>
            </w:pPr>
          </w:p>
        </w:tc>
      </w:tr>
      <w:tr>
        <w:trPr>
          <w:trHeight w:val="838"/>
        </w:trPr>
        <w:tc>
          <w:tcPr>
            <w:tcW w:w="8360" w:type="dxa"/>
            <w:vAlign w:val="bottom"/>
          </w:tcPr>
          <w:p>
            <w:pPr>
              <w:spacing w:after="0"/>
              <w:rPr>
                <w:sz w:val="20"/>
                <w:szCs w:val="20"/>
                <w:color w:val="auto"/>
              </w:rPr>
            </w:pPr>
            <w:r>
              <w:rPr>
                <w:rFonts w:ascii="Arial" w:cs="Arial" w:eastAsia="Arial" w:hAnsi="Arial"/>
                <w:sz w:val="21"/>
                <w:szCs w:val="21"/>
                <w:b w:val="1"/>
                <w:bCs w:val="1"/>
                <w:color w:val="7F7F7F"/>
              </w:rPr>
              <w:t>Proposals</w:t>
            </w:r>
          </w:p>
        </w:tc>
        <w:tc>
          <w:tcPr>
            <w:tcW w:w="60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357"/>
        </w:trPr>
        <w:tc>
          <w:tcPr>
            <w:tcW w:w="8360" w:type="dxa"/>
            <w:vAlign w:val="bottom"/>
          </w:tcPr>
          <w:p>
            <w:pPr>
              <w:ind w:left="360"/>
              <w:spacing w:after="0"/>
              <w:rPr>
                <w:rFonts w:ascii="Arial" w:cs="Arial" w:eastAsia="Arial" w:hAnsi="Arial"/>
                <w:sz w:val="21"/>
                <w:szCs w:val="21"/>
                <w:u w:val="single" w:color="auto"/>
                <w:color w:val="0000EE"/>
              </w:rPr>
            </w:pPr>
            <w:hyperlink w:anchor="page12">
              <w:r>
                <w:rPr>
                  <w:rFonts w:ascii="Arial" w:cs="Arial" w:eastAsia="Arial" w:hAnsi="Arial"/>
                  <w:sz w:val="21"/>
                  <w:szCs w:val="21"/>
                  <w:u w:val="single" w:color="auto"/>
                  <w:color w:val="0000EE"/>
                </w:rPr>
                <w:t>Proposal No. 1 – Election of 12 Directors</w:t>
              </w:r>
            </w:hyperlink>
          </w:p>
        </w:tc>
        <w:tc>
          <w:tcPr>
            <w:tcW w:w="700" w:type="dxa"/>
            <w:vAlign w:val="bottom"/>
            <w:gridSpan w:val="2"/>
          </w:tcPr>
          <w:p>
            <w:pPr>
              <w:jc w:val="right"/>
              <w:spacing w:after="0"/>
              <w:rPr>
                <w:rFonts w:ascii="Arial" w:cs="Arial" w:eastAsia="Arial" w:hAnsi="Arial"/>
                <w:sz w:val="21"/>
                <w:szCs w:val="21"/>
                <w:color w:val="0000EE"/>
              </w:rPr>
            </w:pPr>
            <w:hyperlink w:anchor="page12">
              <w:r>
                <w:rPr>
                  <w:rFonts w:ascii="Arial" w:cs="Arial" w:eastAsia="Arial" w:hAnsi="Arial"/>
                  <w:sz w:val="21"/>
                  <w:szCs w:val="21"/>
                  <w:color w:val="0000EE"/>
                </w:rPr>
                <w:t>5</w:t>
              </w:r>
            </w:hyperlink>
          </w:p>
        </w:tc>
        <w:tc>
          <w:tcPr>
            <w:tcW w:w="20" w:type="dxa"/>
            <w:vAlign w:val="bottom"/>
          </w:tcPr>
          <w:p>
            <w:pPr>
              <w:spacing w:after="0"/>
              <w:rPr>
                <w:sz w:val="24"/>
                <w:szCs w:val="24"/>
                <w:color w:val="auto"/>
              </w:rPr>
            </w:pPr>
          </w:p>
        </w:tc>
      </w:tr>
      <w:tr>
        <w:trPr>
          <w:trHeight w:val="20"/>
        </w:trPr>
        <w:tc>
          <w:tcPr>
            <w:tcW w:w="8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3"/>
        </w:trPr>
        <w:tc>
          <w:tcPr>
            <w:tcW w:w="8360" w:type="dxa"/>
            <w:vAlign w:val="bottom"/>
          </w:tcPr>
          <w:p>
            <w:pPr>
              <w:ind w:left="360"/>
              <w:spacing w:after="0"/>
              <w:rPr>
                <w:rFonts w:ascii="Arial" w:cs="Arial" w:eastAsia="Arial" w:hAnsi="Arial"/>
                <w:sz w:val="21"/>
                <w:szCs w:val="21"/>
                <w:u w:val="single" w:color="auto"/>
                <w:color w:val="0000EE"/>
              </w:rPr>
            </w:pPr>
            <w:hyperlink w:anchor="page17">
              <w:r>
                <w:rPr>
                  <w:rFonts w:ascii="Arial" w:cs="Arial" w:eastAsia="Arial" w:hAnsi="Arial"/>
                  <w:sz w:val="21"/>
                  <w:szCs w:val="21"/>
                  <w:u w:val="single" w:color="auto"/>
                  <w:color w:val="0000EE"/>
                </w:rPr>
                <w:t>Proposal No. 2 – Ratification of Independent Registered Public Accounting Firm</w:t>
              </w:r>
            </w:hyperlink>
          </w:p>
        </w:tc>
        <w:tc>
          <w:tcPr>
            <w:tcW w:w="720" w:type="dxa"/>
            <w:vAlign w:val="bottom"/>
            <w:gridSpan w:val="3"/>
          </w:tcPr>
          <w:p>
            <w:pPr>
              <w:jc w:val="right"/>
              <w:spacing w:after="0"/>
              <w:rPr>
                <w:rFonts w:ascii="Arial" w:cs="Arial" w:eastAsia="Arial" w:hAnsi="Arial"/>
                <w:sz w:val="21"/>
                <w:szCs w:val="21"/>
                <w:u w:val="single" w:color="auto"/>
                <w:color w:val="0000EE"/>
              </w:rPr>
            </w:pPr>
            <w:hyperlink w:anchor="page17">
              <w:r>
                <w:rPr>
                  <w:rFonts w:ascii="Arial" w:cs="Arial" w:eastAsia="Arial" w:hAnsi="Arial"/>
                  <w:sz w:val="21"/>
                  <w:szCs w:val="21"/>
                  <w:u w:val="single" w:color="auto"/>
                  <w:color w:val="0000EE"/>
                </w:rPr>
                <w:t>10</w:t>
              </w:r>
            </w:hyperlink>
          </w:p>
        </w:tc>
      </w:tr>
      <w:tr>
        <w:trPr>
          <w:trHeight w:val="405"/>
        </w:trPr>
        <w:tc>
          <w:tcPr>
            <w:tcW w:w="8360" w:type="dxa"/>
            <w:vAlign w:val="bottom"/>
          </w:tcPr>
          <w:p>
            <w:pPr>
              <w:ind w:left="360"/>
              <w:spacing w:after="0"/>
              <w:rPr>
                <w:rFonts w:ascii="Arial" w:cs="Arial" w:eastAsia="Arial" w:hAnsi="Arial"/>
                <w:sz w:val="21"/>
                <w:szCs w:val="21"/>
                <w:u w:val="single" w:color="auto"/>
                <w:color w:val="0000EE"/>
              </w:rPr>
            </w:pPr>
            <w:hyperlink w:anchor="page17">
              <w:r>
                <w:rPr>
                  <w:rFonts w:ascii="Arial" w:cs="Arial" w:eastAsia="Arial" w:hAnsi="Arial"/>
                  <w:sz w:val="21"/>
                  <w:szCs w:val="21"/>
                  <w:u w:val="single" w:color="auto"/>
                  <w:color w:val="0000EE"/>
                </w:rPr>
                <w:t>Proposal No. 3 – Advisory Vote on Compensation of our Named Executive Officers</w:t>
              </w:r>
            </w:hyperlink>
          </w:p>
        </w:tc>
        <w:tc>
          <w:tcPr>
            <w:tcW w:w="720" w:type="dxa"/>
            <w:vAlign w:val="bottom"/>
            <w:gridSpan w:val="3"/>
          </w:tcPr>
          <w:p>
            <w:pPr>
              <w:jc w:val="right"/>
              <w:spacing w:after="0"/>
              <w:rPr>
                <w:rFonts w:ascii="Arial" w:cs="Arial" w:eastAsia="Arial" w:hAnsi="Arial"/>
                <w:sz w:val="21"/>
                <w:szCs w:val="21"/>
                <w:u w:val="single" w:color="auto"/>
                <w:color w:val="0000EE"/>
              </w:rPr>
            </w:pPr>
            <w:hyperlink w:anchor="page17">
              <w:r>
                <w:rPr>
                  <w:rFonts w:ascii="Arial" w:cs="Arial" w:eastAsia="Arial" w:hAnsi="Arial"/>
                  <w:sz w:val="21"/>
                  <w:szCs w:val="21"/>
                  <w:u w:val="single" w:color="auto"/>
                  <w:color w:val="0000EE"/>
                </w:rPr>
                <w:t>10</w:t>
              </w:r>
            </w:hyperlink>
          </w:p>
        </w:tc>
      </w:tr>
      <w:tr>
        <w:trPr>
          <w:trHeight w:val="810"/>
        </w:trPr>
        <w:tc>
          <w:tcPr>
            <w:tcW w:w="8360" w:type="dxa"/>
            <w:vAlign w:val="bottom"/>
          </w:tcPr>
          <w:p>
            <w:pPr>
              <w:spacing w:after="0"/>
              <w:rPr>
                <w:sz w:val="20"/>
                <w:szCs w:val="20"/>
                <w:color w:val="auto"/>
              </w:rPr>
            </w:pPr>
            <w:r>
              <w:rPr>
                <w:rFonts w:ascii="Arial" w:cs="Arial" w:eastAsia="Arial" w:hAnsi="Arial"/>
                <w:sz w:val="21"/>
                <w:szCs w:val="21"/>
                <w:b w:val="1"/>
                <w:bCs w:val="1"/>
                <w:color w:val="7F7F7F"/>
              </w:rPr>
              <w:t>Company Information</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05"/>
        </w:trPr>
        <w:tc>
          <w:tcPr>
            <w:tcW w:w="8360" w:type="dxa"/>
            <w:vAlign w:val="bottom"/>
          </w:tcPr>
          <w:p>
            <w:pPr>
              <w:ind w:left="360"/>
              <w:spacing w:after="0"/>
              <w:rPr>
                <w:rFonts w:ascii="Arial" w:cs="Arial" w:eastAsia="Arial" w:hAnsi="Arial"/>
                <w:sz w:val="21"/>
                <w:szCs w:val="21"/>
                <w:u w:val="single" w:color="auto"/>
                <w:color w:val="0000EE"/>
              </w:rPr>
            </w:pPr>
            <w:hyperlink w:anchor="page19">
              <w:r>
                <w:rPr>
                  <w:rFonts w:ascii="Arial" w:cs="Arial" w:eastAsia="Arial" w:hAnsi="Arial"/>
                  <w:sz w:val="21"/>
                  <w:szCs w:val="21"/>
                  <w:u w:val="single" w:color="auto"/>
                  <w:color w:val="0000EE"/>
                </w:rPr>
                <w:t>Management</w:t>
              </w:r>
            </w:hyperlink>
          </w:p>
        </w:tc>
        <w:tc>
          <w:tcPr>
            <w:tcW w:w="720" w:type="dxa"/>
            <w:vAlign w:val="bottom"/>
            <w:gridSpan w:val="3"/>
          </w:tcPr>
          <w:p>
            <w:pPr>
              <w:jc w:val="right"/>
              <w:spacing w:after="0"/>
              <w:rPr>
                <w:rFonts w:ascii="Arial" w:cs="Arial" w:eastAsia="Arial" w:hAnsi="Arial"/>
                <w:sz w:val="21"/>
                <w:szCs w:val="21"/>
                <w:u w:val="single" w:color="auto"/>
                <w:color w:val="0000EE"/>
              </w:rPr>
            </w:pPr>
            <w:hyperlink w:anchor="page19">
              <w:r>
                <w:rPr>
                  <w:rFonts w:ascii="Arial" w:cs="Arial" w:eastAsia="Arial" w:hAnsi="Arial"/>
                  <w:sz w:val="21"/>
                  <w:szCs w:val="21"/>
                  <w:u w:val="single" w:color="auto"/>
                  <w:color w:val="0000EE"/>
                </w:rPr>
                <w:t>12</w:t>
              </w:r>
            </w:hyperlink>
          </w:p>
        </w:tc>
      </w:tr>
      <w:tr>
        <w:trPr>
          <w:trHeight w:val="405"/>
        </w:trPr>
        <w:tc>
          <w:tcPr>
            <w:tcW w:w="8360" w:type="dxa"/>
            <w:vAlign w:val="bottom"/>
          </w:tcPr>
          <w:p>
            <w:pPr>
              <w:ind w:left="360"/>
              <w:spacing w:after="0"/>
              <w:rPr>
                <w:rFonts w:ascii="Arial" w:cs="Arial" w:eastAsia="Arial" w:hAnsi="Arial"/>
                <w:sz w:val="21"/>
                <w:szCs w:val="21"/>
                <w:u w:val="single" w:color="auto"/>
                <w:color w:val="0000EE"/>
              </w:rPr>
            </w:pPr>
            <w:hyperlink w:anchor="page20">
              <w:r>
                <w:rPr>
                  <w:rFonts w:ascii="Arial" w:cs="Arial" w:eastAsia="Arial" w:hAnsi="Arial"/>
                  <w:sz w:val="21"/>
                  <w:szCs w:val="21"/>
                  <w:u w:val="single" w:color="auto"/>
                  <w:color w:val="0000EE"/>
                </w:rPr>
                <w:t>Security Ownership of Certain Beneficial Owners and Management</w:t>
              </w:r>
            </w:hyperlink>
          </w:p>
        </w:tc>
        <w:tc>
          <w:tcPr>
            <w:tcW w:w="720" w:type="dxa"/>
            <w:vAlign w:val="bottom"/>
            <w:gridSpan w:val="3"/>
          </w:tcPr>
          <w:p>
            <w:pPr>
              <w:jc w:val="right"/>
              <w:spacing w:after="0"/>
              <w:rPr>
                <w:rFonts w:ascii="Arial" w:cs="Arial" w:eastAsia="Arial" w:hAnsi="Arial"/>
                <w:sz w:val="21"/>
                <w:szCs w:val="21"/>
                <w:u w:val="single" w:color="auto"/>
                <w:color w:val="0000EE"/>
              </w:rPr>
            </w:pPr>
            <w:hyperlink w:anchor="page20">
              <w:r>
                <w:rPr>
                  <w:rFonts w:ascii="Arial" w:cs="Arial" w:eastAsia="Arial" w:hAnsi="Arial"/>
                  <w:sz w:val="21"/>
                  <w:szCs w:val="21"/>
                  <w:u w:val="single" w:color="auto"/>
                  <w:color w:val="0000EE"/>
                </w:rPr>
                <w:t>13</w:t>
              </w:r>
            </w:hyperlink>
          </w:p>
        </w:tc>
      </w:tr>
      <w:tr>
        <w:trPr>
          <w:trHeight w:val="810"/>
        </w:trPr>
        <w:tc>
          <w:tcPr>
            <w:tcW w:w="8360" w:type="dxa"/>
            <w:vAlign w:val="bottom"/>
          </w:tcPr>
          <w:p>
            <w:pPr>
              <w:spacing w:after="0"/>
              <w:rPr>
                <w:rFonts w:ascii="Arial" w:cs="Arial" w:eastAsia="Arial" w:hAnsi="Arial"/>
                <w:sz w:val="21"/>
                <w:szCs w:val="21"/>
                <w:b w:val="1"/>
                <w:bCs w:val="1"/>
                <w:u w:val="single" w:color="auto"/>
                <w:color w:val="0000EE"/>
              </w:rPr>
            </w:pPr>
            <w:hyperlink w:anchor="page22">
              <w:r>
                <w:rPr>
                  <w:rFonts w:ascii="Arial" w:cs="Arial" w:eastAsia="Arial" w:hAnsi="Arial"/>
                  <w:sz w:val="21"/>
                  <w:szCs w:val="21"/>
                  <w:b w:val="1"/>
                  <w:bCs w:val="1"/>
                  <w:u w:val="single" w:color="auto"/>
                  <w:color w:val="0000EE"/>
                </w:rPr>
                <w:t>Corporate Governance</w:t>
              </w:r>
            </w:hyperlink>
          </w:p>
        </w:tc>
        <w:tc>
          <w:tcPr>
            <w:tcW w:w="720" w:type="dxa"/>
            <w:vAlign w:val="bottom"/>
            <w:gridSpan w:val="3"/>
          </w:tcPr>
          <w:p>
            <w:pPr>
              <w:jc w:val="right"/>
              <w:spacing w:after="0"/>
              <w:rPr>
                <w:rFonts w:ascii="Arial" w:cs="Arial" w:eastAsia="Arial" w:hAnsi="Arial"/>
                <w:sz w:val="21"/>
                <w:szCs w:val="21"/>
                <w:u w:val="single" w:color="auto"/>
                <w:color w:val="0000EE"/>
              </w:rPr>
            </w:pPr>
            <w:hyperlink w:anchor="page22">
              <w:r>
                <w:rPr>
                  <w:rFonts w:ascii="Arial" w:cs="Arial" w:eastAsia="Arial" w:hAnsi="Arial"/>
                  <w:sz w:val="21"/>
                  <w:szCs w:val="21"/>
                  <w:u w:val="single" w:color="auto"/>
                  <w:color w:val="0000EE"/>
                </w:rPr>
                <w:t>15</w:t>
              </w:r>
            </w:hyperlink>
          </w:p>
        </w:tc>
      </w:tr>
      <w:tr>
        <w:trPr>
          <w:trHeight w:val="405"/>
        </w:trPr>
        <w:tc>
          <w:tcPr>
            <w:tcW w:w="8360" w:type="dxa"/>
            <w:vAlign w:val="bottom"/>
          </w:tcPr>
          <w:p>
            <w:pPr>
              <w:ind w:left="360"/>
              <w:spacing w:after="0"/>
              <w:rPr>
                <w:rFonts w:ascii="Arial" w:cs="Arial" w:eastAsia="Arial" w:hAnsi="Arial"/>
                <w:sz w:val="21"/>
                <w:szCs w:val="21"/>
                <w:u w:val="single" w:color="auto"/>
                <w:color w:val="0000EE"/>
              </w:rPr>
            </w:pPr>
            <w:hyperlink w:anchor="page22">
              <w:r>
                <w:rPr>
                  <w:rFonts w:ascii="Arial" w:cs="Arial" w:eastAsia="Arial" w:hAnsi="Arial"/>
                  <w:sz w:val="21"/>
                  <w:szCs w:val="21"/>
                  <w:u w:val="single" w:color="auto"/>
                  <w:color w:val="0000EE"/>
                </w:rPr>
                <w:t>Corporate Governance Summary</w:t>
              </w:r>
            </w:hyperlink>
          </w:p>
        </w:tc>
        <w:tc>
          <w:tcPr>
            <w:tcW w:w="720" w:type="dxa"/>
            <w:vAlign w:val="bottom"/>
            <w:gridSpan w:val="3"/>
          </w:tcPr>
          <w:p>
            <w:pPr>
              <w:jc w:val="right"/>
              <w:spacing w:after="0"/>
              <w:rPr>
                <w:rFonts w:ascii="Arial" w:cs="Arial" w:eastAsia="Arial" w:hAnsi="Arial"/>
                <w:sz w:val="21"/>
                <w:szCs w:val="21"/>
                <w:u w:val="single" w:color="auto"/>
                <w:color w:val="0000EE"/>
              </w:rPr>
            </w:pPr>
            <w:hyperlink w:anchor="page22">
              <w:r>
                <w:rPr>
                  <w:rFonts w:ascii="Arial" w:cs="Arial" w:eastAsia="Arial" w:hAnsi="Arial"/>
                  <w:sz w:val="21"/>
                  <w:szCs w:val="21"/>
                  <w:u w:val="single" w:color="auto"/>
                  <w:color w:val="0000EE"/>
                </w:rPr>
                <w:t>15</w:t>
              </w:r>
            </w:hyperlink>
          </w:p>
        </w:tc>
      </w:tr>
      <w:tr>
        <w:trPr>
          <w:trHeight w:val="405"/>
        </w:trPr>
        <w:tc>
          <w:tcPr>
            <w:tcW w:w="8360" w:type="dxa"/>
            <w:vAlign w:val="bottom"/>
          </w:tcPr>
          <w:p>
            <w:pPr>
              <w:ind w:left="360"/>
              <w:spacing w:after="0"/>
              <w:rPr>
                <w:rFonts w:ascii="Arial" w:cs="Arial" w:eastAsia="Arial" w:hAnsi="Arial"/>
                <w:sz w:val="21"/>
                <w:szCs w:val="21"/>
                <w:u w:val="single" w:color="auto"/>
                <w:color w:val="0000EE"/>
              </w:rPr>
            </w:pPr>
            <w:hyperlink w:anchor="page23">
              <w:r>
                <w:rPr>
                  <w:rFonts w:ascii="Arial" w:cs="Arial" w:eastAsia="Arial" w:hAnsi="Arial"/>
                  <w:sz w:val="21"/>
                  <w:szCs w:val="21"/>
                  <w:u w:val="single" w:color="auto"/>
                  <w:color w:val="0000EE"/>
                </w:rPr>
                <w:t>Board of Directors and Committees</w:t>
              </w:r>
            </w:hyperlink>
          </w:p>
        </w:tc>
        <w:tc>
          <w:tcPr>
            <w:tcW w:w="720" w:type="dxa"/>
            <w:vAlign w:val="bottom"/>
            <w:gridSpan w:val="3"/>
          </w:tcPr>
          <w:p>
            <w:pPr>
              <w:jc w:val="right"/>
              <w:spacing w:after="0"/>
              <w:rPr>
                <w:rFonts w:ascii="Arial" w:cs="Arial" w:eastAsia="Arial" w:hAnsi="Arial"/>
                <w:sz w:val="21"/>
                <w:szCs w:val="21"/>
                <w:u w:val="single" w:color="auto"/>
                <w:color w:val="0000EE"/>
              </w:rPr>
            </w:pPr>
            <w:hyperlink w:anchor="page23">
              <w:r>
                <w:rPr>
                  <w:rFonts w:ascii="Arial" w:cs="Arial" w:eastAsia="Arial" w:hAnsi="Arial"/>
                  <w:sz w:val="21"/>
                  <w:szCs w:val="21"/>
                  <w:u w:val="single" w:color="auto"/>
                  <w:color w:val="0000EE"/>
                </w:rPr>
                <w:t>16</w:t>
              </w:r>
            </w:hyperlink>
          </w:p>
        </w:tc>
      </w:tr>
      <w:tr>
        <w:trPr>
          <w:trHeight w:val="405"/>
        </w:trPr>
        <w:tc>
          <w:tcPr>
            <w:tcW w:w="8360" w:type="dxa"/>
            <w:vAlign w:val="bottom"/>
          </w:tcPr>
          <w:p>
            <w:pPr>
              <w:ind w:left="360"/>
              <w:spacing w:after="0"/>
              <w:rPr>
                <w:rFonts w:ascii="Arial" w:cs="Arial" w:eastAsia="Arial" w:hAnsi="Arial"/>
                <w:sz w:val="21"/>
                <w:szCs w:val="21"/>
                <w:u w:val="single" w:color="auto"/>
                <w:color w:val="0000EE"/>
              </w:rPr>
            </w:pPr>
            <w:hyperlink w:anchor="page26">
              <w:r>
                <w:rPr>
                  <w:rFonts w:ascii="Arial" w:cs="Arial" w:eastAsia="Arial" w:hAnsi="Arial"/>
                  <w:sz w:val="21"/>
                  <w:szCs w:val="21"/>
                  <w:u w:val="single" w:color="auto"/>
                  <w:color w:val="0000EE"/>
                </w:rPr>
                <w:t>Leadership Structure</w:t>
              </w:r>
            </w:hyperlink>
          </w:p>
        </w:tc>
        <w:tc>
          <w:tcPr>
            <w:tcW w:w="720" w:type="dxa"/>
            <w:vAlign w:val="bottom"/>
            <w:gridSpan w:val="3"/>
          </w:tcPr>
          <w:p>
            <w:pPr>
              <w:jc w:val="right"/>
              <w:spacing w:after="0"/>
              <w:rPr>
                <w:rFonts w:ascii="Arial" w:cs="Arial" w:eastAsia="Arial" w:hAnsi="Arial"/>
                <w:sz w:val="21"/>
                <w:szCs w:val="21"/>
                <w:u w:val="single" w:color="auto"/>
                <w:color w:val="0000EE"/>
              </w:rPr>
            </w:pPr>
            <w:hyperlink w:anchor="page26">
              <w:r>
                <w:rPr>
                  <w:rFonts w:ascii="Arial" w:cs="Arial" w:eastAsia="Arial" w:hAnsi="Arial"/>
                  <w:sz w:val="21"/>
                  <w:szCs w:val="21"/>
                  <w:u w:val="single" w:color="auto"/>
                  <w:color w:val="0000EE"/>
                </w:rPr>
                <w:t>19</w:t>
              </w:r>
            </w:hyperlink>
          </w:p>
        </w:tc>
      </w:tr>
      <w:tr>
        <w:trPr>
          <w:trHeight w:val="405"/>
        </w:trPr>
        <w:tc>
          <w:tcPr>
            <w:tcW w:w="8360" w:type="dxa"/>
            <w:vAlign w:val="bottom"/>
          </w:tcPr>
          <w:p>
            <w:pPr>
              <w:ind w:left="360"/>
              <w:spacing w:after="0"/>
              <w:rPr>
                <w:rFonts w:ascii="Arial" w:cs="Arial" w:eastAsia="Arial" w:hAnsi="Arial"/>
                <w:sz w:val="21"/>
                <w:szCs w:val="21"/>
                <w:u w:val="single" w:color="auto"/>
                <w:color w:val="0000EE"/>
              </w:rPr>
            </w:pPr>
            <w:hyperlink w:anchor="page27">
              <w:r>
                <w:rPr>
                  <w:rFonts w:ascii="Arial" w:cs="Arial" w:eastAsia="Arial" w:hAnsi="Arial"/>
                  <w:sz w:val="21"/>
                  <w:szCs w:val="21"/>
                  <w:u w:val="single" w:color="auto"/>
                  <w:color w:val="0000EE"/>
                </w:rPr>
                <w:t>Other Corporate Governance Matters, Practices and Procedures</w:t>
              </w:r>
            </w:hyperlink>
          </w:p>
        </w:tc>
        <w:tc>
          <w:tcPr>
            <w:tcW w:w="720" w:type="dxa"/>
            <w:vAlign w:val="bottom"/>
            <w:gridSpan w:val="3"/>
          </w:tcPr>
          <w:p>
            <w:pPr>
              <w:jc w:val="right"/>
              <w:spacing w:after="0"/>
              <w:rPr>
                <w:rFonts w:ascii="Arial" w:cs="Arial" w:eastAsia="Arial" w:hAnsi="Arial"/>
                <w:sz w:val="21"/>
                <w:szCs w:val="21"/>
                <w:u w:val="single" w:color="auto"/>
                <w:color w:val="0000EE"/>
              </w:rPr>
            </w:pPr>
            <w:hyperlink w:anchor="page27">
              <w:r>
                <w:rPr>
                  <w:rFonts w:ascii="Arial" w:cs="Arial" w:eastAsia="Arial" w:hAnsi="Arial"/>
                  <w:sz w:val="21"/>
                  <w:szCs w:val="21"/>
                  <w:u w:val="single" w:color="auto"/>
                  <w:color w:val="0000EE"/>
                </w:rPr>
                <w:t>20</w:t>
              </w:r>
            </w:hyperlink>
          </w:p>
        </w:tc>
      </w:tr>
      <w:tr>
        <w:trPr>
          <w:trHeight w:val="810"/>
        </w:trPr>
        <w:tc>
          <w:tcPr>
            <w:tcW w:w="8360" w:type="dxa"/>
            <w:vAlign w:val="bottom"/>
          </w:tcPr>
          <w:p>
            <w:pPr>
              <w:spacing w:after="0"/>
              <w:rPr>
                <w:rFonts w:ascii="Arial" w:cs="Arial" w:eastAsia="Arial" w:hAnsi="Arial"/>
                <w:sz w:val="21"/>
                <w:szCs w:val="21"/>
                <w:b w:val="1"/>
                <w:bCs w:val="1"/>
                <w:u w:val="single" w:color="auto"/>
                <w:color w:val="0000EE"/>
              </w:rPr>
            </w:pPr>
            <w:hyperlink w:anchor="page30">
              <w:r>
                <w:rPr>
                  <w:rFonts w:ascii="Arial" w:cs="Arial" w:eastAsia="Arial" w:hAnsi="Arial"/>
                  <w:sz w:val="21"/>
                  <w:szCs w:val="21"/>
                  <w:b w:val="1"/>
                  <w:bCs w:val="1"/>
                  <w:u w:val="single" w:color="auto"/>
                  <w:color w:val="0000EE"/>
                </w:rPr>
                <w:t>Compensation Discussion and Analysis</w:t>
              </w:r>
            </w:hyperlink>
          </w:p>
        </w:tc>
        <w:tc>
          <w:tcPr>
            <w:tcW w:w="720" w:type="dxa"/>
            <w:vAlign w:val="bottom"/>
            <w:gridSpan w:val="3"/>
          </w:tcPr>
          <w:p>
            <w:pPr>
              <w:jc w:val="right"/>
              <w:spacing w:after="0"/>
              <w:rPr>
                <w:rFonts w:ascii="Arial" w:cs="Arial" w:eastAsia="Arial" w:hAnsi="Arial"/>
                <w:sz w:val="21"/>
                <w:szCs w:val="21"/>
                <w:u w:val="single" w:color="auto"/>
                <w:color w:val="0000EE"/>
              </w:rPr>
            </w:pPr>
            <w:hyperlink w:anchor="page30">
              <w:r>
                <w:rPr>
                  <w:rFonts w:ascii="Arial" w:cs="Arial" w:eastAsia="Arial" w:hAnsi="Arial"/>
                  <w:sz w:val="21"/>
                  <w:szCs w:val="21"/>
                  <w:u w:val="single" w:color="auto"/>
                  <w:color w:val="0000EE"/>
                </w:rPr>
                <w:t>23</w:t>
              </w:r>
            </w:hyperlink>
          </w:p>
        </w:tc>
      </w:tr>
      <w:tr>
        <w:trPr>
          <w:trHeight w:val="810"/>
        </w:trPr>
        <w:tc>
          <w:tcPr>
            <w:tcW w:w="8360" w:type="dxa"/>
            <w:vAlign w:val="bottom"/>
          </w:tcPr>
          <w:p>
            <w:pPr>
              <w:spacing w:after="0"/>
              <w:rPr>
                <w:sz w:val="20"/>
                <w:szCs w:val="20"/>
                <w:color w:val="auto"/>
              </w:rPr>
            </w:pPr>
            <w:r>
              <w:rPr>
                <w:rFonts w:ascii="Arial" w:cs="Arial" w:eastAsia="Arial" w:hAnsi="Arial"/>
                <w:sz w:val="21"/>
                <w:szCs w:val="21"/>
                <w:b w:val="1"/>
                <w:bCs w:val="1"/>
                <w:color w:val="7F7F7F"/>
              </w:rPr>
              <w:t>Executive Compensation</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05"/>
        </w:trPr>
        <w:tc>
          <w:tcPr>
            <w:tcW w:w="8360" w:type="dxa"/>
            <w:vAlign w:val="bottom"/>
          </w:tcPr>
          <w:p>
            <w:pPr>
              <w:ind w:left="360"/>
              <w:spacing w:after="0"/>
              <w:rPr>
                <w:rFonts w:ascii="Arial" w:cs="Arial" w:eastAsia="Arial" w:hAnsi="Arial"/>
                <w:sz w:val="21"/>
                <w:szCs w:val="21"/>
                <w:u w:val="single" w:color="auto"/>
                <w:color w:val="0000EE"/>
              </w:rPr>
            </w:pPr>
            <w:hyperlink w:anchor="page43">
              <w:r>
                <w:rPr>
                  <w:rFonts w:ascii="Arial" w:cs="Arial" w:eastAsia="Arial" w:hAnsi="Arial"/>
                  <w:sz w:val="21"/>
                  <w:szCs w:val="21"/>
                  <w:u w:val="single" w:color="auto"/>
                  <w:color w:val="0000EE"/>
                </w:rPr>
                <w:t>Summary Compensation Table</w:t>
              </w:r>
            </w:hyperlink>
          </w:p>
        </w:tc>
        <w:tc>
          <w:tcPr>
            <w:tcW w:w="720" w:type="dxa"/>
            <w:vAlign w:val="bottom"/>
            <w:gridSpan w:val="3"/>
          </w:tcPr>
          <w:p>
            <w:pPr>
              <w:jc w:val="right"/>
              <w:spacing w:after="0"/>
              <w:rPr>
                <w:rFonts w:ascii="Arial" w:cs="Arial" w:eastAsia="Arial" w:hAnsi="Arial"/>
                <w:sz w:val="21"/>
                <w:szCs w:val="21"/>
                <w:u w:val="single" w:color="auto"/>
                <w:color w:val="0000EE"/>
              </w:rPr>
            </w:pPr>
            <w:hyperlink w:anchor="page43">
              <w:r>
                <w:rPr>
                  <w:rFonts w:ascii="Arial" w:cs="Arial" w:eastAsia="Arial" w:hAnsi="Arial"/>
                  <w:sz w:val="21"/>
                  <w:szCs w:val="21"/>
                  <w:u w:val="single" w:color="auto"/>
                  <w:color w:val="0000EE"/>
                </w:rPr>
                <w:t>36</w:t>
              </w:r>
            </w:hyperlink>
          </w:p>
        </w:tc>
      </w:tr>
      <w:tr>
        <w:trPr>
          <w:trHeight w:val="405"/>
        </w:trPr>
        <w:tc>
          <w:tcPr>
            <w:tcW w:w="8360" w:type="dxa"/>
            <w:vAlign w:val="bottom"/>
          </w:tcPr>
          <w:p>
            <w:pPr>
              <w:ind w:left="360"/>
              <w:spacing w:after="0"/>
              <w:rPr>
                <w:rFonts w:ascii="Arial" w:cs="Arial" w:eastAsia="Arial" w:hAnsi="Arial"/>
                <w:sz w:val="21"/>
                <w:szCs w:val="21"/>
                <w:u w:val="single" w:color="auto"/>
                <w:color w:val="0000EE"/>
              </w:rPr>
            </w:pPr>
            <w:hyperlink w:anchor="page44">
              <w:r>
                <w:rPr>
                  <w:rFonts w:ascii="Arial" w:cs="Arial" w:eastAsia="Arial" w:hAnsi="Arial"/>
                  <w:sz w:val="21"/>
                  <w:szCs w:val="21"/>
                  <w:u w:val="single" w:color="auto"/>
                  <w:color w:val="0000EE"/>
                </w:rPr>
                <w:t>Potential Payments upon Termination or Change in Control</w:t>
              </w:r>
            </w:hyperlink>
          </w:p>
        </w:tc>
        <w:tc>
          <w:tcPr>
            <w:tcW w:w="720" w:type="dxa"/>
            <w:vAlign w:val="bottom"/>
            <w:gridSpan w:val="3"/>
          </w:tcPr>
          <w:p>
            <w:pPr>
              <w:jc w:val="right"/>
              <w:spacing w:after="0"/>
              <w:rPr>
                <w:rFonts w:ascii="Arial" w:cs="Arial" w:eastAsia="Arial" w:hAnsi="Arial"/>
                <w:sz w:val="21"/>
                <w:szCs w:val="21"/>
                <w:u w:val="single" w:color="auto"/>
                <w:color w:val="0000EE"/>
              </w:rPr>
            </w:pPr>
            <w:hyperlink w:anchor="page44">
              <w:r>
                <w:rPr>
                  <w:rFonts w:ascii="Arial" w:cs="Arial" w:eastAsia="Arial" w:hAnsi="Arial"/>
                  <w:sz w:val="21"/>
                  <w:szCs w:val="21"/>
                  <w:u w:val="single" w:color="auto"/>
                  <w:color w:val="0000EE"/>
                </w:rPr>
                <w:t>37</w:t>
              </w:r>
            </w:hyperlink>
          </w:p>
        </w:tc>
      </w:tr>
      <w:tr>
        <w:trPr>
          <w:trHeight w:val="405"/>
        </w:trPr>
        <w:tc>
          <w:tcPr>
            <w:tcW w:w="8360" w:type="dxa"/>
            <w:vAlign w:val="bottom"/>
          </w:tcPr>
          <w:p>
            <w:pPr>
              <w:ind w:left="360"/>
              <w:spacing w:after="0"/>
              <w:rPr>
                <w:rFonts w:ascii="Arial" w:cs="Arial" w:eastAsia="Arial" w:hAnsi="Arial"/>
                <w:sz w:val="21"/>
                <w:szCs w:val="21"/>
                <w:u w:val="single" w:color="auto"/>
                <w:color w:val="0000EE"/>
              </w:rPr>
            </w:pPr>
            <w:hyperlink w:anchor="page45">
              <w:r>
                <w:rPr>
                  <w:rFonts w:ascii="Arial" w:cs="Arial" w:eastAsia="Arial" w:hAnsi="Arial"/>
                  <w:sz w:val="21"/>
                  <w:szCs w:val="21"/>
                  <w:u w:val="single" w:color="auto"/>
                  <w:color w:val="0000EE"/>
                </w:rPr>
                <w:t>Grants of Plan-Based Awards</w:t>
              </w:r>
            </w:hyperlink>
          </w:p>
        </w:tc>
        <w:tc>
          <w:tcPr>
            <w:tcW w:w="720" w:type="dxa"/>
            <w:vAlign w:val="bottom"/>
            <w:gridSpan w:val="3"/>
          </w:tcPr>
          <w:p>
            <w:pPr>
              <w:jc w:val="right"/>
              <w:spacing w:after="0"/>
              <w:rPr>
                <w:rFonts w:ascii="Arial" w:cs="Arial" w:eastAsia="Arial" w:hAnsi="Arial"/>
                <w:sz w:val="21"/>
                <w:szCs w:val="21"/>
                <w:u w:val="single" w:color="auto"/>
                <w:color w:val="0000EE"/>
              </w:rPr>
            </w:pPr>
            <w:hyperlink w:anchor="page45">
              <w:r>
                <w:rPr>
                  <w:rFonts w:ascii="Arial" w:cs="Arial" w:eastAsia="Arial" w:hAnsi="Arial"/>
                  <w:sz w:val="21"/>
                  <w:szCs w:val="21"/>
                  <w:u w:val="single" w:color="auto"/>
                  <w:color w:val="0000EE"/>
                </w:rPr>
                <w:t>38</w:t>
              </w:r>
            </w:hyperlink>
          </w:p>
        </w:tc>
      </w:tr>
      <w:tr>
        <w:trPr>
          <w:trHeight w:val="405"/>
        </w:trPr>
        <w:tc>
          <w:tcPr>
            <w:tcW w:w="8360" w:type="dxa"/>
            <w:vAlign w:val="bottom"/>
          </w:tcPr>
          <w:p>
            <w:pPr>
              <w:ind w:left="360"/>
              <w:spacing w:after="0"/>
              <w:rPr>
                <w:rFonts w:ascii="Arial" w:cs="Arial" w:eastAsia="Arial" w:hAnsi="Arial"/>
                <w:sz w:val="21"/>
                <w:szCs w:val="21"/>
                <w:u w:val="single" w:color="auto"/>
                <w:color w:val="0000EE"/>
              </w:rPr>
            </w:pPr>
            <w:hyperlink w:anchor="page46">
              <w:r>
                <w:rPr>
                  <w:rFonts w:ascii="Arial" w:cs="Arial" w:eastAsia="Arial" w:hAnsi="Arial"/>
                  <w:sz w:val="21"/>
                  <w:szCs w:val="21"/>
                  <w:u w:val="single" w:color="auto"/>
                  <w:color w:val="0000EE"/>
                </w:rPr>
                <w:t>Outstanding Equity Awards at Fiscal Year-End</w:t>
              </w:r>
            </w:hyperlink>
          </w:p>
        </w:tc>
        <w:tc>
          <w:tcPr>
            <w:tcW w:w="720" w:type="dxa"/>
            <w:vAlign w:val="bottom"/>
            <w:gridSpan w:val="3"/>
          </w:tcPr>
          <w:p>
            <w:pPr>
              <w:jc w:val="right"/>
              <w:spacing w:after="0"/>
              <w:rPr>
                <w:rFonts w:ascii="Arial" w:cs="Arial" w:eastAsia="Arial" w:hAnsi="Arial"/>
                <w:sz w:val="21"/>
                <w:szCs w:val="21"/>
                <w:u w:val="single" w:color="auto"/>
                <w:color w:val="0000EE"/>
              </w:rPr>
            </w:pPr>
            <w:hyperlink w:anchor="page46">
              <w:r>
                <w:rPr>
                  <w:rFonts w:ascii="Arial" w:cs="Arial" w:eastAsia="Arial" w:hAnsi="Arial"/>
                  <w:sz w:val="21"/>
                  <w:szCs w:val="21"/>
                  <w:u w:val="single" w:color="auto"/>
                  <w:color w:val="0000EE"/>
                </w:rPr>
                <w:t>39</w:t>
              </w:r>
            </w:hyperlink>
          </w:p>
        </w:tc>
      </w:tr>
      <w:tr>
        <w:trPr>
          <w:trHeight w:val="405"/>
        </w:trPr>
        <w:tc>
          <w:tcPr>
            <w:tcW w:w="8360" w:type="dxa"/>
            <w:vAlign w:val="bottom"/>
          </w:tcPr>
          <w:p>
            <w:pPr>
              <w:ind w:left="360"/>
              <w:spacing w:after="0"/>
              <w:rPr>
                <w:rFonts w:ascii="Arial" w:cs="Arial" w:eastAsia="Arial" w:hAnsi="Arial"/>
                <w:sz w:val="21"/>
                <w:szCs w:val="21"/>
                <w:u w:val="single" w:color="auto"/>
                <w:color w:val="0000EE"/>
              </w:rPr>
            </w:pPr>
            <w:hyperlink w:anchor="page48">
              <w:r>
                <w:rPr>
                  <w:rFonts w:ascii="Arial" w:cs="Arial" w:eastAsia="Arial" w:hAnsi="Arial"/>
                  <w:sz w:val="21"/>
                  <w:szCs w:val="21"/>
                  <w:u w:val="single" w:color="auto"/>
                  <w:color w:val="0000EE"/>
                </w:rPr>
                <w:t>Option Exercises and Stock Vested</w:t>
              </w:r>
            </w:hyperlink>
          </w:p>
        </w:tc>
        <w:tc>
          <w:tcPr>
            <w:tcW w:w="720" w:type="dxa"/>
            <w:vAlign w:val="bottom"/>
            <w:gridSpan w:val="3"/>
          </w:tcPr>
          <w:p>
            <w:pPr>
              <w:jc w:val="right"/>
              <w:spacing w:after="0"/>
              <w:rPr>
                <w:rFonts w:ascii="Arial" w:cs="Arial" w:eastAsia="Arial" w:hAnsi="Arial"/>
                <w:sz w:val="21"/>
                <w:szCs w:val="21"/>
                <w:u w:val="single" w:color="auto"/>
                <w:color w:val="0000EE"/>
              </w:rPr>
            </w:pPr>
            <w:hyperlink w:anchor="page48">
              <w:r>
                <w:rPr>
                  <w:rFonts w:ascii="Arial" w:cs="Arial" w:eastAsia="Arial" w:hAnsi="Arial"/>
                  <w:sz w:val="21"/>
                  <w:szCs w:val="21"/>
                  <w:u w:val="single" w:color="auto"/>
                  <w:color w:val="0000EE"/>
                </w:rPr>
                <w:t>40</w:t>
              </w:r>
            </w:hyperlink>
          </w:p>
        </w:tc>
      </w:tr>
      <w:tr>
        <w:trPr>
          <w:trHeight w:val="405"/>
        </w:trPr>
        <w:tc>
          <w:tcPr>
            <w:tcW w:w="8360" w:type="dxa"/>
            <w:vAlign w:val="bottom"/>
          </w:tcPr>
          <w:p>
            <w:pPr>
              <w:ind w:left="360"/>
              <w:spacing w:after="0"/>
              <w:rPr>
                <w:rFonts w:ascii="Arial" w:cs="Arial" w:eastAsia="Arial" w:hAnsi="Arial"/>
                <w:sz w:val="21"/>
                <w:szCs w:val="21"/>
                <w:u w:val="single" w:color="auto"/>
                <w:color w:val="0000EE"/>
                <w:w w:val="96"/>
              </w:rPr>
            </w:pPr>
            <w:hyperlink w:anchor="page48">
              <w:r>
                <w:rPr>
                  <w:rFonts w:ascii="Arial" w:cs="Arial" w:eastAsia="Arial" w:hAnsi="Arial"/>
                  <w:sz w:val="21"/>
                  <w:szCs w:val="21"/>
                  <w:u w:val="single" w:color="auto"/>
                  <w:color w:val="0000EE"/>
                  <w:w w:val="96"/>
                </w:rPr>
                <w:t>Nonqualified Defined Contribution and Other Nonqualified Deferred Compensation Plans</w:t>
              </w:r>
            </w:hyperlink>
          </w:p>
        </w:tc>
        <w:tc>
          <w:tcPr>
            <w:tcW w:w="720" w:type="dxa"/>
            <w:vAlign w:val="bottom"/>
            <w:gridSpan w:val="3"/>
          </w:tcPr>
          <w:p>
            <w:pPr>
              <w:jc w:val="right"/>
              <w:spacing w:after="0"/>
              <w:rPr>
                <w:rFonts w:ascii="Arial" w:cs="Arial" w:eastAsia="Arial" w:hAnsi="Arial"/>
                <w:sz w:val="21"/>
                <w:szCs w:val="21"/>
                <w:u w:val="single" w:color="auto"/>
                <w:color w:val="0000EE"/>
              </w:rPr>
            </w:pPr>
            <w:hyperlink w:anchor="page48">
              <w:r>
                <w:rPr>
                  <w:rFonts w:ascii="Arial" w:cs="Arial" w:eastAsia="Arial" w:hAnsi="Arial"/>
                  <w:sz w:val="21"/>
                  <w:szCs w:val="21"/>
                  <w:u w:val="single" w:color="auto"/>
                  <w:color w:val="0000EE"/>
                </w:rPr>
                <w:t>40</w:t>
              </w:r>
            </w:hyperlink>
          </w:p>
        </w:tc>
      </w:tr>
      <w:tr>
        <w:trPr>
          <w:trHeight w:val="405"/>
        </w:trPr>
        <w:tc>
          <w:tcPr>
            <w:tcW w:w="8360" w:type="dxa"/>
            <w:vAlign w:val="bottom"/>
          </w:tcPr>
          <w:p>
            <w:pPr>
              <w:ind w:left="360"/>
              <w:spacing w:after="0"/>
              <w:rPr>
                <w:rFonts w:ascii="Arial" w:cs="Arial" w:eastAsia="Arial" w:hAnsi="Arial"/>
                <w:sz w:val="21"/>
                <w:szCs w:val="21"/>
                <w:u w:val="single" w:color="auto"/>
                <w:color w:val="0000EE"/>
              </w:rPr>
            </w:pPr>
            <w:hyperlink w:anchor="page48">
              <w:r>
                <w:rPr>
                  <w:rFonts w:ascii="Arial" w:cs="Arial" w:eastAsia="Arial" w:hAnsi="Arial"/>
                  <w:sz w:val="21"/>
                  <w:szCs w:val="21"/>
                  <w:u w:val="single" w:color="auto"/>
                  <w:color w:val="0000EE"/>
                </w:rPr>
                <w:t>Compensation Committee Report</w:t>
              </w:r>
            </w:hyperlink>
          </w:p>
        </w:tc>
        <w:tc>
          <w:tcPr>
            <w:tcW w:w="720" w:type="dxa"/>
            <w:vAlign w:val="bottom"/>
            <w:gridSpan w:val="3"/>
          </w:tcPr>
          <w:p>
            <w:pPr>
              <w:jc w:val="right"/>
              <w:spacing w:after="0"/>
              <w:rPr>
                <w:rFonts w:ascii="Arial" w:cs="Arial" w:eastAsia="Arial" w:hAnsi="Arial"/>
                <w:sz w:val="21"/>
                <w:szCs w:val="21"/>
                <w:u w:val="single" w:color="auto"/>
                <w:color w:val="0000EE"/>
              </w:rPr>
            </w:pPr>
            <w:hyperlink w:anchor="page48">
              <w:r>
                <w:rPr>
                  <w:rFonts w:ascii="Arial" w:cs="Arial" w:eastAsia="Arial" w:hAnsi="Arial"/>
                  <w:sz w:val="21"/>
                  <w:szCs w:val="21"/>
                  <w:u w:val="single" w:color="auto"/>
                  <w:color w:val="0000EE"/>
                </w:rPr>
                <w:t>40</w:t>
              </w:r>
            </w:hyperlink>
          </w:p>
        </w:tc>
      </w:tr>
      <w:tr>
        <w:trPr>
          <w:trHeight w:val="405"/>
        </w:trPr>
        <w:tc>
          <w:tcPr>
            <w:tcW w:w="8360" w:type="dxa"/>
            <w:vAlign w:val="bottom"/>
          </w:tcPr>
          <w:p>
            <w:pPr>
              <w:ind w:left="360"/>
              <w:spacing w:after="0"/>
              <w:rPr>
                <w:rFonts w:ascii="Arial" w:cs="Arial" w:eastAsia="Arial" w:hAnsi="Arial"/>
                <w:sz w:val="21"/>
                <w:szCs w:val="21"/>
                <w:u w:val="single" w:color="auto"/>
                <w:color w:val="0000EE"/>
              </w:rPr>
            </w:pPr>
            <w:hyperlink w:anchor="page49">
              <w:r>
                <w:rPr>
                  <w:rFonts w:ascii="Arial" w:cs="Arial" w:eastAsia="Arial" w:hAnsi="Arial"/>
                  <w:sz w:val="21"/>
                  <w:szCs w:val="21"/>
                  <w:u w:val="single" w:color="auto"/>
                  <w:color w:val="0000EE"/>
                </w:rPr>
                <w:t>Director Compensation and Stock Ownership Guidelines</w:t>
              </w:r>
            </w:hyperlink>
          </w:p>
        </w:tc>
        <w:tc>
          <w:tcPr>
            <w:tcW w:w="720" w:type="dxa"/>
            <w:vAlign w:val="bottom"/>
            <w:gridSpan w:val="3"/>
          </w:tcPr>
          <w:p>
            <w:pPr>
              <w:jc w:val="right"/>
              <w:spacing w:after="0"/>
              <w:rPr>
                <w:rFonts w:ascii="Arial" w:cs="Arial" w:eastAsia="Arial" w:hAnsi="Arial"/>
                <w:sz w:val="21"/>
                <w:szCs w:val="21"/>
                <w:u w:val="single" w:color="auto"/>
                <w:color w:val="0000EE"/>
              </w:rPr>
            </w:pPr>
            <w:hyperlink w:anchor="page49">
              <w:r>
                <w:rPr>
                  <w:rFonts w:ascii="Arial" w:cs="Arial" w:eastAsia="Arial" w:hAnsi="Arial"/>
                  <w:sz w:val="21"/>
                  <w:szCs w:val="21"/>
                  <w:u w:val="single" w:color="auto"/>
                  <w:color w:val="0000EE"/>
                </w:rPr>
                <w:t>41</w:t>
              </w:r>
            </w:hyperlink>
          </w:p>
        </w:tc>
      </w:tr>
      <w:tr>
        <w:trPr>
          <w:trHeight w:val="405"/>
        </w:trPr>
        <w:tc>
          <w:tcPr>
            <w:tcW w:w="8360" w:type="dxa"/>
            <w:vAlign w:val="bottom"/>
          </w:tcPr>
          <w:p>
            <w:pPr>
              <w:ind w:left="360"/>
              <w:spacing w:after="0"/>
              <w:rPr>
                <w:rFonts w:ascii="Arial" w:cs="Arial" w:eastAsia="Arial" w:hAnsi="Arial"/>
                <w:sz w:val="21"/>
                <w:szCs w:val="21"/>
                <w:u w:val="single" w:color="auto"/>
                <w:color w:val="0000EE"/>
              </w:rPr>
            </w:pPr>
            <w:hyperlink w:anchor="page51">
              <w:r>
                <w:rPr>
                  <w:rFonts w:ascii="Arial" w:cs="Arial" w:eastAsia="Arial" w:hAnsi="Arial"/>
                  <w:sz w:val="21"/>
                  <w:szCs w:val="21"/>
                  <w:u w:val="single" w:color="auto"/>
                  <w:color w:val="0000EE"/>
                </w:rPr>
                <w:t>Ratio of Co-CEO Total Pay to “Median Employee” Total Pay</w:t>
              </w:r>
            </w:hyperlink>
          </w:p>
        </w:tc>
        <w:tc>
          <w:tcPr>
            <w:tcW w:w="720" w:type="dxa"/>
            <w:vAlign w:val="bottom"/>
            <w:gridSpan w:val="3"/>
          </w:tcPr>
          <w:p>
            <w:pPr>
              <w:jc w:val="right"/>
              <w:spacing w:after="0"/>
              <w:rPr>
                <w:rFonts w:ascii="Arial" w:cs="Arial" w:eastAsia="Arial" w:hAnsi="Arial"/>
                <w:sz w:val="21"/>
                <w:szCs w:val="21"/>
                <w:u w:val="single" w:color="auto"/>
                <w:color w:val="0000EE"/>
              </w:rPr>
            </w:pPr>
            <w:hyperlink w:anchor="page51">
              <w:r>
                <w:rPr>
                  <w:rFonts w:ascii="Arial" w:cs="Arial" w:eastAsia="Arial" w:hAnsi="Arial"/>
                  <w:sz w:val="21"/>
                  <w:szCs w:val="21"/>
                  <w:u w:val="single" w:color="auto"/>
                  <w:color w:val="0000EE"/>
                </w:rPr>
                <w:t>43</w:t>
              </w:r>
            </w:hyperlink>
          </w:p>
        </w:tc>
      </w:tr>
      <w:tr>
        <w:trPr>
          <w:trHeight w:val="405"/>
        </w:trPr>
        <w:tc>
          <w:tcPr>
            <w:tcW w:w="8360" w:type="dxa"/>
            <w:vAlign w:val="bottom"/>
          </w:tcPr>
          <w:p>
            <w:pPr>
              <w:ind w:left="360"/>
              <w:spacing w:after="0"/>
              <w:rPr>
                <w:rFonts w:ascii="Arial" w:cs="Arial" w:eastAsia="Arial" w:hAnsi="Arial"/>
                <w:sz w:val="21"/>
                <w:szCs w:val="21"/>
                <w:u w:val="single" w:color="auto"/>
                <w:color w:val="0000EE"/>
              </w:rPr>
            </w:pPr>
            <w:hyperlink w:anchor="page52">
              <w:r>
                <w:rPr>
                  <w:rFonts w:ascii="Arial" w:cs="Arial" w:eastAsia="Arial" w:hAnsi="Arial"/>
                  <w:sz w:val="21"/>
                  <w:szCs w:val="21"/>
                  <w:u w:val="single" w:color="auto"/>
                  <w:color w:val="0000EE"/>
                </w:rPr>
                <w:t>Equity Compensation Plan Information</w:t>
              </w:r>
            </w:hyperlink>
          </w:p>
        </w:tc>
        <w:tc>
          <w:tcPr>
            <w:tcW w:w="720" w:type="dxa"/>
            <w:vAlign w:val="bottom"/>
            <w:gridSpan w:val="3"/>
          </w:tcPr>
          <w:p>
            <w:pPr>
              <w:jc w:val="right"/>
              <w:spacing w:after="0"/>
              <w:rPr>
                <w:rFonts w:ascii="Arial" w:cs="Arial" w:eastAsia="Arial" w:hAnsi="Arial"/>
                <w:sz w:val="21"/>
                <w:szCs w:val="21"/>
                <w:u w:val="single" w:color="auto"/>
                <w:color w:val="0000EE"/>
              </w:rPr>
            </w:pPr>
            <w:hyperlink w:anchor="page52">
              <w:r>
                <w:rPr>
                  <w:rFonts w:ascii="Arial" w:cs="Arial" w:eastAsia="Arial" w:hAnsi="Arial"/>
                  <w:sz w:val="21"/>
                  <w:szCs w:val="21"/>
                  <w:u w:val="single" w:color="auto"/>
                  <w:color w:val="0000EE"/>
                </w:rPr>
                <w:t>44</w:t>
              </w:r>
            </w:hyperlink>
          </w:p>
        </w:tc>
      </w:tr>
      <w:tr>
        <w:trPr>
          <w:trHeight w:val="810"/>
        </w:trPr>
        <w:tc>
          <w:tcPr>
            <w:tcW w:w="8360" w:type="dxa"/>
            <w:vAlign w:val="bottom"/>
          </w:tcPr>
          <w:p>
            <w:pPr>
              <w:spacing w:after="0"/>
              <w:rPr>
                <w:sz w:val="20"/>
                <w:szCs w:val="20"/>
                <w:color w:val="auto"/>
              </w:rPr>
            </w:pPr>
            <w:r>
              <w:rPr>
                <w:rFonts w:ascii="Arial" w:cs="Arial" w:eastAsia="Arial" w:hAnsi="Arial"/>
                <w:sz w:val="21"/>
                <w:szCs w:val="21"/>
                <w:b w:val="1"/>
                <w:bCs w:val="1"/>
                <w:color w:val="7F7F7F"/>
              </w:rPr>
              <w:t>Other Matters</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05"/>
        </w:trPr>
        <w:tc>
          <w:tcPr>
            <w:tcW w:w="8360" w:type="dxa"/>
            <w:vAlign w:val="bottom"/>
          </w:tcPr>
          <w:p>
            <w:pPr>
              <w:ind w:left="360"/>
              <w:spacing w:after="0"/>
              <w:rPr>
                <w:rFonts w:ascii="Arial" w:cs="Arial" w:eastAsia="Arial" w:hAnsi="Arial"/>
                <w:sz w:val="21"/>
                <w:szCs w:val="21"/>
                <w:u w:val="single" w:color="auto"/>
                <w:color w:val="0000EE"/>
              </w:rPr>
            </w:pPr>
            <w:hyperlink w:anchor="page53">
              <w:r>
                <w:rPr>
                  <w:rFonts w:ascii="Arial" w:cs="Arial" w:eastAsia="Arial" w:hAnsi="Arial"/>
                  <w:sz w:val="21"/>
                  <w:szCs w:val="21"/>
                  <w:u w:val="single" w:color="auto"/>
                  <w:color w:val="0000EE"/>
                </w:rPr>
                <w:t>Electronic Access to Proxy Materials and Annual Report</w:t>
              </w:r>
            </w:hyperlink>
          </w:p>
        </w:tc>
        <w:tc>
          <w:tcPr>
            <w:tcW w:w="720" w:type="dxa"/>
            <w:vAlign w:val="bottom"/>
            <w:gridSpan w:val="3"/>
          </w:tcPr>
          <w:p>
            <w:pPr>
              <w:jc w:val="right"/>
              <w:spacing w:after="0"/>
              <w:rPr>
                <w:rFonts w:ascii="Arial" w:cs="Arial" w:eastAsia="Arial" w:hAnsi="Arial"/>
                <w:sz w:val="21"/>
                <w:szCs w:val="21"/>
                <w:u w:val="single" w:color="auto"/>
                <w:color w:val="0000EE"/>
              </w:rPr>
            </w:pPr>
            <w:hyperlink w:anchor="page53">
              <w:r>
                <w:rPr>
                  <w:rFonts w:ascii="Arial" w:cs="Arial" w:eastAsia="Arial" w:hAnsi="Arial"/>
                  <w:sz w:val="21"/>
                  <w:szCs w:val="21"/>
                  <w:u w:val="single" w:color="auto"/>
                  <w:color w:val="0000EE"/>
                </w:rPr>
                <w:t>45</w:t>
              </w:r>
            </w:hyperlink>
          </w:p>
        </w:tc>
      </w:tr>
    </w:tbl>
    <w:p>
      <w:pPr>
        <w:sectPr>
          <w:pgSz w:w="11900" w:h="16838" w:orient="portrait"/>
          <w:cols w:equalWidth="0" w:num="1">
            <w:col w:w="10160"/>
          </w:cols>
          <w:pgMar w:left="320" w:top="265" w:right="1419" w:bottom="0" w:gutter="0" w:footer="0" w:header="0"/>
        </w:sectPr>
      </w:pPr>
    </w:p>
    <w:bookmarkStart w:id="6" w:name="page7"/>
    <w:bookmarkEnd w:id="6"/>
    <w:p>
      <w:pPr>
        <w:spacing w:after="0" w:line="1" w:lineRule="exact"/>
        <w:rPr>
          <w:sz w:val="20"/>
          <w:szCs w:val="20"/>
          <w:color w:val="auto"/>
        </w:rPr>
      </w:pPr>
    </w:p>
    <w:tbl>
      <w:tblPr>
        <w:tblLayout w:type="fixed"/>
        <w:tblInd w:w="320" w:type="dxa"/>
        <w:tblCellMar>
          <w:top w:w="0" w:type="dxa"/>
          <w:left w:w="0" w:type="dxa"/>
          <w:bottom w:w="0" w:type="dxa"/>
          <w:right w:w="0" w:type="dxa"/>
        </w:tblCellMar>
      </w:tblPr>
      <w:tr>
        <w:trPr>
          <w:trHeight w:val="264"/>
        </w:trPr>
        <w:tc>
          <w:tcPr>
            <w:tcW w:w="7580" w:type="dxa"/>
            <w:vAlign w:val="bottom"/>
          </w:tcPr>
          <w:p>
            <w:pPr>
              <w:spacing w:after="0"/>
              <w:rPr>
                <w:rFonts w:ascii="Arial" w:cs="Arial" w:eastAsia="Arial" w:hAnsi="Arial"/>
                <w:sz w:val="21"/>
                <w:szCs w:val="21"/>
                <w:u w:val="single" w:color="auto"/>
                <w:color w:val="0000EE"/>
              </w:rPr>
            </w:pPr>
            <w:hyperlink w:anchor="page53">
              <w:r>
                <w:rPr>
                  <w:rFonts w:ascii="Arial" w:cs="Arial" w:eastAsia="Arial" w:hAnsi="Arial"/>
                  <w:sz w:val="21"/>
                  <w:szCs w:val="21"/>
                  <w:u w:val="single" w:color="auto"/>
                  <w:color w:val="0000EE"/>
                </w:rPr>
                <w:t>Copies of Annual Report on Form 10-K</w:t>
              </w:r>
            </w:hyperlink>
          </w:p>
        </w:tc>
        <w:tc>
          <w:tcPr>
            <w:tcW w:w="1140" w:type="dxa"/>
            <w:vAlign w:val="bottom"/>
          </w:tcPr>
          <w:p>
            <w:pPr>
              <w:jc w:val="right"/>
              <w:spacing w:after="0"/>
              <w:rPr>
                <w:rFonts w:ascii="Arial" w:cs="Arial" w:eastAsia="Arial" w:hAnsi="Arial"/>
                <w:sz w:val="21"/>
                <w:szCs w:val="21"/>
                <w:u w:val="single" w:color="auto"/>
                <w:color w:val="0000EE"/>
              </w:rPr>
            </w:pPr>
            <w:hyperlink w:anchor="page53">
              <w:r>
                <w:rPr>
                  <w:rFonts w:ascii="Arial" w:cs="Arial" w:eastAsia="Arial" w:hAnsi="Arial"/>
                  <w:sz w:val="21"/>
                  <w:szCs w:val="21"/>
                  <w:u w:val="single" w:color="auto"/>
                  <w:color w:val="0000EE"/>
                </w:rPr>
                <w:t>45</w:t>
              </w:r>
            </w:hyperlink>
          </w:p>
        </w:tc>
      </w:tr>
      <w:tr>
        <w:trPr>
          <w:trHeight w:val="405"/>
        </w:trPr>
        <w:tc>
          <w:tcPr>
            <w:tcW w:w="7580" w:type="dxa"/>
            <w:vAlign w:val="bottom"/>
          </w:tcPr>
          <w:p>
            <w:pPr>
              <w:spacing w:after="0"/>
              <w:rPr>
                <w:rFonts w:ascii="Arial" w:cs="Arial" w:eastAsia="Arial" w:hAnsi="Arial"/>
                <w:sz w:val="21"/>
                <w:szCs w:val="21"/>
                <w:u w:val="single" w:color="auto"/>
                <w:color w:val="0000EE"/>
              </w:rPr>
            </w:pPr>
            <w:hyperlink w:anchor="page53">
              <w:r>
                <w:rPr>
                  <w:rFonts w:ascii="Arial" w:cs="Arial" w:eastAsia="Arial" w:hAnsi="Arial"/>
                  <w:sz w:val="21"/>
                  <w:szCs w:val="21"/>
                  <w:u w:val="single" w:color="auto"/>
                  <w:color w:val="0000EE"/>
                </w:rPr>
                <w:t>Submitting Shareholder Proposals for the 2020 Annual Meeting of Shareholders</w:t>
              </w:r>
            </w:hyperlink>
          </w:p>
        </w:tc>
        <w:tc>
          <w:tcPr>
            <w:tcW w:w="1140" w:type="dxa"/>
            <w:vAlign w:val="bottom"/>
          </w:tcPr>
          <w:p>
            <w:pPr>
              <w:jc w:val="right"/>
              <w:spacing w:after="0"/>
              <w:rPr>
                <w:rFonts w:ascii="Arial" w:cs="Arial" w:eastAsia="Arial" w:hAnsi="Arial"/>
                <w:sz w:val="21"/>
                <w:szCs w:val="21"/>
                <w:u w:val="single" w:color="auto"/>
                <w:color w:val="0000EE"/>
              </w:rPr>
            </w:pPr>
            <w:hyperlink w:anchor="page53">
              <w:r>
                <w:rPr>
                  <w:rFonts w:ascii="Arial" w:cs="Arial" w:eastAsia="Arial" w:hAnsi="Arial"/>
                  <w:sz w:val="21"/>
                  <w:szCs w:val="21"/>
                  <w:u w:val="single" w:color="auto"/>
                  <w:color w:val="0000EE"/>
                </w:rPr>
                <w:t>45</w:t>
              </w:r>
            </w:hyperlink>
          </w:p>
        </w:tc>
      </w:tr>
    </w:tbl>
    <w:p>
      <w:pPr>
        <w:spacing w:after="0" w:line="306" w:lineRule="exact"/>
        <w:rPr>
          <w:sz w:val="20"/>
          <w:szCs w:val="20"/>
          <w:color w:val="auto"/>
        </w:rPr>
      </w:pPr>
    </w:p>
    <w:p>
      <w:pPr>
        <w:ind w:left="8920"/>
        <w:spacing w:after="0"/>
        <w:rPr>
          <w:sz w:val="20"/>
          <w:szCs w:val="20"/>
          <w:color w:val="auto"/>
        </w:rPr>
      </w:pPr>
      <w:r>
        <w:rPr>
          <w:rFonts w:ascii="Arial" w:cs="Arial" w:eastAsia="Arial" w:hAnsi="Arial"/>
          <w:sz w:val="16"/>
          <w:szCs w:val="16"/>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129540</wp:posOffset>
            </wp:positionV>
            <wp:extent cx="69951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40"/>
          </w:cols>
          <w:pgMar w:left="1440" w:top="126" w:right="1419" w:bottom="1440" w:gutter="0" w:footer="0" w:header="0"/>
        </w:sectPr>
      </w:pPr>
    </w:p>
    <w:bookmarkStart w:id="7" w:name="page8"/>
    <w:bookmarkEnd w:id="7"/>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6515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080"/>
        <w:spacing w:after="0"/>
        <w:rPr>
          <w:sz w:val="20"/>
          <w:szCs w:val="20"/>
          <w:color w:val="auto"/>
        </w:rPr>
      </w:pPr>
      <w:r>
        <w:rPr>
          <w:rFonts w:ascii="Arial" w:cs="Arial" w:eastAsia="Arial" w:hAnsi="Arial"/>
          <w:sz w:val="31"/>
          <w:szCs w:val="31"/>
          <w:b w:val="1"/>
          <w:bCs w:val="1"/>
          <w:color w:val="002875"/>
        </w:rPr>
        <w:t>Information about the Annual Meeting and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294005</wp:posOffset>
            </wp:positionV>
            <wp:extent cx="5760720" cy="6940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60720" cy="694055"/>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jc w:val="center"/>
        <w:ind w:right="-1079"/>
        <w:spacing w:after="0"/>
        <w:rPr>
          <w:sz w:val="20"/>
          <w:szCs w:val="20"/>
          <w:color w:val="auto"/>
        </w:rPr>
      </w:pPr>
      <w:r>
        <w:rPr>
          <w:rFonts w:ascii="Arial" w:cs="Arial" w:eastAsia="Arial" w:hAnsi="Arial"/>
          <w:sz w:val="18"/>
          <w:szCs w:val="18"/>
          <w:b w:val="1"/>
          <w:bCs w:val="1"/>
          <w:color w:val="FFFFFF"/>
        </w:rPr>
        <w:t>Important Notice Regarding the Availability of Proxy Materials for the Annual Meeting of Shareholders</w:t>
      </w:r>
    </w:p>
    <w:p>
      <w:pPr>
        <w:spacing w:after="0" w:line="44" w:lineRule="exact"/>
        <w:rPr>
          <w:sz w:val="20"/>
          <w:szCs w:val="20"/>
          <w:color w:val="auto"/>
        </w:rPr>
      </w:pPr>
    </w:p>
    <w:p>
      <w:pPr>
        <w:jc w:val="center"/>
        <w:ind w:right="-1039"/>
        <w:spacing w:after="0"/>
        <w:rPr>
          <w:sz w:val="20"/>
          <w:szCs w:val="20"/>
          <w:color w:val="auto"/>
        </w:rPr>
      </w:pPr>
      <w:r>
        <w:rPr>
          <w:rFonts w:ascii="Arial" w:cs="Arial" w:eastAsia="Arial" w:hAnsi="Arial"/>
          <w:sz w:val="20"/>
          <w:szCs w:val="20"/>
          <w:b w:val="1"/>
          <w:bCs w:val="1"/>
          <w:color w:val="FFFFFF"/>
        </w:rPr>
        <w:t>to</w:t>
      </w:r>
    </w:p>
    <w:p>
      <w:pPr>
        <w:jc w:val="center"/>
        <w:ind w:right="-1079"/>
        <w:spacing w:after="0"/>
        <w:rPr>
          <w:sz w:val="20"/>
          <w:szCs w:val="20"/>
          <w:color w:val="auto"/>
        </w:rPr>
      </w:pPr>
      <w:r>
        <w:rPr>
          <w:rFonts w:ascii="Arial" w:cs="Arial" w:eastAsia="Arial" w:hAnsi="Arial"/>
          <w:sz w:val="18"/>
          <w:szCs w:val="18"/>
          <w:b w:val="1"/>
          <w:bCs w:val="1"/>
          <w:color w:val="FFFFFF"/>
        </w:rPr>
        <w:t>Be Held on Wednesday, May 20, 2020. The Proxy Statement and Annual Report to Shareholders and</w:t>
      </w:r>
    </w:p>
    <w:p>
      <w:pPr>
        <w:spacing w:after="0" w:line="23" w:lineRule="exact"/>
        <w:rPr>
          <w:sz w:val="20"/>
          <w:szCs w:val="20"/>
          <w:color w:val="auto"/>
        </w:rPr>
      </w:pPr>
    </w:p>
    <w:p>
      <w:pPr>
        <w:jc w:val="center"/>
        <w:ind w:right="-1079"/>
        <w:spacing w:after="0"/>
        <w:rPr>
          <w:sz w:val="20"/>
          <w:szCs w:val="20"/>
          <w:color w:val="auto"/>
        </w:rPr>
      </w:pPr>
      <w:r>
        <w:rPr>
          <w:rFonts w:ascii="Arial" w:cs="Arial" w:eastAsia="Arial" w:hAnsi="Arial"/>
          <w:sz w:val="20"/>
          <w:szCs w:val="20"/>
          <w:b w:val="1"/>
          <w:bCs w:val="1"/>
          <w:color w:val="FFFFFF"/>
        </w:rPr>
        <w:t>Form 10-K (the “Proxy Materials”) are available at www.AFGinc.com.</w:t>
      </w:r>
    </w:p>
    <w:p>
      <w:pPr>
        <w:sectPr>
          <w:pgSz w:w="11900" w:h="16838" w:orient="portrait"/>
          <w:cols w:equalWidth="0" w:num="1">
            <w:col w:w="10160"/>
          </w:cols>
          <w:pgMar w:left="320" w:top="265" w:right="1419" w:bottom="1440" w:gutter="0" w:footer="0" w:header="0"/>
        </w:sectPr>
      </w:pPr>
    </w:p>
    <w:p>
      <w:pPr>
        <w:spacing w:after="0" w:line="200" w:lineRule="exact"/>
        <w:rPr>
          <w:sz w:val="20"/>
          <w:szCs w:val="20"/>
          <w:color w:val="auto"/>
        </w:rPr>
      </w:pPr>
    </w:p>
    <w:p>
      <w:pPr>
        <w:spacing w:after="0" w:line="237" w:lineRule="exact"/>
        <w:rPr>
          <w:sz w:val="20"/>
          <w:szCs w:val="20"/>
          <w:color w:val="auto"/>
        </w:rPr>
      </w:pPr>
    </w:p>
    <w:p>
      <w:pPr>
        <w:ind w:left="1080"/>
        <w:spacing w:after="0"/>
        <w:rPr>
          <w:sz w:val="20"/>
          <w:szCs w:val="20"/>
          <w:color w:val="auto"/>
        </w:rPr>
      </w:pPr>
      <w:r>
        <w:rPr>
          <w:rFonts w:ascii="Arial" w:cs="Arial" w:eastAsia="Arial" w:hAnsi="Arial"/>
          <w:sz w:val="20"/>
          <w:szCs w:val="20"/>
          <w:b w:val="1"/>
          <w:bCs w:val="1"/>
          <w:color w:val="3F3F3F"/>
        </w:rPr>
        <w:t>Why did I receive these proxy materials?</w:t>
      </w:r>
    </w:p>
    <w:p>
      <w:pPr>
        <w:spacing w:after="0" w:line="116" w:lineRule="exact"/>
        <w:rPr>
          <w:sz w:val="20"/>
          <w:szCs w:val="20"/>
          <w:color w:val="auto"/>
        </w:rPr>
      </w:pPr>
    </w:p>
    <w:p>
      <w:pPr>
        <w:ind w:left="1080" w:right="20"/>
        <w:spacing w:after="0" w:line="269" w:lineRule="auto"/>
        <w:rPr>
          <w:sz w:val="20"/>
          <w:szCs w:val="20"/>
          <w:color w:val="auto"/>
        </w:rPr>
      </w:pPr>
      <w:r>
        <w:rPr>
          <w:rFonts w:ascii="Arial" w:cs="Arial" w:eastAsia="Arial" w:hAnsi="Arial"/>
          <w:sz w:val="17"/>
          <w:szCs w:val="17"/>
          <w:color w:val="auto"/>
        </w:rPr>
        <w:t>We made these proxy materials available to you on the Internet or, upon your request, delivered printed versions of these materials to you by mail, because you are a shareholder of the Company. The Board is providing these proxy materials to you in connection with our annual meeting to be held on May 20, 2020. As a shareholder of the Company, you are entitled to vote on the important proposals described in this proxy statement. Since it is not practical for all shareholders to attend the annual meeting and vote in person, the Board is seeking your proxy to vote on these matters.</w:t>
      </w:r>
    </w:p>
    <w:p>
      <w:pPr>
        <w:spacing w:after="0" w:line="106" w:lineRule="exact"/>
        <w:rPr>
          <w:sz w:val="20"/>
          <w:szCs w:val="20"/>
          <w:color w:val="auto"/>
        </w:rPr>
      </w:pPr>
    </w:p>
    <w:p>
      <w:pPr>
        <w:ind w:left="1080"/>
        <w:spacing w:after="0"/>
        <w:rPr>
          <w:sz w:val="20"/>
          <w:szCs w:val="20"/>
          <w:color w:val="auto"/>
        </w:rPr>
      </w:pPr>
      <w:r>
        <w:rPr>
          <w:rFonts w:ascii="Arial" w:cs="Arial" w:eastAsia="Arial" w:hAnsi="Arial"/>
          <w:sz w:val="20"/>
          <w:szCs w:val="20"/>
          <w:b w:val="1"/>
          <w:bCs w:val="1"/>
          <w:color w:val="3F3F3F"/>
        </w:rPr>
        <w:t>Who may attend the annual meeting?</w:t>
      </w:r>
    </w:p>
    <w:p>
      <w:pPr>
        <w:spacing w:after="0" w:line="116" w:lineRule="exact"/>
        <w:rPr>
          <w:sz w:val="20"/>
          <w:szCs w:val="20"/>
          <w:color w:val="auto"/>
        </w:rPr>
      </w:pPr>
    </w:p>
    <w:p>
      <w:pPr>
        <w:ind w:left="1080" w:right="120"/>
        <w:spacing w:after="0" w:line="259" w:lineRule="auto"/>
        <w:rPr>
          <w:sz w:val="20"/>
          <w:szCs w:val="20"/>
          <w:color w:val="auto"/>
        </w:rPr>
      </w:pPr>
      <w:r>
        <w:rPr>
          <w:rFonts w:ascii="Arial" w:cs="Arial" w:eastAsia="Arial" w:hAnsi="Arial"/>
          <w:sz w:val="18"/>
          <w:szCs w:val="18"/>
          <w:color w:val="auto"/>
        </w:rPr>
        <w:t>All shareholders are eligible to attend the annual meeting. However, only those shareholders of record at the close of business on March 27, 2020 are entitled to vote at the annual meeting.</w:t>
      </w:r>
    </w:p>
    <w:p>
      <w:pPr>
        <w:spacing w:after="0" w:line="111" w:lineRule="exact"/>
        <w:rPr>
          <w:sz w:val="20"/>
          <w:szCs w:val="20"/>
          <w:color w:val="auto"/>
        </w:rPr>
      </w:pPr>
    </w:p>
    <w:p>
      <w:pPr>
        <w:ind w:left="1080"/>
        <w:spacing w:after="0"/>
        <w:rPr>
          <w:sz w:val="20"/>
          <w:szCs w:val="20"/>
          <w:color w:val="auto"/>
        </w:rPr>
      </w:pPr>
      <w:r>
        <w:rPr>
          <w:rFonts w:ascii="Arial" w:cs="Arial" w:eastAsia="Arial" w:hAnsi="Arial"/>
          <w:sz w:val="20"/>
          <w:szCs w:val="20"/>
          <w:b w:val="1"/>
          <w:bCs w:val="1"/>
          <w:color w:val="3F3F3F"/>
        </w:rPr>
        <w:t>How do I attend the annual meeting?</w:t>
      </w:r>
    </w:p>
    <w:p>
      <w:pPr>
        <w:spacing w:after="0" w:line="116"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If you intend to attend the annual meeting in person, you</w:t>
      </w:r>
    </w:p>
    <w:p>
      <w:pPr>
        <w:spacing w:after="0" w:line="35"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must register on or before Wednesday, May 13, 2020, by</w:t>
      </w:r>
    </w:p>
    <w:p>
      <w:pPr>
        <w:spacing w:after="0" w:line="21"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contacting our Investor Relations Department by phone at</w:t>
      </w:r>
    </w:p>
    <w:p>
      <w:pPr>
        <w:spacing w:after="0" w:line="3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513-579-6739 or by email at</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u w:val="single" w:color="auto"/>
          <w:color w:val="002875"/>
        </w:rPr>
        <w:t>AFGInvestorRelations@amfin.com</w:t>
      </w:r>
      <w:r>
        <w:rPr>
          <w:rFonts w:ascii="Arial" w:cs="Arial" w:eastAsia="Arial" w:hAnsi="Arial"/>
          <w:sz w:val="18"/>
          <w:szCs w:val="18"/>
          <w:color w:val="000000"/>
        </w:rPr>
        <w:t>.</w:t>
      </w:r>
    </w:p>
    <w:p>
      <w:pPr>
        <w:spacing w:after="0" w:line="103" w:lineRule="exact"/>
        <w:rPr>
          <w:sz w:val="20"/>
          <w:szCs w:val="20"/>
          <w:color w:val="auto"/>
        </w:rPr>
      </w:pPr>
    </w:p>
    <w:p>
      <w:pPr>
        <w:ind w:left="1080" w:right="40"/>
        <w:spacing w:after="0" w:line="271" w:lineRule="auto"/>
        <w:rPr>
          <w:sz w:val="20"/>
          <w:szCs w:val="20"/>
          <w:color w:val="auto"/>
        </w:rPr>
      </w:pPr>
      <w:r>
        <w:rPr>
          <w:rFonts w:ascii="Arial" w:cs="Arial" w:eastAsia="Arial" w:hAnsi="Arial"/>
          <w:sz w:val="17"/>
          <w:szCs w:val="17"/>
          <w:color w:val="auto"/>
        </w:rPr>
        <w:t>Space for attendance is limited and may be further limited by federal and state guidelines related to size limits for group gatherings in public and private settings in effect as of the registration deadline of Wednesday, May 13, 2020. Requests for admission will be accepted on a first-come, first-served basis, and our registration process may close prior to the deadline if necessary due to space or health and safety concerns.</w:t>
      </w:r>
    </w:p>
    <w:p>
      <w:pPr>
        <w:spacing w:after="0" w:line="70" w:lineRule="exact"/>
        <w:rPr>
          <w:sz w:val="20"/>
          <w:szCs w:val="20"/>
          <w:color w:val="auto"/>
        </w:rPr>
      </w:pPr>
    </w:p>
    <w:p>
      <w:pPr>
        <w:ind w:left="1080"/>
        <w:spacing w:after="0" w:line="254" w:lineRule="auto"/>
        <w:rPr>
          <w:sz w:val="20"/>
          <w:szCs w:val="20"/>
          <w:color w:val="auto"/>
        </w:rPr>
      </w:pPr>
      <w:r>
        <w:rPr>
          <w:rFonts w:ascii="Arial" w:cs="Arial" w:eastAsia="Arial" w:hAnsi="Arial"/>
          <w:sz w:val="18"/>
          <w:szCs w:val="18"/>
          <w:color w:val="auto"/>
        </w:rPr>
        <w:t>When you arrive at the annual meeting, you will check in at the registration table. Everyone attending the annual meeting must bring a photo ID. If your shares are registered in the name of a bank, broker, or other holder of record, please also bring documentation of your stock ownership (such as a brokerage statement) as of the record date, March 27, 2020.</w:t>
      </w:r>
    </w:p>
    <w:p>
      <w:pPr>
        <w:spacing w:after="0" w:line="87" w:lineRule="exact"/>
        <w:rPr>
          <w:sz w:val="20"/>
          <w:szCs w:val="20"/>
          <w:color w:val="auto"/>
        </w:rPr>
      </w:pPr>
    </w:p>
    <w:p>
      <w:pPr>
        <w:ind w:left="1080" w:right="120"/>
        <w:spacing w:after="0" w:line="277" w:lineRule="auto"/>
        <w:rPr>
          <w:sz w:val="20"/>
          <w:szCs w:val="20"/>
          <w:color w:val="auto"/>
        </w:rPr>
      </w:pPr>
      <w:r>
        <w:rPr>
          <w:rFonts w:ascii="Arial" w:cs="Arial" w:eastAsia="Arial" w:hAnsi="Arial"/>
          <w:sz w:val="18"/>
          <w:szCs w:val="18"/>
          <w:color w:val="auto"/>
        </w:rPr>
        <w:t>If you do not register in advance, you will not be admitted to the annual meeting.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7" w:lineRule="exact"/>
        <w:rPr>
          <w:sz w:val="20"/>
          <w:szCs w:val="20"/>
          <w:color w:val="auto"/>
        </w:rPr>
      </w:pPr>
    </w:p>
    <w:p>
      <w:pPr>
        <w:ind w:right="100"/>
        <w:spacing w:after="0" w:line="253" w:lineRule="auto"/>
        <w:rPr>
          <w:sz w:val="20"/>
          <w:szCs w:val="20"/>
          <w:color w:val="auto"/>
        </w:rPr>
      </w:pPr>
      <w:r>
        <w:rPr>
          <w:rFonts w:ascii="Arial" w:cs="Arial" w:eastAsia="Arial" w:hAnsi="Arial"/>
          <w:sz w:val="20"/>
          <w:szCs w:val="20"/>
          <w:b w:val="1"/>
          <w:bCs w:val="1"/>
          <w:color w:val="3F3F3F"/>
        </w:rPr>
        <w:t>Could emerging developments regarding the coronavirus affect our ability to hold an in-person annual meeting?</w:t>
      </w:r>
    </w:p>
    <w:p>
      <w:pPr>
        <w:spacing w:after="0" w:line="78"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We are monitoring the coronavirus situation closely and if we determine that attending the annual meeting would pose a risk to the health and safety of our shareholders, employees, and Directors or would violate city, state or federal orders, the Company may decide to offer that shareholders may participate in the meeting by means of remote communication or hold the meeting exclusively by remote communication. If we decide to use that format, we will provide details in a press release issued by the Company and available at www.AFGinc.com.</w:t>
      </w:r>
    </w:p>
    <w:p>
      <w:pPr>
        <w:spacing w:after="0" w:line="69" w:lineRule="exact"/>
        <w:rPr>
          <w:sz w:val="20"/>
          <w:szCs w:val="20"/>
          <w:color w:val="auto"/>
        </w:rPr>
      </w:pPr>
    </w:p>
    <w:p>
      <w:pPr>
        <w:ind w:right="340"/>
        <w:spacing w:after="0" w:line="267" w:lineRule="auto"/>
        <w:rPr>
          <w:sz w:val="20"/>
          <w:szCs w:val="20"/>
          <w:color w:val="auto"/>
        </w:rPr>
      </w:pPr>
      <w:r>
        <w:rPr>
          <w:rFonts w:ascii="Arial" w:cs="Arial" w:eastAsia="Arial" w:hAnsi="Arial"/>
          <w:sz w:val="20"/>
          <w:szCs w:val="20"/>
          <w:b w:val="1"/>
          <w:bCs w:val="1"/>
          <w:color w:val="3F3F3F"/>
        </w:rPr>
        <w:t>What is a proxy and what is the purpose of this proxy statement?</w:t>
      </w:r>
    </w:p>
    <w:p>
      <w:pPr>
        <w:spacing w:after="0" w:line="64"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If you designate another person to vote your shares, that other person is called a proxy. If you designate someone as your proxy in a written document, that document is also called a proxy or a proxy card. If you vote online or complete the proxy card enclosed with the materials sent by mail to give us your proxy, you will have designated the Company representatives named in the proxy card, as your proxies to vote your shares as you have directed.</w:t>
      </w:r>
    </w:p>
    <w:p>
      <w:pPr>
        <w:spacing w:after="0" w:line="3" w:lineRule="exact"/>
        <w:rPr>
          <w:sz w:val="20"/>
          <w:szCs w:val="20"/>
          <w:color w:val="auto"/>
        </w:rPr>
      </w:pPr>
    </w:p>
    <w:p>
      <w:pPr>
        <w:ind w:right="540"/>
        <w:spacing w:after="0" w:line="292" w:lineRule="auto"/>
        <w:rPr>
          <w:sz w:val="20"/>
          <w:szCs w:val="20"/>
          <w:color w:val="auto"/>
        </w:rPr>
      </w:pPr>
      <w:r>
        <w:rPr>
          <w:rFonts w:ascii="Arial" w:cs="Arial" w:eastAsia="Arial" w:hAnsi="Arial"/>
          <w:sz w:val="16"/>
          <w:szCs w:val="16"/>
          <w:color w:val="auto"/>
        </w:rPr>
        <w:t>This proxy statement provides information about the matters to be voted on by shareholders at the annual meeting, along with other information regarding the governance of the Company, including our Board Committee structure and executive compensation.</w:t>
      </w:r>
    </w:p>
    <w:p>
      <w:pPr>
        <w:spacing w:after="0" w:line="86" w:lineRule="exact"/>
        <w:rPr>
          <w:sz w:val="20"/>
          <w:szCs w:val="20"/>
          <w:color w:val="auto"/>
        </w:rPr>
      </w:pPr>
    </w:p>
    <w:p>
      <w:pPr>
        <w:spacing w:after="0"/>
        <w:rPr>
          <w:sz w:val="20"/>
          <w:szCs w:val="20"/>
          <w:color w:val="auto"/>
        </w:rPr>
      </w:pPr>
      <w:r>
        <w:rPr>
          <w:rFonts w:ascii="Arial" w:cs="Arial" w:eastAsia="Arial" w:hAnsi="Arial"/>
          <w:sz w:val="20"/>
          <w:szCs w:val="20"/>
          <w:b w:val="1"/>
          <w:bCs w:val="1"/>
          <w:color w:val="3F3F3F"/>
        </w:rPr>
        <w:t>Why did I receive more than one proxy card?</w:t>
      </w:r>
    </w:p>
    <w:p>
      <w:pPr>
        <w:spacing w:after="0" w:line="116"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You will receive multiple proxy cards if you hold your common shares in different ways (</w:t>
      </w:r>
      <w:r>
        <w:rPr>
          <w:rFonts w:ascii="Arial" w:cs="Arial" w:eastAsia="Arial" w:hAnsi="Arial"/>
          <w:sz w:val="17"/>
          <w:szCs w:val="17"/>
          <w:i w:val="1"/>
          <w:iCs w:val="1"/>
          <w:color w:val="auto"/>
        </w:rPr>
        <w:t>e.g.</w:t>
      </w:r>
      <w:r>
        <w:rPr>
          <w:rFonts w:ascii="Arial" w:cs="Arial" w:eastAsia="Arial" w:hAnsi="Arial"/>
          <w:sz w:val="17"/>
          <w:szCs w:val="17"/>
          <w:color w:val="auto"/>
        </w:rPr>
        <w:t>, trusts, custodial accounts, joint tenancy) or in multiple accounts. If your common shares are held by a broker or bank (</w:t>
      </w:r>
      <w:r>
        <w:rPr>
          <w:rFonts w:ascii="Arial" w:cs="Arial" w:eastAsia="Arial" w:hAnsi="Arial"/>
          <w:sz w:val="17"/>
          <w:szCs w:val="17"/>
          <w:i w:val="1"/>
          <w:iCs w:val="1"/>
          <w:color w:val="auto"/>
        </w:rPr>
        <w:t>i.e.</w:t>
      </w:r>
      <w:r>
        <w:rPr>
          <w:rFonts w:ascii="Arial" w:cs="Arial" w:eastAsia="Arial" w:hAnsi="Arial"/>
          <w:sz w:val="17"/>
          <w:szCs w:val="17"/>
          <w:color w:val="auto"/>
        </w:rPr>
        <w:t>, in “street name”), you will receive your proxy card and other voting information from your broker, bank, trust, or other nominee. It is important that you complete, sign, date, and return each proxy card you receive, or vote using the telephone, or by using the Internet (as described in the instructions included with your proxy card(s) or in the notice).</w:t>
      </w:r>
    </w:p>
    <w:p>
      <w:pPr>
        <w:spacing w:after="0" w:line="535" w:lineRule="exact"/>
        <w:rPr>
          <w:sz w:val="20"/>
          <w:szCs w:val="20"/>
          <w:color w:val="auto"/>
        </w:rPr>
      </w:pPr>
    </w:p>
    <w:p>
      <w:pPr>
        <w:sectPr>
          <w:pgSz w:w="11900" w:h="16838" w:orient="portrait"/>
          <w:cols w:equalWidth="0" w:num="2">
            <w:col w:w="5400" w:space="440"/>
            <w:col w:w="4320"/>
          </w:cols>
          <w:pgMar w:left="320" w:top="265" w:right="1419" w:bottom="1440" w:gutter="0" w:footer="0" w:header="0"/>
          <w:type w:val="continuous"/>
        </w:sectPr>
      </w:pPr>
    </w:p>
    <w:p>
      <w:pPr>
        <w:spacing w:after="0" w:line="83" w:lineRule="exact"/>
        <w:rPr>
          <w:sz w:val="20"/>
          <w:szCs w:val="20"/>
          <w:color w:val="auto"/>
        </w:rPr>
      </w:pPr>
    </w:p>
    <w:p>
      <w:pPr>
        <w:ind w:left="1160"/>
        <w:spacing w:after="0"/>
        <w:tabs>
          <w:tab w:leader="none" w:pos="10040" w:val="left"/>
        </w:tabs>
        <w:rPr>
          <w:sz w:val="20"/>
          <w:szCs w:val="20"/>
          <w:color w:val="auto"/>
        </w:rPr>
      </w:pPr>
      <w:r>
        <w:rPr>
          <w:rFonts w:ascii="Arial" w:cs="Arial" w:eastAsia="Arial" w:hAnsi="Arial"/>
          <w:sz w:val="16"/>
          <w:szCs w:val="16"/>
          <w:color w:val="auto"/>
        </w:rPr>
        <w:t>2020 Proxy Statement | General Information</w:t>
      </w:r>
      <w:r>
        <w:rPr>
          <w:sz w:val="20"/>
          <w:szCs w:val="20"/>
          <w:color w:val="auto"/>
        </w:rPr>
        <w:tab/>
      </w: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137795</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160"/>
          </w:cols>
          <w:pgMar w:left="320" w:top="265" w:right="1419" w:bottom="1440" w:gutter="0" w:footer="0" w:header="0"/>
          <w:type w:val="continuous"/>
        </w:sectPr>
      </w:pPr>
    </w:p>
    <w:bookmarkStart w:id="8" w:name="page9"/>
    <w:bookmarkEnd w:id="8"/>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6515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651510"/>
                    </a:xfrm>
                    <a:prstGeom prst="rect">
                      <a:avLst/>
                    </a:prstGeom>
                    <a:noFill/>
                  </pic:spPr>
                </pic:pic>
              </a:graphicData>
            </a:graphic>
          </wp:anchor>
        </w:drawing>
      </w:r>
    </w:p>
    <w:p>
      <w:pPr>
        <w:sectPr>
          <w:pgSz w:w="11900" w:h="16838" w:orient="portrait"/>
          <w:cols w:equalWidth="0" w:num="1">
            <w:col w:w="10140"/>
          </w:cols>
          <w:pgMar w:left="320" w:top="265" w:right="1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080" w:right="400"/>
        <w:spacing w:after="0" w:line="267" w:lineRule="auto"/>
        <w:rPr>
          <w:sz w:val="20"/>
          <w:szCs w:val="20"/>
          <w:color w:val="auto"/>
        </w:rPr>
      </w:pPr>
      <w:r>
        <w:rPr>
          <w:rFonts w:ascii="Arial" w:cs="Arial" w:eastAsia="Arial" w:hAnsi="Arial"/>
          <w:sz w:val="20"/>
          <w:szCs w:val="20"/>
          <w:b w:val="1"/>
          <w:bCs w:val="1"/>
          <w:color w:val="3F3F3F"/>
        </w:rPr>
        <w:t>Why didn’t I receive paper copies of the proxy materials?</w:t>
      </w:r>
    </w:p>
    <w:p>
      <w:pPr>
        <w:spacing w:after="0" w:line="64" w:lineRule="exact"/>
        <w:rPr>
          <w:sz w:val="20"/>
          <w:szCs w:val="20"/>
          <w:color w:val="auto"/>
        </w:rPr>
      </w:pPr>
    </w:p>
    <w:p>
      <w:pPr>
        <w:ind w:left="1080"/>
        <w:spacing w:after="0" w:line="289" w:lineRule="auto"/>
        <w:rPr>
          <w:sz w:val="20"/>
          <w:szCs w:val="20"/>
          <w:color w:val="auto"/>
        </w:rPr>
      </w:pPr>
      <w:r>
        <w:rPr>
          <w:rFonts w:ascii="Arial" w:cs="Arial" w:eastAsia="Arial" w:hAnsi="Arial"/>
          <w:sz w:val="16"/>
          <w:szCs w:val="16"/>
          <w:color w:val="auto"/>
        </w:rPr>
        <w:t>As permitted by the Securities and Exchange Commission (“SEC”), we are making this proxy statement and our annual report available to our shareholders electronically via the Internet. We believe this delivery method expedites your receipt of materials, while also lowering costs and reducing the environmental impact of our annual meeting. The notice of electronic availability contains instructions on how to access this proxy statement and our annual report and how to vote online.</w:t>
      </w:r>
    </w:p>
    <w:p>
      <w:pPr>
        <w:spacing w:after="0" w:line="58" w:lineRule="exact"/>
        <w:rPr>
          <w:sz w:val="20"/>
          <w:szCs w:val="20"/>
          <w:color w:val="auto"/>
        </w:rPr>
      </w:pPr>
    </w:p>
    <w:p>
      <w:pPr>
        <w:ind w:left="1080" w:right="100"/>
        <w:spacing w:after="0" w:line="273" w:lineRule="auto"/>
        <w:rPr>
          <w:sz w:val="20"/>
          <w:szCs w:val="20"/>
          <w:color w:val="auto"/>
        </w:rPr>
      </w:pPr>
      <w:r>
        <w:rPr>
          <w:rFonts w:ascii="Arial" w:cs="Arial" w:eastAsia="Arial" w:hAnsi="Arial"/>
          <w:sz w:val="17"/>
          <w:szCs w:val="17"/>
          <w:color w:val="auto"/>
        </w:rPr>
        <w:t>If you received a notice by mail, you will not receive a printed copy of the proxy materials unless you request one in accordance with the instructions provided in the notice. The notice has been mailed to shareholders on or about April 3, 2020, and provides instructions on how you may access the proxy materials on the Internet.</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9"/>
          <w:szCs w:val="19"/>
          <w:b w:val="1"/>
          <w:bCs w:val="1"/>
          <w:color w:val="3F3F3F"/>
        </w:rPr>
        <w:t>What is the record date and what does it mean?</w:t>
      </w:r>
    </w:p>
    <w:p>
      <w:pPr>
        <w:spacing w:after="0" w:line="128" w:lineRule="exact"/>
        <w:rPr>
          <w:sz w:val="20"/>
          <w:szCs w:val="20"/>
          <w:color w:val="auto"/>
        </w:rPr>
      </w:pPr>
    </w:p>
    <w:p>
      <w:pPr>
        <w:ind w:left="1080" w:right="40"/>
        <w:spacing w:after="0" w:line="296" w:lineRule="auto"/>
        <w:rPr>
          <w:sz w:val="20"/>
          <w:szCs w:val="20"/>
          <w:color w:val="auto"/>
        </w:rPr>
      </w:pPr>
      <w:r>
        <w:rPr>
          <w:rFonts w:ascii="Arial" w:cs="Arial" w:eastAsia="Arial" w:hAnsi="Arial"/>
          <w:sz w:val="16"/>
          <w:szCs w:val="16"/>
          <w:color w:val="auto"/>
        </w:rPr>
        <w:t>The Board established March 27, 2020 as the record date for the annual meeting of shareholders to be held on May 20, 2020. Shareholders who own common shares of the Company at the close of business on the record date are entitled to notice of and to vote at the annual meeting.</w:t>
      </w:r>
    </w:p>
    <w:p>
      <w:pPr>
        <w:spacing w:after="0" w:line="45" w:lineRule="exact"/>
        <w:rPr>
          <w:sz w:val="20"/>
          <w:szCs w:val="20"/>
          <w:color w:val="auto"/>
        </w:rPr>
      </w:pPr>
    </w:p>
    <w:p>
      <w:pPr>
        <w:ind w:left="1080" w:right="300"/>
        <w:spacing w:after="0" w:line="375" w:lineRule="auto"/>
        <w:rPr>
          <w:sz w:val="20"/>
          <w:szCs w:val="20"/>
          <w:color w:val="auto"/>
        </w:rPr>
      </w:pPr>
      <w:r>
        <w:rPr>
          <w:rFonts w:ascii="Arial" w:cs="Arial" w:eastAsia="Arial" w:hAnsi="Arial"/>
          <w:sz w:val="16"/>
          <w:szCs w:val="16"/>
          <w:b w:val="1"/>
          <w:bCs w:val="1"/>
          <w:color w:val="3F3F3F"/>
        </w:rPr>
        <w:t>What is the difference between a “registered shareholder” and a “street name shareholder”?</w:t>
      </w:r>
    </w:p>
    <w:p>
      <w:pPr>
        <w:spacing w:after="0" w:line="1" w:lineRule="exact"/>
        <w:rPr>
          <w:sz w:val="20"/>
          <w:szCs w:val="20"/>
          <w:color w:val="auto"/>
        </w:rPr>
      </w:pPr>
    </w:p>
    <w:p>
      <w:pPr>
        <w:ind w:left="1080" w:right="40"/>
        <w:spacing w:after="0" w:line="254" w:lineRule="auto"/>
        <w:rPr>
          <w:sz w:val="20"/>
          <w:szCs w:val="20"/>
          <w:color w:val="auto"/>
        </w:rPr>
      </w:pPr>
      <w:r>
        <w:rPr>
          <w:rFonts w:ascii="Arial" w:cs="Arial" w:eastAsia="Arial" w:hAnsi="Arial"/>
          <w:sz w:val="18"/>
          <w:szCs w:val="18"/>
          <w:color w:val="auto"/>
        </w:rPr>
        <w:t>These terms describe how your common shares are held. If your common shares are registered directly in your name with Broadridge Corporate Issuer Solutions, our transfer agent, you are a “registered shareholder.” If your common shares are held in the name of a broker, bank or other nominee as a custodian, you are a “street name shareholder.”</w:t>
      </w:r>
    </w:p>
    <w:p>
      <w:pPr>
        <w:spacing w:after="0" w:line="78" w:lineRule="exact"/>
        <w:rPr>
          <w:sz w:val="20"/>
          <w:szCs w:val="20"/>
          <w:color w:val="auto"/>
        </w:rPr>
      </w:pPr>
    </w:p>
    <w:p>
      <w:pPr>
        <w:ind w:left="1080" w:right="200"/>
        <w:spacing w:after="0" w:line="267" w:lineRule="auto"/>
        <w:rPr>
          <w:sz w:val="20"/>
          <w:szCs w:val="20"/>
          <w:color w:val="auto"/>
        </w:rPr>
      </w:pPr>
      <w:r>
        <w:rPr>
          <w:rFonts w:ascii="Arial" w:cs="Arial" w:eastAsia="Arial" w:hAnsi="Arial"/>
          <w:sz w:val="20"/>
          <w:szCs w:val="20"/>
          <w:b w:val="1"/>
          <w:bCs w:val="1"/>
          <w:color w:val="3F3F3F"/>
        </w:rPr>
        <w:t>How many common shares are entitled to vote at the annual meeting?</w:t>
      </w:r>
    </w:p>
    <w:p>
      <w:pPr>
        <w:spacing w:after="0" w:line="64" w:lineRule="exact"/>
        <w:rPr>
          <w:sz w:val="20"/>
          <w:szCs w:val="20"/>
          <w:color w:val="auto"/>
        </w:rPr>
      </w:pPr>
    </w:p>
    <w:p>
      <w:pPr>
        <w:ind w:left="1080" w:right="420"/>
        <w:spacing w:after="0" w:line="277" w:lineRule="auto"/>
        <w:rPr>
          <w:sz w:val="20"/>
          <w:szCs w:val="20"/>
          <w:color w:val="auto"/>
        </w:rPr>
      </w:pPr>
      <w:r>
        <w:rPr>
          <w:rFonts w:ascii="Arial" w:cs="Arial" w:eastAsia="Arial" w:hAnsi="Arial"/>
          <w:sz w:val="18"/>
          <w:szCs w:val="18"/>
          <w:color w:val="auto"/>
        </w:rPr>
        <w:t>As of the record date, there were 89,857,336 common shares outstanding and eligible to vote.</w:t>
      </w:r>
    </w:p>
    <w:p>
      <w:pPr>
        <w:spacing w:after="0" w:line="54" w:lineRule="exact"/>
        <w:rPr>
          <w:sz w:val="20"/>
          <w:szCs w:val="20"/>
          <w:color w:val="auto"/>
        </w:rPr>
      </w:pPr>
    </w:p>
    <w:p>
      <w:pPr>
        <w:ind w:left="1080" w:right="580"/>
        <w:spacing w:after="0" w:line="267" w:lineRule="auto"/>
        <w:rPr>
          <w:sz w:val="20"/>
          <w:szCs w:val="20"/>
          <w:color w:val="auto"/>
        </w:rPr>
      </w:pPr>
      <w:r>
        <w:rPr>
          <w:rFonts w:ascii="Arial" w:cs="Arial" w:eastAsia="Arial" w:hAnsi="Arial"/>
          <w:sz w:val="20"/>
          <w:szCs w:val="20"/>
          <w:b w:val="1"/>
          <w:bCs w:val="1"/>
          <w:color w:val="3F3F3F"/>
        </w:rPr>
        <w:t>How many votes must be present to hold the annual meeting?</w:t>
      </w:r>
    </w:p>
    <w:p>
      <w:pPr>
        <w:spacing w:after="0" w:line="64" w:lineRule="exact"/>
        <w:rPr>
          <w:sz w:val="20"/>
          <w:szCs w:val="20"/>
          <w:color w:val="auto"/>
        </w:rPr>
      </w:pPr>
    </w:p>
    <w:p>
      <w:pPr>
        <w:ind w:left="1080" w:right="40"/>
        <w:spacing w:after="0" w:line="287" w:lineRule="auto"/>
        <w:rPr>
          <w:sz w:val="20"/>
          <w:szCs w:val="20"/>
          <w:color w:val="auto"/>
        </w:rPr>
      </w:pPr>
      <w:r>
        <w:rPr>
          <w:rFonts w:ascii="Arial" w:cs="Arial" w:eastAsia="Arial" w:hAnsi="Arial"/>
          <w:sz w:val="16"/>
          <w:szCs w:val="16"/>
          <w:color w:val="auto"/>
        </w:rPr>
        <w:t>A majority of the Company’s outstanding common shares as of the record date must be present in order for us to hold the annual meeting. This is called a quorum. Broker “non-votes” and abstentions are counted as present for purposes of determining whether a quorum exists. A broker “non-vote” occurs when a broker, bank or other nominee holding shares for a beneficial owner does not vote on a particular proposal because the broker, bank or other nominee does not have discretionary voting power for the particular item and has not received voting instructions from the beneficial owner.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3F3F3F"/>
        </w:rPr>
        <w:t>What vote is required to approve each proposal?</w:t>
      </w:r>
    </w:p>
    <w:p>
      <w:pPr>
        <w:spacing w:after="0" w:line="139"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Shareholders are entitled to one vote per common share on all matters submitted for consideration at the annual meeting. The affirmative vote of a majority of the common shares represented in person or by proxy at the annual meeting is required for the election of directors, the ratification of the appointment of Ernst &amp; Young LLP as the Company’s independent registered public accounting firm for the year ending December 31, 2020 and approval of the advisory resolution to approve named executive officers’ compensation.</w:t>
      </w:r>
    </w:p>
    <w:p>
      <w:pPr>
        <w:spacing w:after="0" w:line="7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Abstentions and broker non-votes will not count as a vote for or against any of these proposals.</w:t>
      </w:r>
    </w:p>
    <w:p>
      <w:pPr>
        <w:spacing w:after="0" w:line="54" w:lineRule="exact"/>
        <w:rPr>
          <w:sz w:val="20"/>
          <w:szCs w:val="20"/>
          <w:color w:val="auto"/>
        </w:rPr>
      </w:pPr>
    </w:p>
    <w:p>
      <w:pPr>
        <w:ind w:right="200"/>
        <w:spacing w:after="0" w:line="253" w:lineRule="auto"/>
        <w:rPr>
          <w:sz w:val="20"/>
          <w:szCs w:val="20"/>
          <w:color w:val="auto"/>
        </w:rPr>
      </w:pPr>
      <w:r>
        <w:rPr>
          <w:rFonts w:ascii="Arial" w:cs="Arial" w:eastAsia="Arial" w:hAnsi="Arial"/>
          <w:sz w:val="20"/>
          <w:szCs w:val="20"/>
          <w:b w:val="1"/>
          <w:bCs w:val="1"/>
          <w:color w:val="3F3F3F"/>
        </w:rPr>
        <w:t>What if a nominee for director fails to receive more votes in favor of election than votes against election?</w:t>
      </w:r>
    </w:p>
    <w:p>
      <w:pPr>
        <w:spacing w:after="0" w:line="78"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Nominees for director in uncontested elections must receive more votes in favor of election than votes against election. If a nominee fails to receive more votes in favor than votes against election, our Regulations require the nominee to promptly tender his or her resignation to the Board. Our Corporate Governance Committee will review and make a recommendation to the full Board of Directors as to whether to accept or reject the tendered resignation, or whether other action should be taken. Our Board of Directors will then decide whether to accept or reject the resignation, taking into account the Corporate Governance Committee’s recommendation. The determination of our Board of Directors and the rationale behind the decision will be publicly disclosed (by a press release, a filing with the Securities and Exchange Commission or other broadly disseminated means of communication) within 90 days from the date of the certification of the election results of our meeting. If the incumbent director’s resignation is not accepted by our Board of Directors, the director will continue to serve until his or her successor is duly elected, or his or her earlier resignation or removal. If a director’s resignation is accepted by our Board of Directors, then our Board of Directors may fill any resulting vacancy or decrease the size of the Board of Directors.</w:t>
      </w:r>
    </w:p>
    <w:p>
      <w:pPr>
        <w:spacing w:after="0" w:line="58" w:lineRule="exact"/>
        <w:rPr>
          <w:sz w:val="20"/>
          <w:szCs w:val="20"/>
          <w:color w:val="auto"/>
        </w:rPr>
      </w:pPr>
    </w:p>
    <w:p>
      <w:pPr>
        <w:ind w:right="280"/>
        <w:spacing w:after="0" w:line="267" w:lineRule="auto"/>
        <w:rPr>
          <w:sz w:val="20"/>
          <w:szCs w:val="20"/>
          <w:color w:val="auto"/>
        </w:rPr>
      </w:pPr>
      <w:r>
        <w:rPr>
          <w:rFonts w:ascii="Arial" w:cs="Arial" w:eastAsia="Arial" w:hAnsi="Arial"/>
          <w:sz w:val="20"/>
          <w:szCs w:val="20"/>
          <w:b w:val="1"/>
          <w:bCs w:val="1"/>
          <w:color w:val="3F3F3F"/>
        </w:rPr>
        <w:t>Where will I be able to find voting results of the annual meeting?</w:t>
      </w:r>
    </w:p>
    <w:p>
      <w:pPr>
        <w:spacing w:after="0" w:line="64"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We will announce preliminary voting results at the annual meeting. We will also publish final voting results in a Current Report on Form 8-K to be filed with the SEC within four business days after the annual meeting.</w:t>
      </w:r>
    </w:p>
    <w:p>
      <w:pPr>
        <w:spacing w:after="0" w:line="81" w:lineRule="exact"/>
        <w:rPr>
          <w:sz w:val="20"/>
          <w:szCs w:val="20"/>
          <w:color w:val="auto"/>
        </w:rPr>
      </w:pPr>
    </w:p>
    <w:p>
      <w:pPr>
        <w:spacing w:after="0"/>
        <w:rPr>
          <w:sz w:val="20"/>
          <w:szCs w:val="20"/>
          <w:color w:val="auto"/>
        </w:rPr>
      </w:pPr>
      <w:r>
        <w:rPr>
          <w:rFonts w:ascii="Arial" w:cs="Arial" w:eastAsia="Arial" w:hAnsi="Arial"/>
          <w:sz w:val="20"/>
          <w:szCs w:val="20"/>
          <w:b w:val="1"/>
          <w:bCs w:val="1"/>
          <w:color w:val="3F3F3F"/>
        </w:rPr>
        <w:t>How do I vote my common shares?</w:t>
      </w:r>
    </w:p>
    <w:p>
      <w:pPr>
        <w:spacing w:after="0" w:line="89" w:lineRule="exact"/>
        <w:rPr>
          <w:sz w:val="20"/>
          <w:szCs w:val="20"/>
          <w:color w:val="auto"/>
        </w:rPr>
      </w:pPr>
    </w:p>
    <w:p>
      <w:pPr>
        <w:ind w:left="360" w:right="200"/>
        <w:spacing w:after="0" w:line="275"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Via Internet</w:t>
      </w:r>
      <w:r>
        <w:rPr>
          <w:rFonts w:ascii="Arial" w:cs="Arial" w:eastAsia="Arial" w:hAnsi="Arial"/>
          <w:sz w:val="17"/>
          <w:szCs w:val="17"/>
          <w:color w:val="auto"/>
        </w:rPr>
        <w:t>: Go to www.proxyvote.com to vote</w:t>
      </w:r>
      <w:r>
        <w:rPr>
          <w:rFonts w:ascii="Arial" w:cs="Arial" w:eastAsia="Arial" w:hAnsi="Arial"/>
          <w:sz w:val="17"/>
          <w:szCs w:val="17"/>
          <w:i w:val="1"/>
          <w:iCs w:val="1"/>
          <w:color w:val="auto"/>
        </w:rPr>
        <w:t xml:space="preserve"> </w:t>
      </w:r>
      <w:r>
        <w:rPr>
          <w:rFonts w:ascii="Arial" w:cs="Arial" w:eastAsia="Arial" w:hAnsi="Arial"/>
          <w:sz w:val="17"/>
          <w:szCs w:val="17"/>
          <w:color w:val="auto"/>
        </w:rPr>
        <w:t>via the Internet. You will need to follow the instructions on your notice or proxy card and the website. If you vote via the Internet, you may incur telephone and Internet access charges.</w:t>
      </w:r>
    </w:p>
    <w:p>
      <w:pPr>
        <w:spacing w:after="0" w:line="200" w:lineRule="exact"/>
        <w:rPr>
          <w:sz w:val="20"/>
          <w:szCs w:val="20"/>
          <w:color w:val="auto"/>
        </w:rPr>
      </w:pPr>
    </w:p>
    <w:p>
      <w:pPr>
        <w:sectPr>
          <w:pgSz w:w="11900" w:h="16838" w:orient="portrait"/>
          <w:cols w:equalWidth="0" w:num="2">
            <w:col w:w="5400" w:space="440"/>
            <w:col w:w="4300"/>
          </w:cols>
          <w:pgMar w:left="320" w:top="265" w:right="1439" w:bottom="1440" w:gutter="0" w:footer="0" w:header="0"/>
          <w:type w:val="continuous"/>
        </w:sectPr>
      </w:pPr>
    </w:p>
    <w:p>
      <w:pPr>
        <w:spacing w:after="0" w:line="89" w:lineRule="exact"/>
        <w:rPr>
          <w:sz w:val="20"/>
          <w:szCs w:val="20"/>
          <w:color w:val="auto"/>
        </w:rPr>
      </w:pPr>
    </w:p>
    <w:p>
      <w:pPr>
        <w:ind w:left="1160"/>
        <w:spacing w:after="0"/>
        <w:tabs>
          <w:tab w:leader="none" w:pos="10040" w:val="left"/>
        </w:tabs>
        <w:rPr>
          <w:sz w:val="20"/>
          <w:szCs w:val="20"/>
          <w:color w:val="auto"/>
        </w:rPr>
      </w:pPr>
      <w:r>
        <w:rPr>
          <w:rFonts w:ascii="Arial" w:cs="Arial" w:eastAsia="Arial" w:hAnsi="Arial"/>
          <w:sz w:val="16"/>
          <w:szCs w:val="16"/>
          <w:color w:val="auto"/>
        </w:rPr>
        <w:t>2020 Proxy Statement | General Information</w:t>
      </w:r>
      <w:r>
        <w:rPr>
          <w:sz w:val="20"/>
          <w:szCs w:val="20"/>
          <w:color w:val="auto"/>
        </w:rPr>
        <w:tab/>
      </w: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137795</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140"/>
          </w:cols>
          <w:pgMar w:left="320" w:top="265" w:right="1439" w:bottom="1440" w:gutter="0" w:footer="0" w:header="0"/>
          <w:type w:val="continuous"/>
        </w:sectPr>
      </w:pPr>
    </w:p>
    <w:bookmarkStart w:id="9" w:name="page10"/>
    <w:bookmarkEnd w:id="9"/>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6515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651510"/>
                    </a:xfrm>
                    <a:prstGeom prst="rect">
                      <a:avLst/>
                    </a:prstGeom>
                    <a:noFill/>
                  </pic:spPr>
                </pic:pic>
              </a:graphicData>
            </a:graphic>
          </wp:anchor>
        </w:drawing>
      </w:r>
    </w:p>
    <w:p>
      <w:pPr>
        <w:sectPr>
          <w:pgSz w:w="11900" w:h="16838" w:orient="portrait"/>
          <w:cols w:equalWidth="0" w:num="1">
            <w:col w:w="10140"/>
          </w:cols>
          <w:pgMar w:left="320" w:top="265" w:right="1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ind w:left="1440" w:right="60" w:firstLine="8"/>
        <w:spacing w:after="0" w:line="259" w:lineRule="auto"/>
        <w:tabs>
          <w:tab w:leader="none" w:pos="174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By Telephone</w:t>
      </w:r>
      <w:r>
        <w:rPr>
          <w:rFonts w:ascii="Arial" w:cs="Arial" w:eastAsia="Arial" w:hAnsi="Arial"/>
          <w:sz w:val="18"/>
          <w:szCs w:val="18"/>
          <w:color w:val="auto"/>
        </w:rPr>
        <w:t>: Call the toll-free telephone number</w:t>
      </w:r>
      <w:r>
        <w:rPr>
          <w:rFonts w:ascii="Arial" w:cs="Arial" w:eastAsia="Arial" w:hAnsi="Arial"/>
          <w:sz w:val="18"/>
          <w:szCs w:val="18"/>
          <w:i w:val="1"/>
          <w:iCs w:val="1"/>
          <w:color w:val="auto"/>
        </w:rPr>
        <w:t xml:space="preserve"> </w:t>
      </w:r>
      <w:r>
        <w:rPr>
          <w:rFonts w:ascii="Arial" w:cs="Arial" w:eastAsia="Arial" w:hAnsi="Arial"/>
          <w:sz w:val="18"/>
          <w:szCs w:val="18"/>
          <w:color w:val="auto"/>
        </w:rPr>
        <w:t>on the proxy card or the website to vote by telephone. You will need to follow the instructions and the voice prompts.</w:t>
      </w:r>
    </w:p>
    <w:p>
      <w:pPr>
        <w:spacing w:after="0" w:line="65" w:lineRule="exact"/>
        <w:rPr>
          <w:rFonts w:ascii="Arial" w:cs="Arial" w:eastAsia="Arial" w:hAnsi="Arial"/>
          <w:sz w:val="18"/>
          <w:szCs w:val="18"/>
          <w:color w:val="auto"/>
        </w:rPr>
      </w:pPr>
    </w:p>
    <w:p>
      <w:pPr>
        <w:ind w:left="1440" w:right="100" w:firstLine="8"/>
        <w:spacing w:after="0" w:line="342" w:lineRule="auto"/>
        <w:tabs>
          <w:tab w:leader="none" w:pos="174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By Mail</w:t>
      </w:r>
      <w:r>
        <w:rPr>
          <w:rFonts w:ascii="Arial" w:cs="Arial" w:eastAsia="Arial" w:hAnsi="Arial"/>
          <w:sz w:val="16"/>
          <w:szCs w:val="16"/>
          <w:color w:val="auto"/>
        </w:rPr>
        <w:t>: Request, complete and return a paper</w:t>
      </w:r>
      <w:r>
        <w:rPr>
          <w:rFonts w:ascii="Arial" w:cs="Arial" w:eastAsia="Arial" w:hAnsi="Arial"/>
          <w:sz w:val="16"/>
          <w:szCs w:val="16"/>
          <w:i w:val="1"/>
          <w:iCs w:val="1"/>
          <w:color w:val="auto"/>
        </w:rPr>
        <w:t xml:space="preserve"> </w:t>
      </w:r>
      <w:r>
        <w:rPr>
          <w:rFonts w:ascii="Arial" w:cs="Arial" w:eastAsia="Arial" w:hAnsi="Arial"/>
          <w:sz w:val="16"/>
          <w:szCs w:val="16"/>
          <w:color w:val="auto"/>
        </w:rPr>
        <w:t>proxy card, following the instructions on your notice.</w:t>
      </w:r>
    </w:p>
    <w:p>
      <w:pPr>
        <w:spacing w:after="0" w:line="2" w:lineRule="exact"/>
        <w:rPr>
          <w:rFonts w:ascii="Arial" w:cs="Arial" w:eastAsia="Arial" w:hAnsi="Arial"/>
          <w:sz w:val="16"/>
          <w:szCs w:val="16"/>
          <w:color w:val="auto"/>
        </w:rPr>
      </w:pPr>
    </w:p>
    <w:p>
      <w:pPr>
        <w:jc w:val="both"/>
        <w:ind w:left="1440" w:right="160" w:firstLine="8"/>
        <w:spacing w:after="0" w:line="263" w:lineRule="auto"/>
        <w:tabs>
          <w:tab w:leader="none" w:pos="174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In Person</w:t>
      </w:r>
      <w:r>
        <w:rPr>
          <w:rFonts w:ascii="Arial" w:cs="Arial" w:eastAsia="Arial" w:hAnsi="Arial"/>
          <w:sz w:val="18"/>
          <w:szCs w:val="18"/>
          <w:color w:val="auto"/>
        </w:rPr>
        <w:t>: Attend the annual meeting, or send a</w:t>
      </w:r>
      <w:r>
        <w:rPr>
          <w:rFonts w:ascii="Arial" w:cs="Arial" w:eastAsia="Arial" w:hAnsi="Arial"/>
          <w:sz w:val="18"/>
          <w:szCs w:val="18"/>
          <w:i w:val="1"/>
          <w:iCs w:val="1"/>
          <w:color w:val="auto"/>
        </w:rPr>
        <w:t xml:space="preserve"> </w:t>
      </w:r>
      <w:r>
        <w:rPr>
          <w:rFonts w:ascii="Arial" w:cs="Arial" w:eastAsia="Arial" w:hAnsi="Arial"/>
          <w:sz w:val="18"/>
          <w:szCs w:val="18"/>
          <w:color w:val="auto"/>
        </w:rPr>
        <w:t>personal representative with an appropriate proxy, to vote by ballot.</w:t>
      </w:r>
    </w:p>
    <w:p>
      <w:pPr>
        <w:spacing w:after="0" w:line="76" w:lineRule="exact"/>
        <w:rPr>
          <w:sz w:val="20"/>
          <w:szCs w:val="20"/>
          <w:color w:val="auto"/>
        </w:rPr>
      </w:pPr>
    </w:p>
    <w:p>
      <w:pPr>
        <w:ind w:left="1080" w:right="20"/>
        <w:spacing w:after="0" w:line="257" w:lineRule="auto"/>
        <w:rPr>
          <w:sz w:val="20"/>
          <w:szCs w:val="20"/>
          <w:color w:val="auto"/>
        </w:rPr>
      </w:pPr>
      <w:r>
        <w:rPr>
          <w:rFonts w:ascii="Arial" w:cs="Arial" w:eastAsia="Arial" w:hAnsi="Arial"/>
          <w:sz w:val="18"/>
          <w:szCs w:val="18"/>
          <w:color w:val="auto"/>
        </w:rPr>
        <w:t>If you vote via the Internet or by telephone, your electronic vote authorizes the named proxies in the same manner as if you signed, dated and returned your proxy card. If you vote via the Internet or by telephone, do not return your proxy card.</w:t>
      </w:r>
    </w:p>
    <w:p>
      <w:pPr>
        <w:spacing w:after="0" w:line="80" w:lineRule="exact"/>
        <w:rPr>
          <w:sz w:val="20"/>
          <w:szCs w:val="20"/>
          <w:color w:val="auto"/>
        </w:rPr>
      </w:pPr>
    </w:p>
    <w:p>
      <w:pPr>
        <w:ind w:left="1080" w:right="20"/>
        <w:spacing w:after="0" w:line="255" w:lineRule="auto"/>
        <w:rPr>
          <w:sz w:val="20"/>
          <w:szCs w:val="20"/>
          <w:color w:val="auto"/>
        </w:rPr>
      </w:pPr>
      <w:r>
        <w:rPr>
          <w:rFonts w:ascii="Arial" w:cs="Arial" w:eastAsia="Arial" w:hAnsi="Arial"/>
          <w:sz w:val="18"/>
          <w:szCs w:val="18"/>
          <w:color w:val="auto"/>
        </w:rPr>
        <w:t>If your shares are held in “street name” (that is, in the name of a bank, broker or other holder of record), you will receive instructions from the holder of record that you must follow in order for your shares to be voted, or you may request the record holder to issue you a proxy covering your shares.</w:t>
      </w:r>
    </w:p>
    <w:p>
      <w:pPr>
        <w:spacing w:after="0" w:line="76" w:lineRule="exact"/>
        <w:rPr>
          <w:sz w:val="20"/>
          <w:szCs w:val="20"/>
          <w:color w:val="auto"/>
        </w:rPr>
      </w:pPr>
    </w:p>
    <w:p>
      <w:pPr>
        <w:ind w:left="1080" w:right="300"/>
        <w:spacing w:after="0" w:line="253" w:lineRule="auto"/>
        <w:rPr>
          <w:sz w:val="20"/>
          <w:szCs w:val="20"/>
          <w:color w:val="auto"/>
        </w:rPr>
      </w:pPr>
      <w:r>
        <w:rPr>
          <w:rFonts w:ascii="Arial" w:cs="Arial" w:eastAsia="Arial" w:hAnsi="Arial"/>
          <w:sz w:val="20"/>
          <w:szCs w:val="20"/>
          <w:b w:val="1"/>
          <w:bCs w:val="1"/>
          <w:color w:val="3F3F3F"/>
        </w:rPr>
        <w:t>Can I change my vote after I have mailed in my proxy card(s) or submitted my vote using the Internet or telephone?</w:t>
      </w:r>
    </w:p>
    <w:p>
      <w:pPr>
        <w:spacing w:after="0" w:line="78" w:lineRule="exact"/>
        <w:rPr>
          <w:sz w:val="20"/>
          <w:szCs w:val="20"/>
          <w:color w:val="auto"/>
        </w:rPr>
      </w:pPr>
    </w:p>
    <w:p>
      <w:pPr>
        <w:ind w:left="1080" w:right="20"/>
        <w:spacing w:after="0" w:line="271" w:lineRule="auto"/>
        <w:rPr>
          <w:sz w:val="20"/>
          <w:szCs w:val="20"/>
          <w:color w:val="auto"/>
        </w:rPr>
      </w:pPr>
      <w:r>
        <w:rPr>
          <w:rFonts w:ascii="Arial" w:cs="Arial" w:eastAsia="Arial" w:hAnsi="Arial"/>
          <w:sz w:val="17"/>
          <w:szCs w:val="17"/>
          <w:color w:val="auto"/>
        </w:rPr>
        <w:t>Yes, whether you vote by mail, via the Internet or by telephone, you may revoke your proxy at any time before it is voted by submitting a new proxy with a later date, voting via the Internet or by telephone at a later time, delivering a written notice of revocation to the Company’s Secretary, at the address set forth above under “2020 Proxy Statement – Summary – Company Communications” or by voting in person at the meeting.</w:t>
      </w:r>
    </w:p>
    <w:p>
      <w:pPr>
        <w:spacing w:after="0" w:line="62" w:lineRule="exact"/>
        <w:rPr>
          <w:sz w:val="20"/>
          <w:szCs w:val="20"/>
          <w:color w:val="auto"/>
        </w:rPr>
      </w:pPr>
    </w:p>
    <w:p>
      <w:pPr>
        <w:ind w:left="1080" w:right="480"/>
        <w:spacing w:after="0" w:line="323" w:lineRule="auto"/>
        <w:rPr>
          <w:sz w:val="20"/>
          <w:szCs w:val="20"/>
          <w:color w:val="auto"/>
        </w:rPr>
      </w:pPr>
      <w:r>
        <w:rPr>
          <w:rFonts w:ascii="Arial" w:cs="Arial" w:eastAsia="Arial" w:hAnsi="Arial"/>
          <w:sz w:val="18"/>
          <w:szCs w:val="18"/>
          <w:b w:val="1"/>
          <w:bCs w:val="1"/>
          <w:color w:val="3F3F3F"/>
        </w:rPr>
        <w:t>What if I hold shares through the Company’s 401(k) Retirement and Savings Plan?</w:t>
      </w:r>
    </w:p>
    <w:p>
      <w:pPr>
        <w:spacing w:after="0" w:line="18" w:lineRule="exact"/>
        <w:rPr>
          <w:sz w:val="20"/>
          <w:szCs w:val="20"/>
          <w:color w:val="auto"/>
        </w:rPr>
      </w:pPr>
    </w:p>
    <w:p>
      <w:pPr>
        <w:ind w:left="1080"/>
        <w:spacing w:after="0" w:line="285" w:lineRule="auto"/>
        <w:rPr>
          <w:sz w:val="20"/>
          <w:szCs w:val="20"/>
          <w:color w:val="auto"/>
        </w:rPr>
      </w:pPr>
      <w:r>
        <w:rPr>
          <w:rFonts w:ascii="Arial" w:cs="Arial" w:eastAsia="Arial" w:hAnsi="Arial"/>
          <w:sz w:val="16"/>
          <w:szCs w:val="16"/>
          <w:color w:val="auto"/>
        </w:rPr>
        <w:t>If you are a participant in the Company’s 401(k) Retirement and Savings Plan (RASP) with a balance in the AFG Common Stock Fund, the accompanying proxy card shows the number of common shares attributed to your RASP account balance, calculated as of the record date. In order for your RASP shares to be voted in your discretion, you must vote at least three business days prior to the day of the meeting (by the end of the day on May 15, 2020) either by Internet, telephone, or returned properly signed proxy card. If you choose not to vote or if you return an invalid or unvoted proxy card, the Administrative Plan Committee, consisting of three current or former senior officers of the Company, will vote your RASP shares in the Committee’s sole discretion. It has been the practice of the Administrative Plan Committee to vote all such shares in accordance with Board recommendations. Plan participants’ votes will be processed by the plan trustee and will not be disclosed to the 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20"/>
          <w:szCs w:val="20"/>
          <w:b w:val="1"/>
          <w:bCs w:val="1"/>
          <w:color w:val="3F3F3F"/>
        </w:rPr>
        <w:t>How will my proxy be voted?</w:t>
      </w:r>
    </w:p>
    <w:p>
      <w:pPr>
        <w:spacing w:after="0" w:line="116"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If you complete, sign, date, and return your proxy card(s) or vote by telephone or by using the Internet, your proxy will be voted in accordance with your instructions. If you sign and date your proxy card(s) but do not indicate how you want to vote, your common shares will be voted as the Board recommends.</w:t>
      </w:r>
    </w:p>
    <w:p>
      <w:pPr>
        <w:spacing w:after="0" w:line="61" w:lineRule="exact"/>
        <w:rPr>
          <w:sz w:val="20"/>
          <w:szCs w:val="20"/>
          <w:color w:val="auto"/>
        </w:rPr>
      </w:pPr>
    </w:p>
    <w:p>
      <w:pPr>
        <w:ind w:right="120"/>
        <w:spacing w:after="0" w:line="375" w:lineRule="auto"/>
        <w:rPr>
          <w:sz w:val="20"/>
          <w:szCs w:val="20"/>
          <w:color w:val="auto"/>
        </w:rPr>
      </w:pPr>
      <w:r>
        <w:rPr>
          <w:rFonts w:ascii="Arial" w:cs="Arial" w:eastAsia="Arial" w:hAnsi="Arial"/>
          <w:sz w:val="16"/>
          <w:szCs w:val="16"/>
          <w:b w:val="1"/>
          <w:bCs w:val="1"/>
          <w:color w:val="3F3F3F"/>
        </w:rPr>
        <w:t>What if my common shares are held in “street name” through a broker, bank or other nominee?</w:t>
      </w:r>
    </w:p>
    <w:p>
      <w:pPr>
        <w:spacing w:after="0" w:line="1"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 xml:space="preserve">If your common shares are held in “street name” through a broker, bank or other nominee, you must instruct the broker, bank or other nominee how you would like to vote your shares by using the written instruction form and envelope provided by such entity. If you do not provide instructions, under the rules of the New York Stock Exchange (“NYSE”), your broker, bank or other nominee may, but is not required to, vote your common shares with respect to certain “routine” matters. However, on other matters, when the broker, bank or other nominee has not received voting instructions from its customers, the shares cannot be voted on the matter and a “broker non-vote” occurs. Proposal 2 (Ratification of Independent Registered Public Accounting Firm) is the only routine matter on this year’s ballot to be voted on by the shareholders. </w:t>
      </w:r>
      <w:r>
        <w:rPr>
          <w:rFonts w:ascii="Arial" w:cs="Arial" w:eastAsia="Arial" w:hAnsi="Arial"/>
          <w:sz w:val="16"/>
          <w:szCs w:val="16"/>
          <w:b w:val="1"/>
          <w:bCs w:val="1"/>
          <w:color w:val="auto"/>
        </w:rPr>
        <w:t>Proposals</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1 and 3 are not considered routine matters under the NYSE rules. This means that brokers, banks or other nominees may not vote your common shares on such proposals if you have not given specific instructions as to how to vote. Please give specific voting instructions to your broker, bank or other nominee so that your votes can be counted. </w:t>
      </w:r>
      <w:r>
        <w:rPr>
          <w:rFonts w:ascii="Arial" w:cs="Arial" w:eastAsia="Arial" w:hAnsi="Arial"/>
          <w:sz w:val="16"/>
          <w:szCs w:val="16"/>
          <w:color w:val="auto"/>
        </w:rPr>
        <w:t>If you hold your common shares in the</w:t>
      </w:r>
      <w:r>
        <w:rPr>
          <w:rFonts w:ascii="Arial" w:cs="Arial" w:eastAsia="Arial" w:hAnsi="Arial"/>
          <w:sz w:val="16"/>
          <w:szCs w:val="16"/>
          <w:b w:val="1"/>
          <w:bCs w:val="1"/>
          <w:color w:val="auto"/>
        </w:rPr>
        <w:t xml:space="preserve"> </w:t>
      </w:r>
      <w:r>
        <w:rPr>
          <w:rFonts w:ascii="Arial" w:cs="Arial" w:eastAsia="Arial" w:hAnsi="Arial"/>
          <w:sz w:val="16"/>
          <w:szCs w:val="16"/>
          <w:color w:val="auto"/>
        </w:rPr>
        <w:t>name of your broker, bank or other nominee and wish to vote in person at the annual meeting, you must request from such entity a document called a “legal proxy.”</w:t>
      </w:r>
    </w:p>
    <w:p>
      <w:pPr>
        <w:spacing w:after="0" w:line="10" w:lineRule="exact"/>
        <w:rPr>
          <w:sz w:val="20"/>
          <w:szCs w:val="20"/>
          <w:color w:val="auto"/>
        </w:rPr>
      </w:pPr>
    </w:p>
    <w:p>
      <w:pPr>
        <w:ind w:right="240"/>
        <w:spacing w:after="0" w:line="260" w:lineRule="auto"/>
        <w:rPr>
          <w:sz w:val="20"/>
          <w:szCs w:val="20"/>
          <w:color w:val="auto"/>
        </w:rPr>
      </w:pPr>
      <w:r>
        <w:rPr>
          <w:rFonts w:ascii="Arial" w:cs="Arial" w:eastAsia="Arial" w:hAnsi="Arial"/>
          <w:sz w:val="18"/>
          <w:szCs w:val="18"/>
          <w:color w:val="auto"/>
        </w:rPr>
        <w:t>You must bring this legal proxy to the annual meeting in order to vote in person.</w:t>
      </w:r>
    </w:p>
    <w:p>
      <w:pPr>
        <w:spacing w:after="0" w:line="69" w:lineRule="exact"/>
        <w:rPr>
          <w:sz w:val="20"/>
          <w:szCs w:val="20"/>
          <w:color w:val="auto"/>
        </w:rPr>
      </w:pPr>
    </w:p>
    <w:p>
      <w:pPr>
        <w:ind w:right="140"/>
        <w:spacing w:after="0" w:line="267" w:lineRule="auto"/>
        <w:rPr>
          <w:sz w:val="20"/>
          <w:szCs w:val="20"/>
          <w:color w:val="auto"/>
        </w:rPr>
      </w:pPr>
      <w:r>
        <w:rPr>
          <w:rFonts w:ascii="Arial" w:cs="Arial" w:eastAsia="Arial" w:hAnsi="Arial"/>
          <w:sz w:val="20"/>
          <w:szCs w:val="20"/>
          <w:b w:val="1"/>
          <w:bCs w:val="1"/>
          <w:color w:val="3F3F3F"/>
        </w:rPr>
        <w:t>What are the Board’s recommendations on how I should vote my common shares?</w:t>
      </w:r>
    </w:p>
    <w:p>
      <w:pPr>
        <w:spacing w:after="0" w:line="6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Board recommends that you vote your common shares as follows:</w:t>
      </w:r>
    </w:p>
    <w:p>
      <w:pPr>
        <w:spacing w:after="0" w:line="62" w:lineRule="exact"/>
        <w:rPr>
          <w:sz w:val="20"/>
          <w:szCs w:val="20"/>
          <w:color w:val="auto"/>
        </w:rPr>
      </w:pPr>
    </w:p>
    <w:p>
      <w:pPr>
        <w:ind w:left="720" w:right="80" w:hanging="360"/>
        <w:spacing w:after="0" w:line="258"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the election of the 12 nominees proposed for the Board of Directors;</w:t>
      </w:r>
    </w:p>
    <w:p>
      <w:pPr>
        <w:spacing w:after="0" w:line="1" w:lineRule="exact"/>
        <w:rPr>
          <w:rFonts w:ascii="Arial" w:cs="Arial" w:eastAsia="Arial" w:hAnsi="Arial"/>
          <w:sz w:val="18"/>
          <w:szCs w:val="18"/>
          <w:color w:val="auto"/>
        </w:rPr>
      </w:pPr>
    </w:p>
    <w:p>
      <w:pPr>
        <w:ind w:left="720" w:right="220" w:hanging="360"/>
        <w:spacing w:after="0" w:line="260"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the ratification of the Company’s independent registered public accounting firm; and</w:t>
      </w:r>
    </w:p>
    <w:p>
      <w:pPr>
        <w:spacing w:after="0" w:line="1" w:lineRule="exact"/>
        <w:rPr>
          <w:rFonts w:ascii="Arial" w:cs="Arial" w:eastAsia="Arial" w:hAnsi="Arial"/>
          <w:sz w:val="18"/>
          <w:szCs w:val="18"/>
          <w:color w:val="auto"/>
        </w:rPr>
      </w:pPr>
    </w:p>
    <w:p>
      <w:pPr>
        <w:ind w:left="720" w:right="60" w:hanging="360"/>
        <w:spacing w:after="0" w:line="286" w:lineRule="auto"/>
        <w:tabs>
          <w:tab w:leader="none" w:pos="720" w:val="left"/>
        </w:tabs>
        <w:numPr>
          <w:ilvl w:val="0"/>
          <w:numId w:val="6"/>
        </w:numPr>
        <w:rPr>
          <w:rFonts w:ascii="Arial" w:cs="Arial" w:eastAsia="Arial" w:hAnsi="Arial"/>
          <w:sz w:val="17"/>
          <w:szCs w:val="17"/>
          <w:color w:val="auto"/>
        </w:rPr>
      </w:pPr>
      <w:r>
        <w:rPr>
          <w:rFonts w:ascii="Arial" w:cs="Arial" w:eastAsia="Arial" w:hAnsi="Arial"/>
          <w:sz w:val="17"/>
          <w:szCs w:val="17"/>
          <w:color w:val="auto"/>
        </w:rPr>
        <w:t>“FOR” the approval, on an advisory basis, of compensation of our named executive officers as disclosed in this proxy statement.</w:t>
      </w:r>
    </w:p>
    <w:p>
      <w:pPr>
        <w:spacing w:after="0" w:line="758" w:lineRule="exact"/>
        <w:rPr>
          <w:sz w:val="20"/>
          <w:szCs w:val="20"/>
          <w:color w:val="auto"/>
        </w:rPr>
      </w:pPr>
    </w:p>
    <w:p>
      <w:pPr>
        <w:sectPr>
          <w:pgSz w:w="11900" w:h="16838" w:orient="portrait"/>
          <w:cols w:equalWidth="0" w:num="2">
            <w:col w:w="5400" w:space="440"/>
            <w:col w:w="4300"/>
          </w:cols>
          <w:pgMar w:left="320" w:top="265" w:right="1439" w:bottom="1440" w:gutter="0" w:footer="0" w:header="0"/>
          <w:type w:val="continuous"/>
        </w:sectPr>
      </w:pPr>
    </w:p>
    <w:p>
      <w:pPr>
        <w:spacing w:after="0" w:line="302" w:lineRule="exact"/>
        <w:rPr>
          <w:sz w:val="20"/>
          <w:szCs w:val="20"/>
          <w:color w:val="auto"/>
        </w:rPr>
      </w:pPr>
    </w:p>
    <w:p>
      <w:pPr>
        <w:ind w:left="1160"/>
        <w:spacing w:after="0"/>
        <w:tabs>
          <w:tab w:leader="none" w:pos="10040" w:val="left"/>
        </w:tabs>
        <w:rPr>
          <w:sz w:val="20"/>
          <w:szCs w:val="20"/>
          <w:color w:val="auto"/>
        </w:rPr>
      </w:pPr>
      <w:r>
        <w:rPr>
          <w:rFonts w:ascii="Arial" w:cs="Arial" w:eastAsia="Arial" w:hAnsi="Arial"/>
          <w:sz w:val="16"/>
          <w:szCs w:val="16"/>
          <w:color w:val="auto"/>
        </w:rPr>
        <w:t>2020 Proxy Statement | General Information</w:t>
      </w:r>
      <w:r>
        <w:rPr>
          <w:sz w:val="20"/>
          <w:szCs w:val="20"/>
          <w:color w:val="auto"/>
        </w:rPr>
        <w:tab/>
      </w: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129540</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140"/>
          </w:cols>
          <w:pgMar w:left="320" w:top="265" w:right="1439" w:bottom="1440" w:gutter="0" w:footer="0" w:header="0"/>
          <w:type w:val="continuous"/>
        </w:sectPr>
      </w:pPr>
    </w:p>
    <w:bookmarkStart w:id="10" w:name="page11"/>
    <w:bookmarkEnd w:id="10"/>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6515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651510"/>
                    </a:xfrm>
                    <a:prstGeom prst="rect">
                      <a:avLst/>
                    </a:prstGeom>
                    <a:noFill/>
                  </pic:spPr>
                </pic:pic>
              </a:graphicData>
            </a:graphic>
          </wp:anchor>
        </w:drawing>
      </w:r>
    </w:p>
    <w:p>
      <w:pPr>
        <w:sectPr>
          <w:pgSz w:w="11900" w:h="16838" w:orient="portrait"/>
          <w:cols w:equalWidth="0" w:num="1">
            <w:col w:w="10160"/>
          </w:cols>
          <w:pgMar w:left="320" w:top="265"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080" w:right="40"/>
        <w:spacing w:after="0" w:line="267" w:lineRule="auto"/>
        <w:rPr>
          <w:sz w:val="20"/>
          <w:szCs w:val="20"/>
          <w:color w:val="auto"/>
        </w:rPr>
      </w:pPr>
      <w:r>
        <w:rPr>
          <w:rFonts w:ascii="Arial" w:cs="Arial" w:eastAsia="Arial" w:hAnsi="Arial"/>
          <w:sz w:val="20"/>
          <w:szCs w:val="20"/>
          <w:b w:val="1"/>
          <w:bCs w:val="1"/>
          <w:color w:val="3F3F3F"/>
        </w:rPr>
        <w:t>Do I have an opportunity to cumulate my votes for director nominees?</w:t>
      </w:r>
    </w:p>
    <w:p>
      <w:pPr>
        <w:spacing w:after="0" w:line="64" w:lineRule="exact"/>
        <w:rPr>
          <w:sz w:val="20"/>
          <w:szCs w:val="20"/>
          <w:color w:val="auto"/>
        </w:rPr>
      </w:pPr>
    </w:p>
    <w:p>
      <w:pPr>
        <w:ind w:left="1080"/>
        <w:spacing w:after="0" w:line="283" w:lineRule="auto"/>
        <w:rPr>
          <w:sz w:val="20"/>
          <w:szCs w:val="20"/>
          <w:color w:val="auto"/>
        </w:rPr>
      </w:pPr>
      <w:r>
        <w:rPr>
          <w:rFonts w:ascii="Arial" w:cs="Arial" w:eastAsia="Arial" w:hAnsi="Arial"/>
          <w:sz w:val="16"/>
          <w:szCs w:val="16"/>
          <w:color w:val="auto"/>
        </w:rPr>
        <w:t>Cumulative voting allows a shareholder to multiply the number of shares owned on the record date by the number of directors to be elected and to cast the total for one nominee or distribute the votes among the nominees as the shareholder desires. Shareholders of the Company have cumulative voting rights in the election of directors if certain conditions are met. In order for cumulative voting to apply, notice of cumulative voting must be given in writing to the Company’s Corporate Secretary not less than</w:t>
      </w:r>
    </w:p>
    <w:p>
      <w:pPr>
        <w:spacing w:after="0" w:line="6" w:lineRule="exact"/>
        <w:rPr>
          <w:sz w:val="20"/>
          <w:szCs w:val="20"/>
          <w:color w:val="auto"/>
        </w:rPr>
      </w:pPr>
    </w:p>
    <w:p>
      <w:pPr>
        <w:ind w:left="1080" w:right="200"/>
        <w:spacing w:after="0" w:line="295" w:lineRule="auto"/>
        <w:rPr>
          <w:sz w:val="20"/>
          <w:szCs w:val="20"/>
          <w:color w:val="auto"/>
        </w:rPr>
      </w:pPr>
      <w:r>
        <w:rPr>
          <w:rFonts w:ascii="Arial" w:cs="Arial" w:eastAsia="Arial" w:hAnsi="Arial"/>
          <w:sz w:val="16"/>
          <w:szCs w:val="16"/>
          <w:color w:val="auto"/>
        </w:rPr>
        <w:t>48 hours before the time fixed for the holding of the meeting. As of the date of this proxy statement, the Company has not received a notice from any shareholder requesting cumulative voting. If proper notice of</w:t>
      </w:r>
    </w:p>
    <w:p>
      <w:pPr>
        <w:spacing w:after="0" w:line="274"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2020 Proxy Statement | General Information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color w:val="auto"/>
        </w:rPr>
        <w:t>cumulative voting is received by the Company, the</w:t>
      </w:r>
    </w:p>
    <w:p>
      <w:pPr>
        <w:spacing w:after="0" w:line="23"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12 nominees who receive the greatest number of votes will be elected, subject to the tender of resignation and related procedures set forth above with respect to incumbent directors who fail to receive more votes in favor than votes withheld. The authority solicited by this proxy statement includes discretionary authority to cumulate votes in the election of directors. If cumulative voting is in effect with respect to the election of directors, the named proxies reserve the right to cumulate the votes represented by the proxies they receive and distribute such votes in accordance with their sole discretion, except that shareholders’ votes will not be cast for a nominee as to whom such shareholder instructs that such votes be cast “AGAINST” or “ABSTAIN.”</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220"/>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-3634105</wp:posOffset>
            </wp:positionH>
            <wp:positionV relativeFrom="paragraph">
              <wp:posOffset>129540</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5400" w:space="440"/>
            <w:col w:w="4320"/>
          </w:cols>
          <w:pgMar w:left="320" w:top="265" w:right="1419" w:bottom="1440" w:gutter="0" w:footer="0" w:header="0"/>
          <w:type w:val="continuous"/>
        </w:sectPr>
      </w:pPr>
    </w:p>
    <w:bookmarkStart w:id="11" w:name="page12"/>
    <w:bookmarkEnd w:id="11"/>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6515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651510"/>
                    </a:xfrm>
                    <a:prstGeom prst="rect">
                      <a:avLst/>
                    </a:prstGeom>
                    <a:noFill/>
                  </pic:spPr>
                </pic:pic>
              </a:graphicData>
            </a:graphic>
          </wp:anchor>
        </w:drawing>
      </w:r>
    </w:p>
    <w:p>
      <w:pPr>
        <w:sectPr>
          <w:pgSz w:w="11900" w:h="16838" w:orient="portrait"/>
          <w:cols w:equalWidth="0" w:num="1">
            <w:col w:w="11140"/>
          </w:cols>
          <w:pgMar w:left="320" w:top="265"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080"/>
        <w:spacing w:after="0"/>
        <w:rPr>
          <w:sz w:val="20"/>
          <w:szCs w:val="20"/>
          <w:color w:val="auto"/>
        </w:rPr>
      </w:pPr>
      <w:r>
        <w:rPr>
          <w:rFonts w:ascii="Arial" w:cs="Arial" w:eastAsia="Arial" w:hAnsi="Arial"/>
          <w:sz w:val="31"/>
          <w:szCs w:val="31"/>
          <w:b w:val="1"/>
          <w:bCs w:val="1"/>
          <w:color w:val="002875"/>
        </w:rPr>
        <w:t>Proposals</w:t>
      </w:r>
    </w:p>
    <w:p>
      <w:pPr>
        <w:spacing w:after="0" w:line="292" w:lineRule="exact"/>
        <w:rPr>
          <w:sz w:val="20"/>
          <w:szCs w:val="20"/>
          <w:color w:val="auto"/>
        </w:rPr>
      </w:pPr>
    </w:p>
    <w:p>
      <w:pPr>
        <w:ind w:left="1080"/>
        <w:spacing w:after="0"/>
        <w:rPr>
          <w:sz w:val="20"/>
          <w:szCs w:val="20"/>
          <w:color w:val="auto"/>
        </w:rPr>
      </w:pPr>
      <w:r>
        <w:rPr>
          <w:rFonts w:ascii="Arial" w:cs="Arial" w:eastAsia="Arial" w:hAnsi="Arial"/>
          <w:sz w:val="20"/>
          <w:szCs w:val="20"/>
          <w:b w:val="1"/>
          <w:bCs w:val="1"/>
          <w:color w:val="3F3F3F"/>
        </w:rPr>
        <w:t>Proposal No. 1 – Election of 12 Directors</w:t>
      </w:r>
    </w:p>
    <w:p>
      <w:pPr>
        <w:spacing w:after="0" w:line="130" w:lineRule="exact"/>
        <w:rPr>
          <w:sz w:val="20"/>
          <w:szCs w:val="20"/>
          <w:color w:val="auto"/>
        </w:rPr>
      </w:pPr>
    </w:p>
    <w:p>
      <w:pPr>
        <w:ind w:left="1080"/>
        <w:spacing w:after="0" w:line="272" w:lineRule="auto"/>
        <w:rPr>
          <w:sz w:val="20"/>
          <w:szCs w:val="20"/>
          <w:color w:val="auto"/>
        </w:rPr>
      </w:pPr>
      <w:r>
        <w:rPr>
          <w:rFonts w:ascii="Arial" w:cs="Arial" w:eastAsia="Arial" w:hAnsi="Arial"/>
          <w:sz w:val="17"/>
          <w:szCs w:val="17"/>
          <w:color w:val="auto"/>
        </w:rPr>
        <w:t>The Board of Directors oversees the management of the Company on your behalf. The Board reviews AFG’s long-term strategic plans and exercises direct decision-making authority in key areas such as choosing the Co-Chief Executive Officers, setting the scope of their authority to manage the Company’s business day-to-day, and evaluating senior management performance.</w:t>
      </w:r>
    </w:p>
    <w:p>
      <w:pPr>
        <w:spacing w:after="0" w:line="69" w:lineRule="exact"/>
        <w:rPr>
          <w:sz w:val="20"/>
          <w:szCs w:val="20"/>
          <w:color w:val="auto"/>
        </w:rPr>
      </w:pPr>
    </w:p>
    <w:p>
      <w:pPr>
        <w:ind w:left="1080" w:right="100"/>
        <w:spacing w:after="0" w:line="296" w:lineRule="auto"/>
        <w:rPr>
          <w:sz w:val="20"/>
          <w:szCs w:val="20"/>
          <w:color w:val="auto"/>
        </w:rPr>
      </w:pPr>
      <w:r>
        <w:rPr>
          <w:rFonts w:ascii="Arial" w:cs="Arial" w:eastAsia="Arial" w:hAnsi="Arial"/>
          <w:sz w:val="16"/>
          <w:szCs w:val="16"/>
          <w:color w:val="auto"/>
        </w:rPr>
        <w:t>Upon the recommendation of the Corporate Governance Committee, the Board of Directors has nominated 12 individuals to hold office until the next annual meeting of shareholders and until their successors are elected and qualified. If any of the nominees should become unable 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1240"/>
        <w:spacing w:after="0" w:line="287" w:lineRule="auto"/>
        <w:rPr>
          <w:sz w:val="20"/>
          <w:szCs w:val="20"/>
          <w:color w:val="auto"/>
        </w:rPr>
      </w:pPr>
      <w:r>
        <w:rPr>
          <w:rFonts w:ascii="Arial" w:cs="Arial" w:eastAsia="Arial" w:hAnsi="Arial"/>
          <w:sz w:val="16"/>
          <w:szCs w:val="16"/>
          <w:color w:val="auto"/>
        </w:rPr>
        <w:t>serve as a director, the proxies will be voted for any substitute nominee designated by the Board of Directors but, in any event, no proxy may be voted for more than</w:t>
      </w:r>
    </w:p>
    <w:p>
      <w:pPr>
        <w:spacing w:after="0" w:line="2" w:lineRule="exact"/>
        <w:rPr>
          <w:sz w:val="20"/>
          <w:szCs w:val="20"/>
          <w:color w:val="auto"/>
        </w:rPr>
      </w:pPr>
    </w:p>
    <w:p>
      <w:pPr>
        <w:ind w:right="1060"/>
        <w:spacing w:after="0" w:line="288" w:lineRule="auto"/>
        <w:rPr>
          <w:sz w:val="20"/>
          <w:szCs w:val="20"/>
          <w:color w:val="auto"/>
        </w:rPr>
      </w:pPr>
      <w:r>
        <w:rPr>
          <w:rFonts w:ascii="Arial" w:cs="Arial" w:eastAsia="Arial" w:hAnsi="Arial"/>
          <w:sz w:val="16"/>
          <w:szCs w:val="16"/>
          <w:color w:val="auto"/>
        </w:rPr>
        <w:t>12 nominees. Each nominee brings a strong and unique background and set of qualifications to the Board, giving the Board as a whole competence and experience in a wide variety of areas central to the Company’s businesses, including corporate governance and board service, executive management and entrepreneurial experience and insurance, finance, legal and accounting expertise.</w:t>
      </w:r>
    </w:p>
    <w:p>
      <w:pPr>
        <w:spacing w:after="0" w:line="60" w:lineRule="exact"/>
        <w:rPr>
          <w:sz w:val="20"/>
          <w:szCs w:val="20"/>
          <w:color w:val="auto"/>
        </w:rPr>
      </w:pPr>
    </w:p>
    <w:p>
      <w:pPr>
        <w:ind w:right="1120"/>
        <w:spacing w:after="0" w:line="277" w:lineRule="auto"/>
        <w:rPr>
          <w:sz w:val="20"/>
          <w:szCs w:val="20"/>
          <w:color w:val="auto"/>
        </w:rPr>
      </w:pPr>
      <w:r>
        <w:rPr>
          <w:rFonts w:ascii="Arial" w:cs="Arial" w:eastAsia="Arial" w:hAnsi="Arial"/>
          <w:sz w:val="18"/>
          <w:szCs w:val="18"/>
          <w:color w:val="auto"/>
        </w:rPr>
        <w:t>The nominees for election to the Board of Directors are as follows:</w:t>
      </w:r>
    </w:p>
    <w:p>
      <w:pPr>
        <w:spacing w:after="0" w:line="208" w:lineRule="exact"/>
        <w:rPr>
          <w:sz w:val="20"/>
          <w:szCs w:val="20"/>
          <w:color w:val="auto"/>
        </w:rPr>
      </w:pPr>
    </w:p>
    <w:p>
      <w:pPr>
        <w:sectPr>
          <w:pgSz w:w="11900" w:h="16838" w:orient="portrait"/>
          <w:cols w:equalWidth="0" w:num="2">
            <w:col w:w="5380" w:space="460"/>
            <w:col w:w="5300"/>
          </w:cols>
          <w:pgMar w:left="320" w:top="265" w:right="439" w:bottom="1440" w:gutter="0" w:footer="0" w:header="0"/>
          <w:type w:val="continuous"/>
        </w:sectPr>
      </w:pPr>
    </w:p>
    <w:p>
      <w:pPr>
        <w:spacing w:after="0" w:line="281" w:lineRule="exact"/>
        <w:rPr>
          <w:sz w:val="20"/>
          <w:szCs w:val="20"/>
          <w:color w:val="auto"/>
        </w:rPr>
      </w:pPr>
    </w:p>
    <w:tbl>
      <w:tblPr>
        <w:tblLayout w:type="fixed"/>
        <w:tblInd w:w="120" w:type="dxa"/>
        <w:tblCellMar>
          <w:top w:w="0" w:type="dxa"/>
          <w:left w:w="0" w:type="dxa"/>
          <w:bottom w:w="0" w:type="dxa"/>
          <w:right w:w="0" w:type="dxa"/>
        </w:tblCellMar>
      </w:tblPr>
      <w:tr>
        <w:trPr>
          <w:trHeight w:val="220"/>
        </w:trPr>
        <w:tc>
          <w:tcPr>
            <w:tcW w:w="4680" w:type="dxa"/>
            <w:vAlign w:val="bottom"/>
          </w:tcPr>
          <w:p>
            <w:pPr>
              <w:ind w:left="2920"/>
              <w:spacing w:after="0"/>
              <w:rPr>
                <w:sz w:val="20"/>
                <w:szCs w:val="20"/>
                <w:color w:val="auto"/>
              </w:rPr>
            </w:pPr>
            <w:r>
              <w:rPr>
                <w:rFonts w:ascii="Arial" w:cs="Arial" w:eastAsia="Arial" w:hAnsi="Arial"/>
                <w:sz w:val="18"/>
                <w:szCs w:val="18"/>
                <w:b w:val="1"/>
                <w:bCs w:val="1"/>
                <w:color w:val="auto"/>
              </w:rPr>
              <w:t>Carl H. Lindner III</w:t>
            </w:r>
          </w:p>
        </w:tc>
        <w:tc>
          <w:tcPr>
            <w:tcW w:w="6340" w:type="dxa"/>
            <w:vAlign w:val="bottom"/>
          </w:tcPr>
          <w:p>
            <w:pPr>
              <w:ind w:left="180"/>
              <w:spacing w:after="0"/>
              <w:rPr>
                <w:sz w:val="20"/>
                <w:szCs w:val="20"/>
                <w:color w:val="auto"/>
              </w:rPr>
            </w:pPr>
            <w:r>
              <w:rPr>
                <w:rFonts w:ascii="Arial" w:cs="Arial" w:eastAsia="Arial" w:hAnsi="Arial"/>
                <w:sz w:val="18"/>
                <w:szCs w:val="18"/>
                <w:color w:val="auto"/>
              </w:rPr>
              <w:t>Mr. Lindner has been Co-Chief Executive Officer since January 2005,</w:t>
            </w:r>
          </w:p>
        </w:tc>
        <w:tc>
          <w:tcPr>
            <w:tcW w:w="0" w:type="dxa"/>
            <w:vAlign w:val="bottom"/>
          </w:tcPr>
          <w:p>
            <w:pPr>
              <w:spacing w:after="0"/>
              <w:rPr>
                <w:sz w:val="1"/>
                <w:szCs w:val="1"/>
                <w:color w:val="auto"/>
              </w:rPr>
            </w:pPr>
          </w:p>
        </w:tc>
      </w:tr>
      <w:tr>
        <w:trPr>
          <w:trHeight w:val="216"/>
        </w:trPr>
        <w:tc>
          <w:tcPr>
            <w:tcW w:w="4680" w:type="dxa"/>
            <w:vAlign w:val="bottom"/>
            <w:vMerge w:val="restart"/>
          </w:tcPr>
          <w:p>
            <w:pPr>
              <w:ind w:left="292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66</w:t>
            </w:r>
          </w:p>
        </w:tc>
        <w:tc>
          <w:tcPr>
            <w:tcW w:w="6340" w:type="dxa"/>
            <w:vAlign w:val="bottom"/>
          </w:tcPr>
          <w:p>
            <w:pPr>
              <w:ind w:left="180"/>
              <w:spacing w:after="0"/>
              <w:rPr>
                <w:sz w:val="20"/>
                <w:szCs w:val="20"/>
                <w:color w:val="auto"/>
              </w:rPr>
            </w:pPr>
            <w:r>
              <w:rPr>
                <w:rFonts w:ascii="Arial" w:cs="Arial" w:eastAsia="Arial" w:hAnsi="Arial"/>
                <w:sz w:val="18"/>
                <w:szCs w:val="18"/>
                <w:color w:val="auto"/>
              </w:rPr>
              <w:t>and since 1996, he has served as Co-President of the Company. Until</w:t>
            </w:r>
          </w:p>
        </w:tc>
        <w:tc>
          <w:tcPr>
            <w:tcW w:w="0" w:type="dxa"/>
            <w:vAlign w:val="bottom"/>
          </w:tcPr>
          <w:p>
            <w:pPr>
              <w:spacing w:after="0"/>
              <w:rPr>
                <w:sz w:val="1"/>
                <w:szCs w:val="1"/>
                <w:color w:val="auto"/>
              </w:rPr>
            </w:pPr>
          </w:p>
        </w:tc>
      </w:tr>
      <w:tr>
        <w:trPr>
          <w:trHeight w:val="212"/>
        </w:trPr>
        <w:tc>
          <w:tcPr>
            <w:tcW w:w="4680" w:type="dxa"/>
            <w:vAlign w:val="bottom"/>
            <w:vMerge w:val="continue"/>
          </w:tcPr>
          <w:p>
            <w:pPr>
              <w:spacing w:after="0"/>
              <w:rPr>
                <w:sz w:val="18"/>
                <w:szCs w:val="18"/>
                <w:color w:val="auto"/>
              </w:rPr>
            </w:pPr>
          </w:p>
        </w:tc>
        <w:tc>
          <w:tcPr>
            <w:tcW w:w="6340" w:type="dxa"/>
            <w:vAlign w:val="bottom"/>
          </w:tcPr>
          <w:p>
            <w:pPr>
              <w:ind w:left="180"/>
              <w:spacing w:after="0"/>
              <w:rPr>
                <w:sz w:val="20"/>
                <w:szCs w:val="20"/>
                <w:color w:val="auto"/>
              </w:rPr>
            </w:pPr>
            <w:r>
              <w:rPr>
                <w:rFonts w:ascii="Arial" w:cs="Arial" w:eastAsia="Arial" w:hAnsi="Arial"/>
                <w:sz w:val="18"/>
                <w:szCs w:val="18"/>
                <w:color w:val="auto"/>
              </w:rPr>
              <w:t>2010, for over ten years, Mr. Lindner served as President, and since</w:t>
            </w:r>
          </w:p>
        </w:tc>
        <w:tc>
          <w:tcPr>
            <w:tcW w:w="0" w:type="dxa"/>
            <w:vAlign w:val="bottom"/>
          </w:tcPr>
          <w:p>
            <w:pPr>
              <w:spacing w:after="0"/>
              <w:rPr>
                <w:sz w:val="1"/>
                <w:szCs w:val="1"/>
                <w:color w:val="auto"/>
              </w:rPr>
            </w:pPr>
          </w:p>
        </w:tc>
      </w:tr>
      <w:tr>
        <w:trPr>
          <w:trHeight w:val="220"/>
        </w:trPr>
        <w:tc>
          <w:tcPr>
            <w:tcW w:w="4680" w:type="dxa"/>
            <w:vAlign w:val="bottom"/>
          </w:tcPr>
          <w:p>
            <w:pPr>
              <w:ind w:left="292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1991</w:t>
            </w:r>
          </w:p>
        </w:tc>
        <w:tc>
          <w:tcPr>
            <w:tcW w:w="6340" w:type="dxa"/>
            <w:vAlign w:val="bottom"/>
          </w:tcPr>
          <w:p>
            <w:pPr>
              <w:ind w:left="180"/>
              <w:spacing w:after="0"/>
              <w:rPr>
                <w:sz w:val="20"/>
                <w:szCs w:val="20"/>
                <w:color w:val="auto"/>
              </w:rPr>
            </w:pPr>
            <w:r>
              <w:rPr>
                <w:rFonts w:ascii="Arial" w:cs="Arial" w:eastAsia="Arial" w:hAnsi="Arial"/>
                <w:sz w:val="18"/>
                <w:szCs w:val="18"/>
                <w:color w:val="auto"/>
              </w:rPr>
              <w:t>2010, Mr. Lindner has served as CEO of AFG’s Property and Casualty</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18"/>
                <w:szCs w:val="18"/>
                <w:color w:val="auto"/>
              </w:rPr>
            </w:pPr>
          </w:p>
        </w:tc>
        <w:tc>
          <w:tcPr>
            <w:tcW w:w="6340" w:type="dxa"/>
            <w:vAlign w:val="bottom"/>
          </w:tcPr>
          <w:p>
            <w:pPr>
              <w:ind w:left="180"/>
              <w:spacing w:after="0"/>
              <w:rPr>
                <w:sz w:val="20"/>
                <w:szCs w:val="20"/>
                <w:color w:val="auto"/>
              </w:rPr>
            </w:pPr>
            <w:r>
              <w:rPr>
                <w:rFonts w:ascii="Arial" w:cs="Arial" w:eastAsia="Arial" w:hAnsi="Arial"/>
                <w:sz w:val="18"/>
                <w:szCs w:val="18"/>
                <w:color w:val="auto"/>
              </w:rPr>
              <w:t>Insurance Group and has been principally responsible for the</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18"/>
                <w:szCs w:val="18"/>
                <w:color w:val="auto"/>
              </w:rPr>
            </w:pPr>
          </w:p>
        </w:tc>
        <w:tc>
          <w:tcPr>
            <w:tcW w:w="6340" w:type="dxa"/>
            <w:vAlign w:val="bottom"/>
          </w:tcPr>
          <w:p>
            <w:pPr>
              <w:ind w:left="180"/>
              <w:spacing w:after="0"/>
              <w:rPr>
                <w:sz w:val="20"/>
                <w:szCs w:val="20"/>
                <w:color w:val="auto"/>
              </w:rPr>
            </w:pPr>
            <w:r>
              <w:rPr>
                <w:rFonts w:ascii="Arial" w:cs="Arial" w:eastAsia="Arial" w:hAnsi="Arial"/>
                <w:sz w:val="18"/>
                <w:szCs w:val="18"/>
                <w:color w:val="auto"/>
              </w:rPr>
              <w:t>Company’s property and casualty insurance operations. The Board</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18"/>
                <w:szCs w:val="18"/>
                <w:color w:val="auto"/>
              </w:rPr>
            </w:pPr>
          </w:p>
        </w:tc>
        <w:tc>
          <w:tcPr>
            <w:tcW w:w="6340" w:type="dxa"/>
            <w:vAlign w:val="bottom"/>
          </w:tcPr>
          <w:p>
            <w:pPr>
              <w:ind w:left="180"/>
              <w:spacing w:after="0"/>
              <w:rPr>
                <w:sz w:val="20"/>
                <w:szCs w:val="20"/>
                <w:color w:val="auto"/>
              </w:rPr>
            </w:pPr>
            <w:r>
              <w:rPr>
                <w:rFonts w:ascii="Arial" w:cs="Arial" w:eastAsia="Arial" w:hAnsi="Arial"/>
                <w:sz w:val="18"/>
                <w:szCs w:val="18"/>
                <w:color w:val="auto"/>
              </w:rPr>
              <w:t>believes that Mr. Lindner’s familiarity with the Company as a whole, as</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18"/>
                <w:szCs w:val="18"/>
                <w:color w:val="auto"/>
              </w:rPr>
            </w:pPr>
          </w:p>
        </w:tc>
        <w:tc>
          <w:tcPr>
            <w:tcW w:w="6340" w:type="dxa"/>
            <w:vAlign w:val="bottom"/>
          </w:tcPr>
          <w:p>
            <w:pPr>
              <w:ind w:left="180"/>
              <w:spacing w:after="0"/>
              <w:rPr>
                <w:sz w:val="20"/>
                <w:szCs w:val="20"/>
                <w:color w:val="auto"/>
              </w:rPr>
            </w:pPr>
            <w:r>
              <w:rPr>
                <w:rFonts w:ascii="Arial" w:cs="Arial" w:eastAsia="Arial" w:hAnsi="Arial"/>
                <w:sz w:val="18"/>
                <w:szCs w:val="18"/>
                <w:color w:val="auto"/>
              </w:rPr>
              <w:t>well as his experience and expertise in its core property and casualty</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18"/>
                <w:szCs w:val="18"/>
                <w:color w:val="auto"/>
              </w:rPr>
            </w:pPr>
          </w:p>
        </w:tc>
        <w:tc>
          <w:tcPr>
            <w:tcW w:w="6340" w:type="dxa"/>
            <w:vAlign w:val="bottom"/>
          </w:tcPr>
          <w:p>
            <w:pPr>
              <w:ind w:left="180"/>
              <w:spacing w:after="0"/>
              <w:rPr>
                <w:sz w:val="20"/>
                <w:szCs w:val="20"/>
                <w:color w:val="auto"/>
              </w:rPr>
            </w:pPr>
            <w:r>
              <w:rPr>
                <w:rFonts w:ascii="Arial" w:cs="Arial" w:eastAsia="Arial" w:hAnsi="Arial"/>
                <w:sz w:val="18"/>
                <w:szCs w:val="18"/>
                <w:color w:val="auto"/>
              </w:rPr>
              <w:t>insurance businesses, makes his service on the Board of Directors</w:t>
            </w:r>
          </w:p>
        </w:tc>
        <w:tc>
          <w:tcPr>
            <w:tcW w:w="0" w:type="dxa"/>
            <w:vAlign w:val="bottom"/>
          </w:tcPr>
          <w:p>
            <w:pPr>
              <w:spacing w:after="0"/>
              <w:rPr>
                <w:sz w:val="1"/>
                <w:szCs w:val="1"/>
                <w:color w:val="auto"/>
              </w:rPr>
            </w:pPr>
          </w:p>
        </w:tc>
      </w:tr>
      <w:tr>
        <w:trPr>
          <w:trHeight w:val="230"/>
        </w:trPr>
        <w:tc>
          <w:tcPr>
            <w:tcW w:w="4680" w:type="dxa"/>
            <w:vAlign w:val="bottom"/>
          </w:tcPr>
          <w:p>
            <w:pPr>
              <w:spacing w:after="0"/>
              <w:rPr>
                <w:sz w:val="20"/>
                <w:szCs w:val="20"/>
                <w:color w:val="auto"/>
              </w:rPr>
            </w:pPr>
          </w:p>
        </w:tc>
        <w:tc>
          <w:tcPr>
            <w:tcW w:w="6340" w:type="dxa"/>
            <w:vAlign w:val="bottom"/>
          </w:tcPr>
          <w:p>
            <w:pPr>
              <w:ind w:left="180"/>
              <w:spacing w:after="0"/>
              <w:rPr>
                <w:sz w:val="20"/>
                <w:szCs w:val="20"/>
                <w:color w:val="auto"/>
              </w:rPr>
            </w:pPr>
            <w:r>
              <w:rPr>
                <w:rFonts w:ascii="Arial" w:cs="Arial" w:eastAsia="Arial" w:hAnsi="Arial"/>
                <w:sz w:val="18"/>
                <w:szCs w:val="18"/>
                <w:color w:val="auto"/>
              </w:rPr>
              <w:t>extremely beneficial to the Company.</w:t>
            </w:r>
          </w:p>
        </w:tc>
        <w:tc>
          <w:tcPr>
            <w:tcW w:w="0" w:type="dxa"/>
            <w:vAlign w:val="bottom"/>
          </w:tcPr>
          <w:p>
            <w:pPr>
              <w:spacing w:after="0"/>
              <w:rPr>
                <w:sz w:val="1"/>
                <w:szCs w:val="1"/>
                <w:color w:val="auto"/>
              </w:rPr>
            </w:pPr>
          </w:p>
        </w:tc>
      </w:tr>
      <w:tr>
        <w:trPr>
          <w:trHeight w:val="971"/>
        </w:trPr>
        <w:tc>
          <w:tcPr>
            <w:tcW w:w="4680" w:type="dxa"/>
            <w:vAlign w:val="bottom"/>
          </w:tcPr>
          <w:p>
            <w:pPr>
              <w:ind w:left="2920"/>
              <w:spacing w:after="0"/>
              <w:rPr>
                <w:sz w:val="20"/>
                <w:szCs w:val="20"/>
                <w:color w:val="auto"/>
              </w:rPr>
            </w:pPr>
            <w:r>
              <w:rPr>
                <w:rFonts w:ascii="Arial" w:cs="Arial" w:eastAsia="Arial" w:hAnsi="Arial"/>
                <w:sz w:val="18"/>
                <w:szCs w:val="18"/>
                <w:b w:val="1"/>
                <w:bCs w:val="1"/>
                <w:color w:val="auto"/>
              </w:rPr>
              <w:t>S. Craig Lindner</w:t>
            </w:r>
          </w:p>
        </w:tc>
        <w:tc>
          <w:tcPr>
            <w:tcW w:w="6340" w:type="dxa"/>
            <w:vAlign w:val="bottom"/>
          </w:tcPr>
          <w:p>
            <w:pPr>
              <w:ind w:left="180"/>
              <w:spacing w:after="0"/>
              <w:rPr>
                <w:sz w:val="20"/>
                <w:szCs w:val="20"/>
                <w:color w:val="auto"/>
              </w:rPr>
            </w:pPr>
            <w:r>
              <w:rPr>
                <w:rFonts w:ascii="Arial" w:cs="Arial" w:eastAsia="Arial" w:hAnsi="Arial"/>
                <w:sz w:val="18"/>
                <w:szCs w:val="18"/>
                <w:color w:val="auto"/>
              </w:rPr>
              <w:t>Mr. Lindner has been Co-Chief Executive Officer since January 2005,</w:t>
            </w:r>
          </w:p>
        </w:tc>
        <w:tc>
          <w:tcPr>
            <w:tcW w:w="0" w:type="dxa"/>
            <w:vAlign w:val="bottom"/>
          </w:tcPr>
          <w:p>
            <w:pPr>
              <w:spacing w:after="0"/>
              <w:rPr>
                <w:sz w:val="1"/>
                <w:szCs w:val="1"/>
                <w:color w:val="auto"/>
              </w:rPr>
            </w:pPr>
          </w:p>
        </w:tc>
      </w:tr>
      <w:tr>
        <w:trPr>
          <w:trHeight w:val="216"/>
        </w:trPr>
        <w:tc>
          <w:tcPr>
            <w:tcW w:w="4680" w:type="dxa"/>
            <w:vAlign w:val="bottom"/>
            <w:vMerge w:val="restart"/>
          </w:tcPr>
          <w:p>
            <w:pPr>
              <w:ind w:left="292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65</w:t>
            </w:r>
          </w:p>
        </w:tc>
        <w:tc>
          <w:tcPr>
            <w:tcW w:w="6340" w:type="dxa"/>
            <w:vAlign w:val="bottom"/>
          </w:tcPr>
          <w:p>
            <w:pPr>
              <w:ind w:left="180"/>
              <w:spacing w:after="0"/>
              <w:rPr>
                <w:sz w:val="20"/>
                <w:szCs w:val="20"/>
                <w:color w:val="auto"/>
              </w:rPr>
            </w:pPr>
            <w:r>
              <w:rPr>
                <w:rFonts w:ascii="Arial" w:cs="Arial" w:eastAsia="Arial" w:hAnsi="Arial"/>
                <w:sz w:val="18"/>
                <w:szCs w:val="18"/>
                <w:color w:val="auto"/>
              </w:rPr>
              <w:t>and since 1996, he has served as Co-President of the Company.</w:t>
            </w:r>
          </w:p>
        </w:tc>
        <w:tc>
          <w:tcPr>
            <w:tcW w:w="0" w:type="dxa"/>
            <w:vAlign w:val="bottom"/>
          </w:tcPr>
          <w:p>
            <w:pPr>
              <w:spacing w:after="0"/>
              <w:rPr>
                <w:sz w:val="1"/>
                <w:szCs w:val="1"/>
                <w:color w:val="auto"/>
              </w:rPr>
            </w:pPr>
          </w:p>
        </w:tc>
      </w:tr>
      <w:tr>
        <w:trPr>
          <w:trHeight w:val="212"/>
        </w:trPr>
        <w:tc>
          <w:tcPr>
            <w:tcW w:w="4680" w:type="dxa"/>
            <w:vAlign w:val="bottom"/>
            <w:vMerge w:val="continue"/>
          </w:tcPr>
          <w:p>
            <w:pPr>
              <w:spacing w:after="0"/>
              <w:rPr>
                <w:sz w:val="18"/>
                <w:szCs w:val="18"/>
                <w:color w:val="auto"/>
              </w:rPr>
            </w:pPr>
          </w:p>
        </w:tc>
        <w:tc>
          <w:tcPr>
            <w:tcW w:w="6340" w:type="dxa"/>
            <w:vAlign w:val="bottom"/>
          </w:tcPr>
          <w:p>
            <w:pPr>
              <w:ind w:left="180"/>
              <w:spacing w:after="0"/>
              <w:rPr>
                <w:sz w:val="20"/>
                <w:szCs w:val="20"/>
                <w:color w:val="auto"/>
              </w:rPr>
            </w:pPr>
            <w:r>
              <w:rPr>
                <w:rFonts w:ascii="Arial" w:cs="Arial" w:eastAsia="Arial" w:hAnsi="Arial"/>
                <w:sz w:val="18"/>
                <w:szCs w:val="18"/>
                <w:color w:val="auto"/>
              </w:rPr>
              <w:t>Mr. Lindner served as President of Great American Financial</w:t>
            </w:r>
          </w:p>
        </w:tc>
        <w:tc>
          <w:tcPr>
            <w:tcW w:w="0" w:type="dxa"/>
            <w:vAlign w:val="bottom"/>
          </w:tcPr>
          <w:p>
            <w:pPr>
              <w:spacing w:after="0"/>
              <w:rPr>
                <w:sz w:val="1"/>
                <w:szCs w:val="1"/>
                <w:color w:val="auto"/>
              </w:rPr>
            </w:pPr>
          </w:p>
        </w:tc>
      </w:tr>
      <w:tr>
        <w:trPr>
          <w:trHeight w:val="220"/>
        </w:trPr>
        <w:tc>
          <w:tcPr>
            <w:tcW w:w="4680" w:type="dxa"/>
            <w:vAlign w:val="bottom"/>
          </w:tcPr>
          <w:p>
            <w:pPr>
              <w:ind w:left="292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1985</w:t>
            </w:r>
          </w:p>
        </w:tc>
        <w:tc>
          <w:tcPr>
            <w:tcW w:w="6340" w:type="dxa"/>
            <w:vAlign w:val="bottom"/>
          </w:tcPr>
          <w:p>
            <w:pPr>
              <w:ind w:left="180"/>
              <w:spacing w:after="0"/>
              <w:rPr>
                <w:sz w:val="20"/>
                <w:szCs w:val="20"/>
                <w:color w:val="auto"/>
              </w:rPr>
            </w:pPr>
            <w:r>
              <w:rPr>
                <w:rFonts w:ascii="Arial" w:cs="Arial" w:eastAsia="Arial" w:hAnsi="Arial"/>
                <w:sz w:val="18"/>
                <w:szCs w:val="18"/>
                <w:color w:val="auto"/>
              </w:rPr>
              <w:t>Resources, Inc., a subsidiary of the Company, for more than ten years</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18"/>
                <w:szCs w:val="18"/>
                <w:color w:val="auto"/>
              </w:rPr>
            </w:pPr>
          </w:p>
        </w:tc>
        <w:tc>
          <w:tcPr>
            <w:tcW w:w="6340" w:type="dxa"/>
            <w:vAlign w:val="bottom"/>
          </w:tcPr>
          <w:p>
            <w:pPr>
              <w:ind w:left="180"/>
              <w:spacing w:after="0"/>
              <w:rPr>
                <w:sz w:val="20"/>
                <w:szCs w:val="20"/>
                <w:color w:val="auto"/>
              </w:rPr>
            </w:pPr>
            <w:r>
              <w:rPr>
                <w:rFonts w:ascii="Arial" w:cs="Arial" w:eastAsia="Arial" w:hAnsi="Arial"/>
                <w:sz w:val="18"/>
                <w:szCs w:val="18"/>
                <w:color w:val="auto"/>
              </w:rPr>
              <w:t>prior to 2018 when he was elected Chief Executive Officer and has</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18"/>
                <w:szCs w:val="18"/>
                <w:color w:val="auto"/>
              </w:rPr>
            </w:pPr>
          </w:p>
        </w:tc>
        <w:tc>
          <w:tcPr>
            <w:tcW w:w="6340" w:type="dxa"/>
            <w:vAlign w:val="bottom"/>
          </w:tcPr>
          <w:p>
            <w:pPr>
              <w:ind w:left="180"/>
              <w:spacing w:after="0"/>
              <w:rPr>
                <w:sz w:val="20"/>
                <w:szCs w:val="20"/>
                <w:color w:val="auto"/>
              </w:rPr>
            </w:pPr>
            <w:r>
              <w:rPr>
                <w:rFonts w:ascii="Arial" w:cs="Arial" w:eastAsia="Arial" w:hAnsi="Arial"/>
                <w:sz w:val="18"/>
                <w:szCs w:val="18"/>
                <w:color w:val="auto"/>
              </w:rPr>
              <w:t>been principally responsible for the Company’s annuity operations.</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18"/>
                <w:szCs w:val="18"/>
                <w:color w:val="auto"/>
              </w:rPr>
            </w:pPr>
          </w:p>
        </w:tc>
        <w:tc>
          <w:tcPr>
            <w:tcW w:w="6340" w:type="dxa"/>
            <w:vAlign w:val="bottom"/>
          </w:tcPr>
          <w:p>
            <w:pPr>
              <w:ind w:left="180"/>
              <w:spacing w:after="0"/>
              <w:rPr>
                <w:sz w:val="20"/>
                <w:szCs w:val="20"/>
                <w:color w:val="auto"/>
              </w:rPr>
            </w:pPr>
            <w:r>
              <w:rPr>
                <w:rFonts w:ascii="Arial" w:cs="Arial" w:eastAsia="Arial" w:hAnsi="Arial"/>
                <w:sz w:val="18"/>
                <w:szCs w:val="18"/>
                <w:color w:val="auto"/>
              </w:rPr>
              <w:t>Until 2011, for over ten years, Mr. Lindner served as President of</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18"/>
                <w:szCs w:val="18"/>
                <w:color w:val="auto"/>
              </w:rPr>
            </w:pPr>
          </w:p>
        </w:tc>
        <w:tc>
          <w:tcPr>
            <w:tcW w:w="6340" w:type="dxa"/>
            <w:vAlign w:val="bottom"/>
          </w:tcPr>
          <w:p>
            <w:pPr>
              <w:ind w:left="180"/>
              <w:spacing w:after="0"/>
              <w:rPr>
                <w:sz w:val="20"/>
                <w:szCs w:val="20"/>
                <w:color w:val="auto"/>
              </w:rPr>
            </w:pPr>
            <w:r>
              <w:rPr>
                <w:rFonts w:ascii="Arial" w:cs="Arial" w:eastAsia="Arial" w:hAnsi="Arial"/>
                <w:sz w:val="18"/>
                <w:szCs w:val="18"/>
                <w:color w:val="auto"/>
              </w:rPr>
              <w:t>American Money Management Corporation (“AMMC”), a subsidiary</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18"/>
                <w:szCs w:val="18"/>
                <w:color w:val="auto"/>
              </w:rPr>
            </w:pPr>
          </w:p>
        </w:tc>
        <w:tc>
          <w:tcPr>
            <w:tcW w:w="6340" w:type="dxa"/>
            <w:vAlign w:val="bottom"/>
          </w:tcPr>
          <w:p>
            <w:pPr>
              <w:ind w:left="180"/>
              <w:spacing w:after="0"/>
              <w:rPr>
                <w:sz w:val="20"/>
                <w:szCs w:val="20"/>
                <w:color w:val="auto"/>
              </w:rPr>
            </w:pPr>
            <w:r>
              <w:rPr>
                <w:rFonts w:ascii="Arial" w:cs="Arial" w:eastAsia="Arial" w:hAnsi="Arial"/>
                <w:sz w:val="18"/>
                <w:szCs w:val="18"/>
                <w:color w:val="auto"/>
              </w:rPr>
              <w:t>that provides investment services for the Company and certain of its</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18"/>
                <w:szCs w:val="18"/>
                <w:color w:val="auto"/>
              </w:rPr>
            </w:pPr>
          </w:p>
        </w:tc>
        <w:tc>
          <w:tcPr>
            <w:tcW w:w="6340" w:type="dxa"/>
            <w:vAlign w:val="bottom"/>
          </w:tcPr>
          <w:p>
            <w:pPr>
              <w:ind w:left="180"/>
              <w:spacing w:after="0"/>
              <w:rPr>
                <w:sz w:val="20"/>
                <w:szCs w:val="20"/>
                <w:color w:val="auto"/>
              </w:rPr>
            </w:pPr>
            <w:r>
              <w:rPr>
                <w:rFonts w:ascii="Arial" w:cs="Arial" w:eastAsia="Arial" w:hAnsi="Arial"/>
                <w:sz w:val="18"/>
                <w:szCs w:val="18"/>
                <w:color w:val="auto"/>
              </w:rPr>
              <w:t>affiliated companies, and Mr. Lindner continues to be primarily</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18"/>
                <w:szCs w:val="18"/>
                <w:color w:val="auto"/>
              </w:rPr>
            </w:pPr>
          </w:p>
        </w:tc>
        <w:tc>
          <w:tcPr>
            <w:tcW w:w="6340" w:type="dxa"/>
            <w:vAlign w:val="bottom"/>
          </w:tcPr>
          <w:p>
            <w:pPr>
              <w:ind w:left="180"/>
              <w:spacing w:after="0"/>
              <w:rPr>
                <w:sz w:val="20"/>
                <w:szCs w:val="20"/>
                <w:color w:val="auto"/>
              </w:rPr>
            </w:pPr>
            <w:r>
              <w:rPr>
                <w:rFonts w:ascii="Arial" w:cs="Arial" w:eastAsia="Arial" w:hAnsi="Arial"/>
                <w:sz w:val="18"/>
                <w:szCs w:val="18"/>
                <w:color w:val="auto"/>
              </w:rPr>
              <w:t>responsible for the Company’s investment portfolio. The Board</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18"/>
                <w:szCs w:val="18"/>
                <w:color w:val="auto"/>
              </w:rPr>
            </w:pPr>
          </w:p>
        </w:tc>
        <w:tc>
          <w:tcPr>
            <w:tcW w:w="6340" w:type="dxa"/>
            <w:vAlign w:val="bottom"/>
          </w:tcPr>
          <w:p>
            <w:pPr>
              <w:ind w:left="180"/>
              <w:spacing w:after="0"/>
              <w:rPr>
                <w:sz w:val="20"/>
                <w:szCs w:val="20"/>
                <w:color w:val="auto"/>
              </w:rPr>
            </w:pPr>
            <w:r>
              <w:rPr>
                <w:rFonts w:ascii="Arial" w:cs="Arial" w:eastAsia="Arial" w:hAnsi="Arial"/>
                <w:sz w:val="18"/>
                <w:szCs w:val="18"/>
                <w:color w:val="auto"/>
              </w:rPr>
              <w:t>believes that Mr. Lindner’s familiarity with the Company as a whole, as</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18"/>
                <w:szCs w:val="18"/>
                <w:color w:val="auto"/>
              </w:rPr>
            </w:pPr>
          </w:p>
        </w:tc>
        <w:tc>
          <w:tcPr>
            <w:tcW w:w="6340" w:type="dxa"/>
            <w:vAlign w:val="bottom"/>
          </w:tcPr>
          <w:p>
            <w:pPr>
              <w:ind w:left="180"/>
              <w:spacing w:after="0"/>
              <w:rPr>
                <w:sz w:val="20"/>
                <w:szCs w:val="20"/>
                <w:color w:val="auto"/>
              </w:rPr>
            </w:pPr>
            <w:r>
              <w:rPr>
                <w:rFonts w:ascii="Arial" w:cs="Arial" w:eastAsia="Arial" w:hAnsi="Arial"/>
                <w:sz w:val="18"/>
                <w:szCs w:val="18"/>
                <w:color w:val="auto"/>
              </w:rPr>
              <w:t>well as his experience and expertise in its core annuity operations and</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18"/>
                <w:szCs w:val="18"/>
                <w:color w:val="auto"/>
              </w:rPr>
            </w:pPr>
          </w:p>
        </w:tc>
        <w:tc>
          <w:tcPr>
            <w:tcW w:w="6340" w:type="dxa"/>
            <w:vAlign w:val="bottom"/>
          </w:tcPr>
          <w:p>
            <w:pPr>
              <w:ind w:left="180"/>
              <w:spacing w:after="0"/>
              <w:rPr>
                <w:sz w:val="20"/>
                <w:szCs w:val="20"/>
                <w:color w:val="auto"/>
              </w:rPr>
            </w:pPr>
            <w:r>
              <w:rPr>
                <w:rFonts w:ascii="Arial" w:cs="Arial" w:eastAsia="Arial" w:hAnsi="Arial"/>
                <w:sz w:val="18"/>
                <w:szCs w:val="18"/>
                <w:color w:val="auto"/>
              </w:rPr>
              <w:t>the Company’s investment portfolio, makes his service on the Board of</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18"/>
                <w:szCs w:val="18"/>
                <w:color w:val="auto"/>
              </w:rPr>
            </w:pPr>
          </w:p>
        </w:tc>
        <w:tc>
          <w:tcPr>
            <w:tcW w:w="6340" w:type="dxa"/>
            <w:vAlign w:val="bottom"/>
          </w:tcPr>
          <w:p>
            <w:pPr>
              <w:ind w:left="180"/>
              <w:spacing w:after="0"/>
              <w:rPr>
                <w:sz w:val="20"/>
                <w:szCs w:val="20"/>
                <w:color w:val="auto"/>
              </w:rPr>
            </w:pPr>
            <w:r>
              <w:rPr>
                <w:rFonts w:ascii="Arial" w:cs="Arial" w:eastAsia="Arial" w:hAnsi="Arial"/>
                <w:sz w:val="18"/>
                <w:szCs w:val="18"/>
                <w:color w:val="auto"/>
              </w:rPr>
              <w:t>Directors extremely beneficial to the Company. Mr. Lindner and</w:t>
            </w:r>
          </w:p>
        </w:tc>
        <w:tc>
          <w:tcPr>
            <w:tcW w:w="0" w:type="dxa"/>
            <w:vAlign w:val="bottom"/>
          </w:tcPr>
          <w:p>
            <w:pPr>
              <w:spacing w:after="0"/>
              <w:rPr>
                <w:sz w:val="1"/>
                <w:szCs w:val="1"/>
                <w:color w:val="auto"/>
              </w:rPr>
            </w:pPr>
          </w:p>
        </w:tc>
      </w:tr>
      <w:tr>
        <w:trPr>
          <w:trHeight w:val="230"/>
        </w:trPr>
        <w:tc>
          <w:tcPr>
            <w:tcW w:w="4680" w:type="dxa"/>
            <w:vAlign w:val="bottom"/>
          </w:tcPr>
          <w:p>
            <w:pPr>
              <w:spacing w:after="0"/>
              <w:rPr>
                <w:sz w:val="20"/>
                <w:szCs w:val="20"/>
                <w:color w:val="auto"/>
              </w:rPr>
            </w:pPr>
          </w:p>
        </w:tc>
        <w:tc>
          <w:tcPr>
            <w:tcW w:w="6340" w:type="dxa"/>
            <w:vAlign w:val="bottom"/>
          </w:tcPr>
          <w:p>
            <w:pPr>
              <w:ind w:left="180"/>
              <w:spacing w:after="0"/>
              <w:rPr>
                <w:sz w:val="20"/>
                <w:szCs w:val="20"/>
                <w:color w:val="auto"/>
              </w:rPr>
            </w:pPr>
            <w:r>
              <w:rPr>
                <w:rFonts w:ascii="Arial" w:cs="Arial" w:eastAsia="Arial" w:hAnsi="Arial"/>
                <w:sz w:val="18"/>
                <w:szCs w:val="18"/>
                <w:color w:val="auto"/>
              </w:rPr>
              <w:t>Carl H. Lindner III are brothers.</w:t>
            </w:r>
          </w:p>
        </w:tc>
        <w:tc>
          <w:tcPr>
            <w:tcW w:w="0" w:type="dxa"/>
            <w:vAlign w:val="bottom"/>
          </w:tcPr>
          <w:p>
            <w:pPr>
              <w:spacing w:after="0"/>
              <w:rPr>
                <w:sz w:val="1"/>
                <w:szCs w:val="1"/>
                <w:color w:val="auto"/>
              </w:rPr>
            </w:pPr>
          </w:p>
        </w:tc>
      </w:tr>
      <w:tr>
        <w:trPr>
          <w:trHeight w:val="844"/>
        </w:trPr>
        <w:tc>
          <w:tcPr>
            <w:tcW w:w="4680" w:type="dxa"/>
            <w:vAlign w:val="bottom"/>
          </w:tcPr>
          <w:p>
            <w:pPr>
              <w:ind w:left="1040"/>
              <w:spacing w:after="0"/>
              <w:rPr>
                <w:sz w:val="20"/>
                <w:szCs w:val="20"/>
                <w:color w:val="auto"/>
              </w:rPr>
            </w:pPr>
            <w:r>
              <w:rPr>
                <w:rFonts w:ascii="Arial" w:cs="Arial" w:eastAsia="Arial" w:hAnsi="Arial"/>
                <w:sz w:val="16"/>
                <w:szCs w:val="16"/>
                <w:color w:val="auto"/>
              </w:rPr>
              <w:t>2020 Proxy Statement | Proposals</w:t>
            </w:r>
          </w:p>
        </w:tc>
        <w:tc>
          <w:tcPr>
            <w:tcW w:w="6340" w:type="dxa"/>
            <w:vAlign w:val="bottom"/>
          </w:tcPr>
          <w:p>
            <w:pPr>
              <w:ind w:left="526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89"/>
        </w:trPr>
        <w:tc>
          <w:tcPr>
            <w:tcW w:w="4680" w:type="dxa"/>
            <w:vAlign w:val="bottom"/>
            <w:tcBorders>
              <w:bottom w:val="single" w:sz="8" w:color="auto"/>
            </w:tcBorders>
          </w:tcPr>
          <w:p>
            <w:pPr>
              <w:spacing w:after="0"/>
              <w:rPr>
                <w:sz w:val="16"/>
                <w:szCs w:val="16"/>
                <w:color w:val="auto"/>
              </w:rPr>
            </w:pPr>
          </w:p>
        </w:tc>
        <w:tc>
          <w:tcPr>
            <w:tcW w:w="6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776605</wp:posOffset>
            </wp:positionH>
            <wp:positionV relativeFrom="paragraph">
              <wp:posOffset>-4723130</wp:posOffset>
            </wp:positionV>
            <wp:extent cx="934085" cy="12433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34085" cy="124333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-2862580</wp:posOffset>
            </wp:positionV>
            <wp:extent cx="934085" cy="12433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34085" cy="1243330"/>
                    </a:xfrm>
                    <a:prstGeom prst="rect">
                      <a:avLst/>
                    </a:prstGeom>
                    <a:noFill/>
                  </pic:spPr>
                </pic:pic>
              </a:graphicData>
            </a:graphic>
          </wp:anchor>
        </w:drawing>
      </w:r>
    </w:p>
    <w:p>
      <w:pPr>
        <w:sectPr>
          <w:pgSz w:w="11900" w:h="16838" w:orient="portrait"/>
          <w:cols w:equalWidth="0" w:num="1">
            <w:col w:w="11140"/>
          </w:cols>
          <w:pgMar w:left="320" w:top="265" w:right="439" w:bottom="1440" w:gutter="0" w:footer="0" w:header="0"/>
          <w:type w:val="continuous"/>
        </w:sectPr>
      </w:pPr>
    </w:p>
    <w:bookmarkStart w:id="12" w:name="page13"/>
    <w:bookmarkEnd w:id="12"/>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6515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3040" w:type="dxa"/>
        <w:tblCellMar>
          <w:top w:w="0" w:type="dxa"/>
          <w:left w:w="0" w:type="dxa"/>
          <w:bottom w:w="0" w:type="dxa"/>
          <w:right w:w="0" w:type="dxa"/>
        </w:tblCellMar>
      </w:tblPr>
      <w:tr>
        <w:trPr>
          <w:trHeight w:val="220"/>
        </w:trPr>
        <w:tc>
          <w:tcPr>
            <w:tcW w:w="1760" w:type="dxa"/>
            <w:vAlign w:val="bottom"/>
          </w:tcPr>
          <w:p>
            <w:pPr>
              <w:spacing w:after="0"/>
              <w:rPr>
                <w:sz w:val="20"/>
                <w:szCs w:val="20"/>
                <w:color w:val="auto"/>
              </w:rPr>
            </w:pPr>
            <w:r>
              <w:rPr>
                <w:rFonts w:ascii="Arial" w:cs="Arial" w:eastAsia="Arial" w:hAnsi="Arial"/>
                <w:sz w:val="18"/>
                <w:szCs w:val="18"/>
                <w:b w:val="1"/>
                <w:bCs w:val="1"/>
                <w:color w:val="auto"/>
              </w:rPr>
              <w:t>Gregory G. Joseph</w:t>
            </w:r>
          </w:p>
        </w:tc>
        <w:tc>
          <w:tcPr>
            <w:tcW w:w="5360" w:type="dxa"/>
            <w:vAlign w:val="bottom"/>
          </w:tcPr>
          <w:p>
            <w:pPr>
              <w:ind w:left="180"/>
              <w:spacing w:after="0"/>
              <w:rPr>
                <w:sz w:val="20"/>
                <w:szCs w:val="20"/>
                <w:color w:val="auto"/>
              </w:rPr>
            </w:pPr>
            <w:r>
              <w:rPr>
                <w:rFonts w:ascii="Arial" w:cs="Arial" w:eastAsia="Arial" w:hAnsi="Arial"/>
                <w:sz w:val="18"/>
                <w:szCs w:val="18"/>
                <w:color w:val="auto"/>
                <w:w w:val="98"/>
              </w:rPr>
              <w:t>Mr. Joseph, an attorney, has been an executive and a principal of</w:t>
            </w:r>
          </w:p>
        </w:tc>
        <w:tc>
          <w:tcPr>
            <w:tcW w:w="0" w:type="dxa"/>
            <w:vAlign w:val="bottom"/>
          </w:tcPr>
          <w:p>
            <w:pPr>
              <w:spacing w:after="0"/>
              <w:rPr>
                <w:sz w:val="1"/>
                <w:szCs w:val="1"/>
                <w:color w:val="auto"/>
              </w:rPr>
            </w:pPr>
          </w:p>
        </w:tc>
      </w:tr>
      <w:tr>
        <w:trPr>
          <w:trHeight w:val="216"/>
        </w:trPr>
        <w:tc>
          <w:tcPr>
            <w:tcW w:w="1760" w:type="dxa"/>
            <w:vAlign w:val="bottom"/>
            <w:vMerge w:val="restart"/>
          </w:tcPr>
          <w:p>
            <w:pPr>
              <w:spacing w:after="0"/>
              <w:rPr>
                <w:sz w:val="20"/>
                <w:szCs w:val="20"/>
                <w:color w:val="auto"/>
              </w:rPr>
            </w:pPr>
            <w:r>
              <w:rPr>
                <w:rFonts w:ascii="Arial" w:cs="Arial" w:eastAsia="Arial" w:hAnsi="Arial"/>
                <w:sz w:val="18"/>
                <w:szCs w:val="18"/>
                <w:b w:val="1"/>
                <w:bCs w:val="1"/>
                <w:color w:val="auto"/>
              </w:rPr>
              <w:t>Lead Independent</w:t>
            </w:r>
          </w:p>
        </w:tc>
        <w:tc>
          <w:tcPr>
            <w:tcW w:w="5360" w:type="dxa"/>
            <w:vAlign w:val="bottom"/>
          </w:tcPr>
          <w:p>
            <w:pPr>
              <w:ind w:left="180"/>
              <w:spacing w:after="0"/>
              <w:rPr>
                <w:sz w:val="20"/>
                <w:szCs w:val="20"/>
                <w:color w:val="auto"/>
              </w:rPr>
            </w:pPr>
            <w:r>
              <w:rPr>
                <w:rFonts w:ascii="Arial" w:cs="Arial" w:eastAsia="Arial" w:hAnsi="Arial"/>
                <w:sz w:val="18"/>
                <w:szCs w:val="18"/>
                <w:color w:val="auto"/>
                <w:w w:val="91"/>
              </w:rPr>
              <w:t>various automotive retailers in the Greater Cincinnati, Ohio area known</w:t>
            </w:r>
          </w:p>
        </w:tc>
        <w:tc>
          <w:tcPr>
            <w:tcW w:w="0" w:type="dxa"/>
            <w:vAlign w:val="bottom"/>
          </w:tcPr>
          <w:p>
            <w:pPr>
              <w:spacing w:after="0"/>
              <w:rPr>
                <w:sz w:val="1"/>
                <w:szCs w:val="1"/>
                <w:color w:val="auto"/>
              </w:rPr>
            </w:pPr>
          </w:p>
        </w:tc>
      </w:tr>
      <w:tr>
        <w:trPr>
          <w:trHeight w:val="212"/>
        </w:trPr>
        <w:tc>
          <w:tcPr>
            <w:tcW w:w="1760" w:type="dxa"/>
            <w:vAlign w:val="bottom"/>
            <w:vMerge w:val="continue"/>
          </w:tcPr>
          <w:p>
            <w:pPr>
              <w:spacing w:after="0"/>
              <w:rPr>
                <w:sz w:val="18"/>
                <w:szCs w:val="18"/>
                <w:color w:val="auto"/>
              </w:rPr>
            </w:pPr>
          </w:p>
        </w:tc>
        <w:tc>
          <w:tcPr>
            <w:tcW w:w="5360" w:type="dxa"/>
            <w:vAlign w:val="bottom"/>
          </w:tcPr>
          <w:p>
            <w:pPr>
              <w:ind w:left="180"/>
              <w:spacing w:after="0"/>
              <w:rPr>
                <w:sz w:val="20"/>
                <w:szCs w:val="20"/>
                <w:color w:val="auto"/>
              </w:rPr>
            </w:pPr>
            <w:r>
              <w:rPr>
                <w:rFonts w:ascii="Arial" w:cs="Arial" w:eastAsia="Arial" w:hAnsi="Arial"/>
                <w:sz w:val="18"/>
                <w:szCs w:val="18"/>
                <w:color w:val="auto"/>
                <w:w w:val="91"/>
              </w:rPr>
              <w:t>as the Joseph Automotive Group for more than five years. Since 2005,</w:t>
            </w:r>
          </w:p>
        </w:tc>
        <w:tc>
          <w:tcPr>
            <w:tcW w:w="0" w:type="dxa"/>
            <w:vAlign w:val="bottom"/>
          </w:tcPr>
          <w:p>
            <w:pPr>
              <w:spacing w:after="0"/>
              <w:rPr>
                <w:sz w:val="1"/>
                <w:szCs w:val="1"/>
                <w:color w:val="auto"/>
              </w:rPr>
            </w:pPr>
          </w:p>
        </w:tc>
      </w:tr>
      <w:tr>
        <w:trPr>
          <w:trHeight w:val="220"/>
        </w:trPr>
        <w:tc>
          <w:tcPr>
            <w:tcW w:w="1760" w:type="dxa"/>
            <w:vAlign w:val="bottom"/>
          </w:tcPr>
          <w:p>
            <w:pPr>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2019</w:t>
            </w:r>
          </w:p>
        </w:tc>
        <w:tc>
          <w:tcPr>
            <w:tcW w:w="5360" w:type="dxa"/>
            <w:vAlign w:val="bottom"/>
          </w:tcPr>
          <w:p>
            <w:pPr>
              <w:ind w:left="180"/>
              <w:spacing w:after="0"/>
              <w:rPr>
                <w:sz w:val="20"/>
                <w:szCs w:val="20"/>
                <w:color w:val="auto"/>
              </w:rPr>
            </w:pPr>
            <w:r>
              <w:rPr>
                <w:rFonts w:ascii="Arial" w:cs="Arial" w:eastAsia="Arial" w:hAnsi="Arial"/>
                <w:sz w:val="18"/>
                <w:szCs w:val="18"/>
                <w:color w:val="auto"/>
                <w:w w:val="91"/>
              </w:rPr>
              <w:t>Mr. Joseph has served on the Board of Trustees of Xavier University, a</w:t>
            </w:r>
          </w:p>
        </w:tc>
        <w:tc>
          <w:tcPr>
            <w:tcW w:w="0" w:type="dxa"/>
            <w:vAlign w:val="bottom"/>
          </w:tcPr>
          <w:p>
            <w:pPr>
              <w:spacing w:after="0"/>
              <w:rPr>
                <w:sz w:val="1"/>
                <w:szCs w:val="1"/>
                <w:color w:val="auto"/>
              </w:rPr>
            </w:pPr>
          </w:p>
        </w:tc>
      </w:tr>
      <w:tr>
        <w:trPr>
          <w:trHeight w:val="216"/>
        </w:trPr>
        <w:tc>
          <w:tcPr>
            <w:tcW w:w="1760" w:type="dxa"/>
            <w:vAlign w:val="bottom"/>
            <w:vMerge w:val="restart"/>
          </w:tcPr>
          <w:p>
            <w:pPr>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57</w:t>
            </w:r>
          </w:p>
        </w:tc>
        <w:tc>
          <w:tcPr>
            <w:tcW w:w="5360" w:type="dxa"/>
            <w:vAlign w:val="bottom"/>
          </w:tcPr>
          <w:p>
            <w:pPr>
              <w:ind w:left="180"/>
              <w:spacing w:after="0"/>
              <w:rPr>
                <w:sz w:val="20"/>
                <w:szCs w:val="20"/>
                <w:color w:val="auto"/>
              </w:rPr>
            </w:pPr>
            <w:r>
              <w:rPr>
                <w:rFonts w:ascii="Arial" w:cs="Arial" w:eastAsia="Arial" w:hAnsi="Arial"/>
                <w:sz w:val="18"/>
                <w:szCs w:val="18"/>
                <w:color w:val="auto"/>
                <w:w w:val="94"/>
              </w:rPr>
              <w:t>private university located in Cincinnati, Ohio. He served on the board</w:t>
            </w:r>
          </w:p>
        </w:tc>
        <w:tc>
          <w:tcPr>
            <w:tcW w:w="0" w:type="dxa"/>
            <w:vAlign w:val="bottom"/>
          </w:tcPr>
          <w:p>
            <w:pPr>
              <w:spacing w:after="0"/>
              <w:rPr>
                <w:sz w:val="1"/>
                <w:szCs w:val="1"/>
                <w:color w:val="auto"/>
              </w:rPr>
            </w:pPr>
          </w:p>
        </w:tc>
      </w:tr>
      <w:tr>
        <w:trPr>
          <w:trHeight w:val="212"/>
        </w:trPr>
        <w:tc>
          <w:tcPr>
            <w:tcW w:w="1760" w:type="dxa"/>
            <w:vAlign w:val="bottom"/>
            <w:vMerge w:val="continue"/>
          </w:tcPr>
          <w:p>
            <w:pPr>
              <w:spacing w:after="0"/>
              <w:rPr>
                <w:sz w:val="18"/>
                <w:szCs w:val="18"/>
                <w:color w:val="auto"/>
              </w:rPr>
            </w:pPr>
          </w:p>
        </w:tc>
        <w:tc>
          <w:tcPr>
            <w:tcW w:w="5360" w:type="dxa"/>
            <w:vAlign w:val="bottom"/>
          </w:tcPr>
          <w:p>
            <w:pPr>
              <w:ind w:left="180"/>
              <w:spacing w:after="0"/>
              <w:rPr>
                <w:sz w:val="20"/>
                <w:szCs w:val="20"/>
                <w:color w:val="auto"/>
              </w:rPr>
            </w:pPr>
            <w:r>
              <w:rPr>
                <w:rFonts w:ascii="Arial" w:cs="Arial" w:eastAsia="Arial" w:hAnsi="Arial"/>
                <w:sz w:val="18"/>
                <w:szCs w:val="18"/>
                <w:color w:val="auto"/>
                <w:w w:val="94"/>
              </w:rPr>
              <w:t>of directors of Infinity Property &amp; Casualty Corporation, an insurance</w:t>
            </w:r>
          </w:p>
        </w:tc>
        <w:tc>
          <w:tcPr>
            <w:tcW w:w="0" w:type="dxa"/>
            <w:vAlign w:val="bottom"/>
          </w:tcPr>
          <w:p>
            <w:pPr>
              <w:spacing w:after="0"/>
              <w:rPr>
                <w:sz w:val="1"/>
                <w:szCs w:val="1"/>
                <w:color w:val="auto"/>
              </w:rPr>
            </w:pPr>
          </w:p>
        </w:tc>
      </w:tr>
      <w:tr>
        <w:trPr>
          <w:trHeight w:val="220"/>
        </w:trPr>
        <w:tc>
          <w:tcPr>
            <w:tcW w:w="1760" w:type="dxa"/>
            <w:vAlign w:val="bottom"/>
          </w:tcPr>
          <w:p>
            <w:pPr>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2008</w:t>
            </w:r>
          </w:p>
        </w:tc>
        <w:tc>
          <w:tcPr>
            <w:tcW w:w="5360" w:type="dxa"/>
            <w:vAlign w:val="bottom"/>
          </w:tcPr>
          <w:p>
            <w:pPr>
              <w:ind w:left="180"/>
              <w:spacing w:after="0"/>
              <w:rPr>
                <w:sz w:val="20"/>
                <w:szCs w:val="20"/>
                <w:color w:val="auto"/>
              </w:rPr>
            </w:pPr>
            <w:r>
              <w:rPr>
                <w:rFonts w:ascii="Arial" w:cs="Arial" w:eastAsia="Arial" w:hAnsi="Arial"/>
                <w:sz w:val="18"/>
                <w:szCs w:val="18"/>
                <w:color w:val="auto"/>
                <w:w w:val="93"/>
              </w:rPr>
              <w:t>company primarily offering personal automobile insurance which was</w:t>
            </w:r>
          </w:p>
        </w:tc>
        <w:tc>
          <w:tcPr>
            <w:tcW w:w="0" w:type="dxa"/>
            <w:vAlign w:val="bottom"/>
          </w:tcPr>
          <w:p>
            <w:pPr>
              <w:spacing w:after="0"/>
              <w:rPr>
                <w:sz w:val="1"/>
                <w:szCs w:val="1"/>
                <w:color w:val="auto"/>
              </w:rPr>
            </w:pPr>
          </w:p>
        </w:tc>
      </w:tr>
      <w:tr>
        <w:trPr>
          <w:trHeight w:val="216"/>
        </w:trPr>
        <w:tc>
          <w:tcPr>
            <w:tcW w:w="1760" w:type="dxa"/>
            <w:vAlign w:val="bottom"/>
            <w:vMerge w:val="restart"/>
          </w:tcPr>
          <w:p>
            <w:pPr>
              <w:spacing w:after="0"/>
              <w:rPr>
                <w:sz w:val="20"/>
                <w:szCs w:val="20"/>
                <w:color w:val="auto"/>
              </w:rPr>
            </w:pPr>
            <w:r>
              <w:rPr>
                <w:rFonts w:ascii="Arial" w:cs="Arial" w:eastAsia="Arial" w:hAnsi="Arial"/>
                <w:sz w:val="18"/>
                <w:szCs w:val="18"/>
                <w:b w:val="1"/>
                <w:bCs w:val="1"/>
                <w:color w:val="auto"/>
              </w:rPr>
              <w:t>Board Committees:</w:t>
            </w:r>
          </w:p>
        </w:tc>
        <w:tc>
          <w:tcPr>
            <w:tcW w:w="5360" w:type="dxa"/>
            <w:vAlign w:val="bottom"/>
          </w:tcPr>
          <w:p>
            <w:pPr>
              <w:ind w:left="180"/>
              <w:spacing w:after="0"/>
              <w:rPr>
                <w:sz w:val="20"/>
                <w:szCs w:val="20"/>
                <w:color w:val="auto"/>
              </w:rPr>
            </w:pPr>
            <w:r>
              <w:rPr>
                <w:rFonts w:ascii="Arial" w:cs="Arial" w:eastAsia="Arial" w:hAnsi="Arial"/>
                <w:sz w:val="18"/>
                <w:szCs w:val="18"/>
                <w:color w:val="auto"/>
                <w:w w:val="94"/>
              </w:rPr>
              <w:t>purchased by Kemper Corp. in 2018, from 2003 to 2008, the last two</w:t>
            </w:r>
          </w:p>
        </w:tc>
        <w:tc>
          <w:tcPr>
            <w:tcW w:w="0" w:type="dxa"/>
            <w:vAlign w:val="bottom"/>
          </w:tcPr>
          <w:p>
            <w:pPr>
              <w:spacing w:after="0"/>
              <w:rPr>
                <w:sz w:val="1"/>
                <w:szCs w:val="1"/>
                <w:color w:val="auto"/>
              </w:rPr>
            </w:pPr>
          </w:p>
        </w:tc>
      </w:tr>
      <w:tr>
        <w:trPr>
          <w:trHeight w:val="216"/>
        </w:trPr>
        <w:tc>
          <w:tcPr>
            <w:tcW w:w="1760" w:type="dxa"/>
            <w:vAlign w:val="bottom"/>
            <w:vMerge w:val="continue"/>
          </w:tcPr>
          <w:p>
            <w:pPr>
              <w:spacing w:after="0"/>
              <w:rPr>
                <w:sz w:val="18"/>
                <w:szCs w:val="18"/>
                <w:color w:val="auto"/>
              </w:rPr>
            </w:pPr>
          </w:p>
        </w:tc>
        <w:tc>
          <w:tcPr>
            <w:tcW w:w="5360" w:type="dxa"/>
            <w:vAlign w:val="bottom"/>
          </w:tcPr>
          <w:p>
            <w:pPr>
              <w:ind w:left="180"/>
              <w:spacing w:after="0"/>
              <w:rPr>
                <w:sz w:val="20"/>
                <w:szCs w:val="20"/>
                <w:color w:val="auto"/>
              </w:rPr>
            </w:pPr>
            <w:r>
              <w:rPr>
                <w:rFonts w:ascii="Arial" w:cs="Arial" w:eastAsia="Arial" w:hAnsi="Arial"/>
                <w:sz w:val="18"/>
                <w:szCs w:val="18"/>
                <w:color w:val="auto"/>
                <w:w w:val="93"/>
              </w:rPr>
              <w:t>years as the lead director. Mr. Joseph’s service as a lead director of a</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Audit (Chair)</w:t>
            </w:r>
          </w:p>
        </w:tc>
        <w:tc>
          <w:tcPr>
            <w:tcW w:w="5360" w:type="dxa"/>
            <w:vAlign w:val="bottom"/>
          </w:tcPr>
          <w:p>
            <w:pPr>
              <w:ind w:left="180"/>
              <w:spacing w:after="0"/>
              <w:rPr>
                <w:sz w:val="20"/>
                <w:szCs w:val="20"/>
                <w:color w:val="auto"/>
              </w:rPr>
            </w:pPr>
            <w:r>
              <w:rPr>
                <w:rFonts w:ascii="Arial" w:cs="Arial" w:eastAsia="Arial" w:hAnsi="Arial"/>
                <w:sz w:val="18"/>
                <w:szCs w:val="18"/>
                <w:color w:val="auto"/>
              </w:rPr>
              <w:t>publicly traded provider of insurance products provided him with</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5360" w:type="dxa"/>
            <w:vAlign w:val="bottom"/>
          </w:tcPr>
          <w:p>
            <w:pPr>
              <w:ind w:left="180"/>
              <w:spacing w:after="0"/>
              <w:rPr>
                <w:sz w:val="20"/>
                <w:szCs w:val="20"/>
                <w:color w:val="auto"/>
              </w:rPr>
            </w:pPr>
            <w:r>
              <w:rPr>
                <w:rFonts w:ascii="Arial" w:cs="Arial" w:eastAsia="Arial" w:hAnsi="Arial"/>
                <w:sz w:val="18"/>
                <w:szCs w:val="18"/>
                <w:color w:val="auto"/>
                <w:w w:val="90"/>
              </w:rPr>
              <w:t>significant knowledge of and experience in the business operations of a</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5360" w:type="dxa"/>
            <w:vAlign w:val="bottom"/>
          </w:tcPr>
          <w:p>
            <w:pPr>
              <w:ind w:left="180"/>
              <w:spacing w:after="0"/>
              <w:rPr>
                <w:sz w:val="20"/>
                <w:szCs w:val="20"/>
                <w:color w:val="auto"/>
              </w:rPr>
            </w:pPr>
            <w:r>
              <w:rPr>
                <w:rFonts w:ascii="Arial" w:cs="Arial" w:eastAsia="Arial" w:hAnsi="Arial"/>
                <w:sz w:val="18"/>
                <w:szCs w:val="18"/>
                <w:color w:val="auto"/>
                <w:w w:val="94"/>
              </w:rPr>
              <w:t>publicly-traded insurance holding company, which is beneficial to the</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5360" w:type="dxa"/>
            <w:vAlign w:val="bottom"/>
          </w:tcPr>
          <w:p>
            <w:pPr>
              <w:ind w:left="180"/>
              <w:spacing w:after="0"/>
              <w:rPr>
                <w:sz w:val="20"/>
                <w:szCs w:val="20"/>
                <w:color w:val="auto"/>
              </w:rPr>
            </w:pPr>
            <w:r>
              <w:rPr>
                <w:rFonts w:ascii="Arial" w:cs="Arial" w:eastAsia="Arial" w:hAnsi="Arial"/>
                <w:sz w:val="18"/>
                <w:szCs w:val="18"/>
                <w:color w:val="auto"/>
              </w:rPr>
              <w:t>Company in light of the many issues applicable to the insurance</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5360" w:type="dxa"/>
            <w:vAlign w:val="bottom"/>
          </w:tcPr>
          <w:p>
            <w:pPr>
              <w:ind w:left="180"/>
              <w:spacing w:after="0"/>
              <w:rPr>
                <w:sz w:val="20"/>
                <w:szCs w:val="20"/>
                <w:color w:val="auto"/>
              </w:rPr>
            </w:pPr>
            <w:r>
              <w:rPr>
                <w:rFonts w:ascii="Arial" w:cs="Arial" w:eastAsia="Arial" w:hAnsi="Arial"/>
                <w:sz w:val="18"/>
                <w:szCs w:val="18"/>
                <w:color w:val="auto"/>
              </w:rPr>
              <w:t>industry. Additionally, Mr. Joseph’s extensive background and</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5360" w:type="dxa"/>
            <w:vAlign w:val="bottom"/>
          </w:tcPr>
          <w:p>
            <w:pPr>
              <w:ind w:left="180"/>
              <w:spacing w:after="0"/>
              <w:rPr>
                <w:sz w:val="20"/>
                <w:szCs w:val="20"/>
                <w:color w:val="auto"/>
              </w:rPr>
            </w:pPr>
            <w:r>
              <w:rPr>
                <w:rFonts w:ascii="Arial" w:cs="Arial" w:eastAsia="Arial" w:hAnsi="Arial"/>
                <w:sz w:val="18"/>
                <w:szCs w:val="18"/>
                <w:color w:val="auto"/>
                <w:w w:val="94"/>
              </w:rPr>
              <w:t>experience at public and private businesses enable him to provide to</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5360" w:type="dxa"/>
            <w:vAlign w:val="bottom"/>
          </w:tcPr>
          <w:p>
            <w:pPr>
              <w:ind w:left="180"/>
              <w:spacing w:after="0"/>
              <w:rPr>
                <w:sz w:val="20"/>
                <w:szCs w:val="20"/>
                <w:color w:val="auto"/>
              </w:rPr>
            </w:pPr>
            <w:r>
              <w:rPr>
                <w:rFonts w:ascii="Arial" w:cs="Arial" w:eastAsia="Arial" w:hAnsi="Arial"/>
                <w:sz w:val="18"/>
                <w:szCs w:val="18"/>
                <w:color w:val="auto"/>
                <w:w w:val="96"/>
              </w:rPr>
              <w:t>the Board insights and advice on the broad variety of situations and</w:t>
            </w:r>
          </w:p>
        </w:tc>
        <w:tc>
          <w:tcPr>
            <w:tcW w:w="0" w:type="dxa"/>
            <w:vAlign w:val="bottom"/>
          </w:tcPr>
          <w:p>
            <w:pPr>
              <w:spacing w:after="0"/>
              <w:rPr>
                <w:sz w:val="1"/>
                <w:szCs w:val="1"/>
                <w:color w:val="auto"/>
              </w:rPr>
            </w:pPr>
          </w:p>
        </w:tc>
      </w:tr>
      <w:tr>
        <w:trPr>
          <w:trHeight w:val="230"/>
        </w:trPr>
        <w:tc>
          <w:tcPr>
            <w:tcW w:w="1760" w:type="dxa"/>
            <w:vAlign w:val="bottom"/>
          </w:tcPr>
          <w:p>
            <w:pPr>
              <w:spacing w:after="0"/>
              <w:rPr>
                <w:sz w:val="20"/>
                <w:szCs w:val="20"/>
                <w:color w:val="auto"/>
              </w:rPr>
            </w:pPr>
          </w:p>
        </w:tc>
        <w:tc>
          <w:tcPr>
            <w:tcW w:w="5360" w:type="dxa"/>
            <w:vAlign w:val="bottom"/>
          </w:tcPr>
          <w:p>
            <w:pPr>
              <w:ind w:left="180"/>
              <w:spacing w:after="0"/>
              <w:rPr>
                <w:sz w:val="20"/>
                <w:szCs w:val="20"/>
                <w:color w:val="auto"/>
              </w:rPr>
            </w:pPr>
            <w:r>
              <w:rPr>
                <w:rFonts w:ascii="Arial" w:cs="Arial" w:eastAsia="Arial" w:hAnsi="Arial"/>
                <w:sz w:val="18"/>
                <w:szCs w:val="18"/>
                <w:color w:val="auto"/>
              </w:rPr>
              <w:t>issues that the Board faces.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776605</wp:posOffset>
            </wp:positionH>
            <wp:positionV relativeFrom="paragraph">
              <wp:posOffset>-2331085</wp:posOffset>
            </wp:positionV>
            <wp:extent cx="934085" cy="12344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34085" cy="1234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3040" w:type="dxa"/>
        <w:tblCellMar>
          <w:top w:w="0" w:type="dxa"/>
          <w:left w:w="0" w:type="dxa"/>
          <w:bottom w:w="0" w:type="dxa"/>
          <w:right w:w="0" w:type="dxa"/>
        </w:tblCellMar>
      </w:tblPr>
      <w:tr>
        <w:trPr>
          <w:trHeight w:val="220"/>
        </w:trPr>
        <w:tc>
          <w:tcPr>
            <w:tcW w:w="1820" w:type="dxa"/>
            <w:vAlign w:val="bottom"/>
          </w:tcPr>
          <w:p>
            <w:pPr>
              <w:spacing w:after="0"/>
              <w:rPr>
                <w:sz w:val="20"/>
                <w:szCs w:val="20"/>
                <w:color w:val="auto"/>
              </w:rPr>
            </w:pPr>
            <w:r>
              <w:rPr>
                <w:rFonts w:ascii="Arial" w:cs="Arial" w:eastAsia="Arial" w:hAnsi="Arial"/>
                <w:sz w:val="18"/>
                <w:szCs w:val="18"/>
                <w:b w:val="1"/>
                <w:bCs w:val="1"/>
                <w:color w:val="auto"/>
                <w:w w:val="97"/>
              </w:rPr>
              <w:t>Kenneth C. Ambrecht</w:t>
            </w:r>
          </w:p>
        </w:tc>
        <w:tc>
          <w:tcPr>
            <w:tcW w:w="5300" w:type="dxa"/>
            <w:vAlign w:val="bottom"/>
          </w:tcPr>
          <w:p>
            <w:pPr>
              <w:ind w:left="120"/>
              <w:spacing w:after="0"/>
              <w:rPr>
                <w:sz w:val="20"/>
                <w:szCs w:val="20"/>
                <w:color w:val="auto"/>
              </w:rPr>
            </w:pPr>
            <w:r>
              <w:rPr>
                <w:rFonts w:ascii="Arial" w:cs="Arial" w:eastAsia="Arial" w:hAnsi="Arial"/>
                <w:sz w:val="18"/>
                <w:szCs w:val="18"/>
                <w:color w:val="auto"/>
                <w:w w:val="99"/>
              </w:rPr>
              <w:t>Mr. Ambrecht has extensive corporate finance experience having</w:t>
            </w:r>
          </w:p>
        </w:tc>
        <w:tc>
          <w:tcPr>
            <w:tcW w:w="0" w:type="dxa"/>
            <w:vAlign w:val="bottom"/>
          </w:tcPr>
          <w:p>
            <w:pPr>
              <w:spacing w:after="0"/>
              <w:rPr>
                <w:sz w:val="1"/>
                <w:szCs w:val="1"/>
                <w:color w:val="auto"/>
              </w:rPr>
            </w:pPr>
          </w:p>
        </w:tc>
      </w:tr>
      <w:tr>
        <w:trPr>
          <w:trHeight w:val="216"/>
        </w:trPr>
        <w:tc>
          <w:tcPr>
            <w:tcW w:w="1820" w:type="dxa"/>
            <w:vAlign w:val="bottom"/>
            <w:vMerge w:val="restart"/>
          </w:tcPr>
          <w:p>
            <w:pPr>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74</w:t>
            </w:r>
          </w:p>
        </w:tc>
        <w:tc>
          <w:tcPr>
            <w:tcW w:w="5300" w:type="dxa"/>
            <w:vAlign w:val="bottom"/>
          </w:tcPr>
          <w:p>
            <w:pPr>
              <w:ind w:left="120"/>
              <w:spacing w:after="0"/>
              <w:rPr>
                <w:sz w:val="20"/>
                <w:szCs w:val="20"/>
                <w:color w:val="auto"/>
              </w:rPr>
            </w:pPr>
            <w:r>
              <w:rPr>
                <w:rFonts w:ascii="Arial" w:cs="Arial" w:eastAsia="Arial" w:hAnsi="Arial"/>
                <w:sz w:val="18"/>
                <w:szCs w:val="18"/>
                <w:color w:val="auto"/>
                <w:w w:val="98"/>
              </w:rPr>
              <w:t>worked in the U.S. capital markets for over 30 years. In December</w:t>
            </w:r>
          </w:p>
        </w:tc>
        <w:tc>
          <w:tcPr>
            <w:tcW w:w="0" w:type="dxa"/>
            <w:vAlign w:val="bottom"/>
          </w:tcPr>
          <w:p>
            <w:pPr>
              <w:spacing w:after="0"/>
              <w:rPr>
                <w:sz w:val="1"/>
                <w:szCs w:val="1"/>
                <w:color w:val="auto"/>
              </w:rPr>
            </w:pPr>
          </w:p>
        </w:tc>
      </w:tr>
      <w:tr>
        <w:trPr>
          <w:trHeight w:val="212"/>
        </w:trPr>
        <w:tc>
          <w:tcPr>
            <w:tcW w:w="1820" w:type="dxa"/>
            <w:vAlign w:val="bottom"/>
            <w:vMerge w:val="continue"/>
          </w:tcPr>
          <w:p>
            <w:pPr>
              <w:spacing w:after="0"/>
              <w:rPr>
                <w:sz w:val="18"/>
                <w:szCs w:val="18"/>
                <w:color w:val="auto"/>
              </w:rPr>
            </w:pPr>
          </w:p>
        </w:tc>
        <w:tc>
          <w:tcPr>
            <w:tcW w:w="5300" w:type="dxa"/>
            <w:vAlign w:val="bottom"/>
          </w:tcPr>
          <w:p>
            <w:pPr>
              <w:ind w:left="120"/>
              <w:spacing w:after="0"/>
              <w:rPr>
                <w:sz w:val="20"/>
                <w:szCs w:val="20"/>
                <w:color w:val="auto"/>
              </w:rPr>
            </w:pPr>
            <w:r>
              <w:rPr>
                <w:rFonts w:ascii="Arial" w:cs="Arial" w:eastAsia="Arial" w:hAnsi="Arial"/>
                <w:sz w:val="18"/>
                <w:szCs w:val="18"/>
                <w:color w:val="auto"/>
                <w:w w:val="96"/>
              </w:rPr>
              <w:t>2005, Mr. Ambrecht organized KCA Associates LLC, through which</w:t>
            </w:r>
          </w:p>
        </w:tc>
        <w:tc>
          <w:tcPr>
            <w:tcW w:w="0" w:type="dxa"/>
            <w:vAlign w:val="bottom"/>
          </w:tcPr>
          <w:p>
            <w:pPr>
              <w:spacing w:after="0"/>
              <w:rPr>
                <w:sz w:val="1"/>
                <w:szCs w:val="1"/>
                <w:color w:val="auto"/>
              </w:rPr>
            </w:pPr>
          </w:p>
        </w:tc>
      </w:tr>
      <w:tr>
        <w:trPr>
          <w:trHeight w:val="220"/>
        </w:trPr>
        <w:tc>
          <w:tcPr>
            <w:tcW w:w="1820" w:type="dxa"/>
            <w:vAlign w:val="bottom"/>
          </w:tcPr>
          <w:p>
            <w:pPr>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2005</w:t>
            </w:r>
          </w:p>
        </w:tc>
        <w:tc>
          <w:tcPr>
            <w:tcW w:w="5300" w:type="dxa"/>
            <w:vAlign w:val="bottom"/>
          </w:tcPr>
          <w:p>
            <w:pPr>
              <w:ind w:left="120"/>
              <w:spacing w:after="0"/>
              <w:rPr>
                <w:sz w:val="20"/>
                <w:szCs w:val="20"/>
                <w:color w:val="auto"/>
              </w:rPr>
            </w:pPr>
            <w:r>
              <w:rPr>
                <w:rFonts w:ascii="Arial" w:cs="Arial" w:eastAsia="Arial" w:hAnsi="Arial"/>
                <w:sz w:val="18"/>
                <w:szCs w:val="18"/>
                <w:color w:val="auto"/>
                <w:w w:val="96"/>
              </w:rPr>
              <w:t>he serves as a consultant to several companies, advising them with</w:t>
            </w:r>
          </w:p>
        </w:tc>
        <w:tc>
          <w:tcPr>
            <w:tcW w:w="0" w:type="dxa"/>
            <w:vAlign w:val="bottom"/>
          </w:tcPr>
          <w:p>
            <w:pPr>
              <w:spacing w:after="0"/>
              <w:rPr>
                <w:sz w:val="1"/>
                <w:szCs w:val="1"/>
                <w:color w:val="auto"/>
              </w:rPr>
            </w:pPr>
          </w:p>
        </w:tc>
      </w:tr>
      <w:tr>
        <w:trPr>
          <w:trHeight w:val="216"/>
        </w:trPr>
        <w:tc>
          <w:tcPr>
            <w:tcW w:w="1820" w:type="dxa"/>
            <w:vAlign w:val="bottom"/>
            <w:vMerge w:val="restart"/>
          </w:tcPr>
          <w:p>
            <w:pPr>
              <w:spacing w:after="0"/>
              <w:rPr>
                <w:sz w:val="20"/>
                <w:szCs w:val="20"/>
                <w:color w:val="auto"/>
              </w:rPr>
            </w:pPr>
            <w:r>
              <w:rPr>
                <w:rFonts w:ascii="Arial" w:cs="Arial" w:eastAsia="Arial" w:hAnsi="Arial"/>
                <w:sz w:val="18"/>
                <w:szCs w:val="18"/>
                <w:b w:val="1"/>
                <w:bCs w:val="1"/>
                <w:color w:val="auto"/>
              </w:rPr>
              <w:t>Board Committees:</w:t>
            </w:r>
          </w:p>
        </w:tc>
        <w:tc>
          <w:tcPr>
            <w:tcW w:w="5300" w:type="dxa"/>
            <w:vAlign w:val="bottom"/>
          </w:tcPr>
          <w:p>
            <w:pPr>
              <w:ind w:left="120"/>
              <w:spacing w:after="0"/>
              <w:rPr>
                <w:sz w:val="20"/>
                <w:szCs w:val="20"/>
                <w:color w:val="auto"/>
              </w:rPr>
            </w:pPr>
            <w:r>
              <w:rPr>
                <w:rFonts w:ascii="Arial" w:cs="Arial" w:eastAsia="Arial" w:hAnsi="Arial"/>
                <w:sz w:val="18"/>
                <w:szCs w:val="18"/>
                <w:color w:val="auto"/>
                <w:w w:val="90"/>
              </w:rPr>
              <w:t>respect to financial transactions. From July 2004 to December 2005, he</w:t>
            </w:r>
          </w:p>
        </w:tc>
        <w:tc>
          <w:tcPr>
            <w:tcW w:w="0" w:type="dxa"/>
            <w:vAlign w:val="bottom"/>
          </w:tcPr>
          <w:p>
            <w:pPr>
              <w:spacing w:after="0"/>
              <w:rPr>
                <w:sz w:val="1"/>
                <w:szCs w:val="1"/>
                <w:color w:val="auto"/>
              </w:rPr>
            </w:pPr>
          </w:p>
        </w:tc>
      </w:tr>
      <w:tr>
        <w:trPr>
          <w:trHeight w:val="216"/>
        </w:trPr>
        <w:tc>
          <w:tcPr>
            <w:tcW w:w="1820" w:type="dxa"/>
            <w:vAlign w:val="bottom"/>
            <w:vMerge w:val="continue"/>
          </w:tcPr>
          <w:p>
            <w:pPr>
              <w:spacing w:after="0"/>
              <w:rPr>
                <w:sz w:val="18"/>
                <w:szCs w:val="18"/>
                <w:color w:val="auto"/>
              </w:rPr>
            </w:pPr>
          </w:p>
        </w:tc>
        <w:tc>
          <w:tcPr>
            <w:tcW w:w="5300" w:type="dxa"/>
            <w:vAlign w:val="bottom"/>
          </w:tcPr>
          <w:p>
            <w:pPr>
              <w:ind w:left="120"/>
              <w:spacing w:after="0"/>
              <w:rPr>
                <w:sz w:val="20"/>
                <w:szCs w:val="20"/>
                <w:color w:val="auto"/>
              </w:rPr>
            </w:pPr>
            <w:r>
              <w:rPr>
                <w:rFonts w:ascii="Arial" w:cs="Arial" w:eastAsia="Arial" w:hAnsi="Arial"/>
                <w:sz w:val="18"/>
                <w:szCs w:val="18"/>
                <w:color w:val="auto"/>
                <w:w w:val="94"/>
              </w:rPr>
              <w:t>served as a Managing Director with the investment banking firm First</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Compensation</w:t>
            </w:r>
          </w:p>
        </w:tc>
        <w:tc>
          <w:tcPr>
            <w:tcW w:w="5300" w:type="dxa"/>
            <w:vAlign w:val="bottom"/>
          </w:tcPr>
          <w:p>
            <w:pPr>
              <w:ind w:left="120"/>
              <w:spacing w:after="0"/>
              <w:rPr>
                <w:sz w:val="20"/>
                <w:szCs w:val="20"/>
                <w:color w:val="auto"/>
              </w:rPr>
            </w:pPr>
            <w:r>
              <w:rPr>
                <w:rFonts w:ascii="Arial" w:cs="Arial" w:eastAsia="Arial" w:hAnsi="Arial"/>
                <w:sz w:val="18"/>
                <w:szCs w:val="18"/>
                <w:color w:val="auto"/>
                <w:w w:val="96"/>
              </w:rPr>
              <w:t>Albany Capital. For more than five years prior, Mr. Ambrecht was a</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w w:val="98"/>
              </w:rPr>
              <w:t>Corporate Governance</w:t>
            </w:r>
          </w:p>
        </w:tc>
        <w:tc>
          <w:tcPr>
            <w:tcW w:w="5300" w:type="dxa"/>
            <w:vAlign w:val="bottom"/>
          </w:tcPr>
          <w:p>
            <w:pPr>
              <w:ind w:left="120"/>
              <w:spacing w:after="0"/>
              <w:rPr>
                <w:sz w:val="20"/>
                <w:szCs w:val="20"/>
                <w:color w:val="auto"/>
              </w:rPr>
            </w:pPr>
            <w:r>
              <w:rPr>
                <w:rFonts w:ascii="Arial" w:cs="Arial" w:eastAsia="Arial" w:hAnsi="Arial"/>
                <w:sz w:val="18"/>
                <w:szCs w:val="18"/>
                <w:color w:val="auto"/>
                <w:w w:val="94"/>
              </w:rPr>
              <w:t>Managing Director with Royal Bank Canada Capital Markets. Prior to</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5300" w:type="dxa"/>
            <w:vAlign w:val="bottom"/>
          </w:tcPr>
          <w:p>
            <w:pPr>
              <w:ind w:left="120"/>
              <w:spacing w:after="0"/>
              <w:rPr>
                <w:sz w:val="20"/>
                <w:szCs w:val="20"/>
                <w:color w:val="auto"/>
              </w:rPr>
            </w:pPr>
            <w:r>
              <w:rPr>
                <w:rFonts w:ascii="Arial" w:cs="Arial" w:eastAsia="Arial" w:hAnsi="Arial"/>
                <w:sz w:val="18"/>
                <w:szCs w:val="18"/>
                <w:color w:val="auto"/>
                <w:w w:val="98"/>
              </w:rPr>
              <w:t>that post, Mr. Ambrecht worked with the investment bank Lehman</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5300" w:type="dxa"/>
            <w:vAlign w:val="bottom"/>
          </w:tcPr>
          <w:p>
            <w:pPr>
              <w:ind w:left="120"/>
              <w:spacing w:after="0"/>
              <w:rPr>
                <w:sz w:val="20"/>
                <w:szCs w:val="20"/>
                <w:color w:val="auto"/>
              </w:rPr>
            </w:pPr>
            <w:r>
              <w:rPr>
                <w:rFonts w:ascii="Arial" w:cs="Arial" w:eastAsia="Arial" w:hAnsi="Arial"/>
                <w:sz w:val="18"/>
                <w:szCs w:val="18"/>
                <w:color w:val="auto"/>
                <w:w w:val="91"/>
              </w:rPr>
              <w:t>Brothers as Managing Director of its capital markets division. For more</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5300" w:type="dxa"/>
            <w:vAlign w:val="bottom"/>
          </w:tcPr>
          <w:p>
            <w:pPr>
              <w:ind w:left="120"/>
              <w:spacing w:after="0"/>
              <w:rPr>
                <w:sz w:val="20"/>
                <w:szCs w:val="20"/>
                <w:color w:val="auto"/>
              </w:rPr>
            </w:pPr>
            <w:r>
              <w:rPr>
                <w:rFonts w:ascii="Arial" w:cs="Arial" w:eastAsia="Arial" w:hAnsi="Arial"/>
                <w:sz w:val="18"/>
                <w:szCs w:val="18"/>
                <w:color w:val="auto"/>
                <w:w w:val="96"/>
              </w:rPr>
              <w:t>than five years, Mr. Ambrecht has been a member of the Boards of</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5300" w:type="dxa"/>
            <w:vAlign w:val="bottom"/>
          </w:tcPr>
          <w:p>
            <w:pPr>
              <w:ind w:left="120"/>
              <w:spacing w:after="0"/>
              <w:rPr>
                <w:sz w:val="20"/>
                <w:szCs w:val="20"/>
                <w:color w:val="auto"/>
              </w:rPr>
            </w:pPr>
            <w:r>
              <w:rPr>
                <w:rFonts w:ascii="Arial" w:cs="Arial" w:eastAsia="Arial" w:hAnsi="Arial"/>
                <w:sz w:val="18"/>
                <w:szCs w:val="18"/>
                <w:color w:val="auto"/>
              </w:rPr>
              <w:t>Directors of Spectrum Brands, Inc., a global consumer products</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5300" w:type="dxa"/>
            <w:vAlign w:val="bottom"/>
          </w:tcPr>
          <w:p>
            <w:pPr>
              <w:ind w:left="120"/>
              <w:spacing w:after="0"/>
              <w:rPr>
                <w:sz w:val="20"/>
                <w:szCs w:val="20"/>
                <w:color w:val="auto"/>
              </w:rPr>
            </w:pPr>
            <w:r>
              <w:rPr>
                <w:rFonts w:ascii="Arial" w:cs="Arial" w:eastAsia="Arial" w:hAnsi="Arial"/>
                <w:sz w:val="18"/>
                <w:szCs w:val="18"/>
                <w:color w:val="auto"/>
                <w:w w:val="94"/>
              </w:rPr>
              <w:t>company, and Fortescue Metals Group Limited, an Australian mining</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5300" w:type="dxa"/>
            <w:vAlign w:val="bottom"/>
          </w:tcPr>
          <w:p>
            <w:pPr>
              <w:ind w:left="120"/>
              <w:spacing w:after="0"/>
              <w:rPr>
                <w:sz w:val="20"/>
                <w:szCs w:val="20"/>
                <w:color w:val="auto"/>
              </w:rPr>
            </w:pPr>
            <w:r>
              <w:rPr>
                <w:rFonts w:ascii="Arial" w:cs="Arial" w:eastAsia="Arial" w:hAnsi="Arial"/>
                <w:sz w:val="18"/>
                <w:szCs w:val="18"/>
                <w:color w:val="auto"/>
                <w:w w:val="92"/>
              </w:rPr>
              <w:t>company. He previously served on the Board of Directors of Dominion</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5300" w:type="dxa"/>
            <w:vAlign w:val="bottom"/>
          </w:tcPr>
          <w:p>
            <w:pPr>
              <w:ind w:left="120"/>
              <w:spacing w:after="0"/>
              <w:rPr>
                <w:sz w:val="20"/>
                <w:szCs w:val="20"/>
                <w:color w:val="auto"/>
              </w:rPr>
            </w:pPr>
            <w:r>
              <w:rPr>
                <w:rFonts w:ascii="Arial" w:cs="Arial" w:eastAsia="Arial" w:hAnsi="Arial"/>
                <w:sz w:val="18"/>
                <w:szCs w:val="18"/>
                <w:color w:val="auto"/>
                <w:w w:val="93"/>
              </w:rPr>
              <w:t>Petroleum Ltd., a Bermuda oil and gas reserves company, and Great</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5300" w:type="dxa"/>
            <w:vAlign w:val="bottom"/>
          </w:tcPr>
          <w:p>
            <w:pPr>
              <w:ind w:left="120"/>
              <w:spacing w:after="0"/>
              <w:rPr>
                <w:sz w:val="20"/>
                <w:szCs w:val="20"/>
                <w:color w:val="auto"/>
              </w:rPr>
            </w:pPr>
            <w:r>
              <w:rPr>
                <w:rFonts w:ascii="Arial" w:cs="Arial" w:eastAsia="Arial" w:hAnsi="Arial"/>
                <w:sz w:val="18"/>
                <w:szCs w:val="18"/>
                <w:color w:val="auto"/>
              </w:rPr>
              <w:t>American Financial Resources, Inc. The Board believes that</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5300" w:type="dxa"/>
            <w:vAlign w:val="bottom"/>
          </w:tcPr>
          <w:p>
            <w:pPr>
              <w:ind w:left="120"/>
              <w:spacing w:after="0"/>
              <w:rPr>
                <w:sz w:val="20"/>
                <w:szCs w:val="20"/>
                <w:color w:val="auto"/>
              </w:rPr>
            </w:pPr>
            <w:r>
              <w:rPr>
                <w:rFonts w:ascii="Arial" w:cs="Arial" w:eastAsia="Arial" w:hAnsi="Arial"/>
                <w:sz w:val="18"/>
                <w:szCs w:val="18"/>
                <w:color w:val="auto"/>
                <w:w w:val="95"/>
              </w:rPr>
              <w:t>Mr. Ambrecht’s knowledge and experience in the areas of corporate</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5300" w:type="dxa"/>
            <w:vAlign w:val="bottom"/>
          </w:tcPr>
          <w:p>
            <w:pPr>
              <w:ind w:left="120"/>
              <w:spacing w:after="0"/>
              <w:rPr>
                <w:sz w:val="20"/>
                <w:szCs w:val="20"/>
                <w:color w:val="auto"/>
              </w:rPr>
            </w:pPr>
            <w:r>
              <w:rPr>
                <w:rFonts w:ascii="Arial" w:cs="Arial" w:eastAsia="Arial" w:hAnsi="Arial"/>
                <w:sz w:val="18"/>
                <w:szCs w:val="18"/>
                <w:color w:val="auto"/>
                <w:w w:val="97"/>
              </w:rPr>
              <w:t>finance, capital markets, capital structures and investment portfolio</w:t>
            </w:r>
          </w:p>
        </w:tc>
        <w:tc>
          <w:tcPr>
            <w:tcW w:w="0" w:type="dxa"/>
            <w:vAlign w:val="bottom"/>
          </w:tcPr>
          <w:p>
            <w:pPr>
              <w:spacing w:after="0"/>
              <w:rPr>
                <w:sz w:val="1"/>
                <w:szCs w:val="1"/>
                <w:color w:val="auto"/>
              </w:rPr>
            </w:pPr>
          </w:p>
        </w:tc>
      </w:tr>
      <w:tr>
        <w:trPr>
          <w:trHeight w:val="230"/>
        </w:trPr>
        <w:tc>
          <w:tcPr>
            <w:tcW w:w="1820" w:type="dxa"/>
            <w:vAlign w:val="bottom"/>
          </w:tcPr>
          <w:p>
            <w:pPr>
              <w:spacing w:after="0"/>
              <w:rPr>
                <w:sz w:val="20"/>
                <w:szCs w:val="20"/>
                <w:color w:val="auto"/>
              </w:rPr>
            </w:pPr>
          </w:p>
        </w:tc>
        <w:tc>
          <w:tcPr>
            <w:tcW w:w="5300" w:type="dxa"/>
            <w:vAlign w:val="bottom"/>
          </w:tcPr>
          <w:p>
            <w:pPr>
              <w:ind w:left="120"/>
              <w:spacing w:after="0"/>
              <w:rPr>
                <w:sz w:val="20"/>
                <w:szCs w:val="20"/>
                <w:color w:val="auto"/>
              </w:rPr>
            </w:pPr>
            <w:r>
              <w:rPr>
                <w:rFonts w:ascii="Arial" w:cs="Arial" w:eastAsia="Arial" w:hAnsi="Arial"/>
                <w:sz w:val="18"/>
                <w:szCs w:val="18"/>
                <w:color w:val="auto"/>
              </w:rPr>
              <w:t>management benefit the Company in light of its businesses.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776605</wp:posOffset>
            </wp:positionH>
            <wp:positionV relativeFrom="paragraph">
              <wp:posOffset>-2605405</wp:posOffset>
            </wp:positionV>
            <wp:extent cx="934085" cy="12426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934085" cy="1242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3040" w:type="dxa"/>
        <w:tblCellMar>
          <w:top w:w="0" w:type="dxa"/>
          <w:left w:w="0" w:type="dxa"/>
          <w:bottom w:w="0" w:type="dxa"/>
          <w:right w:w="0" w:type="dxa"/>
        </w:tblCellMar>
      </w:tblPr>
      <w:tr>
        <w:trPr>
          <w:trHeight w:val="220"/>
        </w:trPr>
        <w:tc>
          <w:tcPr>
            <w:tcW w:w="1760" w:type="dxa"/>
            <w:vAlign w:val="bottom"/>
          </w:tcPr>
          <w:p>
            <w:pPr>
              <w:spacing w:after="0"/>
              <w:rPr>
                <w:sz w:val="20"/>
                <w:szCs w:val="20"/>
                <w:color w:val="auto"/>
              </w:rPr>
            </w:pPr>
            <w:r>
              <w:rPr>
                <w:rFonts w:ascii="Arial" w:cs="Arial" w:eastAsia="Arial" w:hAnsi="Arial"/>
                <w:sz w:val="18"/>
                <w:szCs w:val="18"/>
                <w:b w:val="1"/>
                <w:bCs w:val="1"/>
                <w:color w:val="auto"/>
              </w:rPr>
              <w:t>John B. Berding</w:t>
            </w:r>
          </w:p>
        </w:tc>
        <w:tc>
          <w:tcPr>
            <w:tcW w:w="5340" w:type="dxa"/>
            <w:vAlign w:val="bottom"/>
          </w:tcPr>
          <w:p>
            <w:pPr>
              <w:ind w:left="180"/>
              <w:spacing w:after="0"/>
              <w:rPr>
                <w:sz w:val="20"/>
                <w:szCs w:val="20"/>
                <w:color w:val="auto"/>
              </w:rPr>
            </w:pPr>
            <w:r>
              <w:rPr>
                <w:rFonts w:ascii="Arial" w:cs="Arial" w:eastAsia="Arial" w:hAnsi="Arial"/>
                <w:sz w:val="18"/>
                <w:szCs w:val="18"/>
                <w:color w:val="auto"/>
                <w:w w:val="92"/>
              </w:rPr>
              <w:t>Mr. Berding was elected President of AMMC in January 2011. Prior to</w:t>
            </w:r>
          </w:p>
        </w:tc>
        <w:tc>
          <w:tcPr>
            <w:tcW w:w="0" w:type="dxa"/>
            <w:vAlign w:val="bottom"/>
          </w:tcPr>
          <w:p>
            <w:pPr>
              <w:spacing w:after="0"/>
              <w:rPr>
                <w:sz w:val="1"/>
                <w:szCs w:val="1"/>
                <w:color w:val="auto"/>
              </w:rPr>
            </w:pPr>
          </w:p>
        </w:tc>
      </w:tr>
      <w:tr>
        <w:trPr>
          <w:trHeight w:val="216"/>
        </w:trPr>
        <w:tc>
          <w:tcPr>
            <w:tcW w:w="1760" w:type="dxa"/>
            <w:vAlign w:val="bottom"/>
            <w:vMerge w:val="restart"/>
          </w:tcPr>
          <w:p>
            <w:pPr>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57</w:t>
            </w:r>
          </w:p>
        </w:tc>
        <w:tc>
          <w:tcPr>
            <w:tcW w:w="5340" w:type="dxa"/>
            <w:vAlign w:val="bottom"/>
          </w:tcPr>
          <w:p>
            <w:pPr>
              <w:ind w:left="180"/>
              <w:spacing w:after="0"/>
              <w:rPr>
                <w:sz w:val="20"/>
                <w:szCs w:val="20"/>
                <w:color w:val="auto"/>
              </w:rPr>
            </w:pPr>
            <w:r>
              <w:rPr>
                <w:rFonts w:ascii="Arial" w:cs="Arial" w:eastAsia="Arial" w:hAnsi="Arial"/>
                <w:sz w:val="18"/>
                <w:szCs w:val="18"/>
                <w:color w:val="auto"/>
                <w:w w:val="99"/>
              </w:rPr>
              <w:t>his election as President, he held a number of investment-related</w:t>
            </w:r>
          </w:p>
        </w:tc>
        <w:tc>
          <w:tcPr>
            <w:tcW w:w="0" w:type="dxa"/>
            <w:vAlign w:val="bottom"/>
          </w:tcPr>
          <w:p>
            <w:pPr>
              <w:spacing w:after="0"/>
              <w:rPr>
                <w:sz w:val="1"/>
                <w:szCs w:val="1"/>
                <w:color w:val="auto"/>
              </w:rPr>
            </w:pPr>
          </w:p>
        </w:tc>
      </w:tr>
      <w:tr>
        <w:trPr>
          <w:trHeight w:val="212"/>
        </w:trPr>
        <w:tc>
          <w:tcPr>
            <w:tcW w:w="1760" w:type="dxa"/>
            <w:vAlign w:val="bottom"/>
            <w:vMerge w:val="continue"/>
          </w:tcPr>
          <w:p>
            <w:pPr>
              <w:spacing w:after="0"/>
              <w:rPr>
                <w:sz w:val="18"/>
                <w:szCs w:val="18"/>
                <w:color w:val="auto"/>
              </w:rPr>
            </w:pPr>
          </w:p>
        </w:tc>
        <w:tc>
          <w:tcPr>
            <w:tcW w:w="5340" w:type="dxa"/>
            <w:vAlign w:val="bottom"/>
          </w:tcPr>
          <w:p>
            <w:pPr>
              <w:ind w:left="180"/>
              <w:spacing w:after="0"/>
              <w:rPr>
                <w:sz w:val="20"/>
                <w:szCs w:val="20"/>
                <w:color w:val="auto"/>
              </w:rPr>
            </w:pPr>
            <w:r>
              <w:rPr>
                <w:rFonts w:ascii="Arial" w:cs="Arial" w:eastAsia="Arial" w:hAnsi="Arial"/>
                <w:sz w:val="18"/>
                <w:szCs w:val="18"/>
                <w:color w:val="auto"/>
              </w:rPr>
              <w:t>executive positions with AMMC and other AFG subsidiaries.</w:t>
            </w:r>
          </w:p>
        </w:tc>
        <w:tc>
          <w:tcPr>
            <w:tcW w:w="0" w:type="dxa"/>
            <w:vAlign w:val="bottom"/>
          </w:tcPr>
          <w:p>
            <w:pPr>
              <w:spacing w:after="0"/>
              <w:rPr>
                <w:sz w:val="1"/>
                <w:szCs w:val="1"/>
                <w:color w:val="auto"/>
              </w:rPr>
            </w:pPr>
          </w:p>
        </w:tc>
      </w:tr>
      <w:tr>
        <w:trPr>
          <w:trHeight w:val="220"/>
        </w:trPr>
        <w:tc>
          <w:tcPr>
            <w:tcW w:w="1760" w:type="dxa"/>
            <w:vAlign w:val="bottom"/>
          </w:tcPr>
          <w:p>
            <w:pPr>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2012</w:t>
            </w:r>
          </w:p>
        </w:tc>
        <w:tc>
          <w:tcPr>
            <w:tcW w:w="5340" w:type="dxa"/>
            <w:vAlign w:val="bottom"/>
          </w:tcPr>
          <w:p>
            <w:pPr>
              <w:ind w:left="180"/>
              <w:spacing w:after="0"/>
              <w:rPr>
                <w:sz w:val="20"/>
                <w:szCs w:val="20"/>
                <w:color w:val="auto"/>
              </w:rPr>
            </w:pPr>
            <w:r>
              <w:rPr>
                <w:rFonts w:ascii="Arial" w:cs="Arial" w:eastAsia="Arial" w:hAnsi="Arial"/>
                <w:sz w:val="18"/>
                <w:szCs w:val="18"/>
                <w:color w:val="auto"/>
              </w:rPr>
              <w:t>Mr. Berding has over 30 years of experience as an investment</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5340" w:type="dxa"/>
            <w:vAlign w:val="bottom"/>
          </w:tcPr>
          <w:p>
            <w:pPr>
              <w:ind w:left="180"/>
              <w:spacing w:after="0"/>
              <w:rPr>
                <w:sz w:val="20"/>
                <w:szCs w:val="20"/>
                <w:color w:val="auto"/>
              </w:rPr>
            </w:pPr>
            <w:r>
              <w:rPr>
                <w:rFonts w:ascii="Arial" w:cs="Arial" w:eastAsia="Arial" w:hAnsi="Arial"/>
                <w:sz w:val="18"/>
                <w:szCs w:val="18"/>
                <w:color w:val="auto"/>
                <w:w w:val="91"/>
              </w:rPr>
              <w:t>professional, and he has spent his entire career with the Company and</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5340" w:type="dxa"/>
            <w:vAlign w:val="bottom"/>
          </w:tcPr>
          <w:p>
            <w:pPr>
              <w:ind w:left="180"/>
              <w:spacing w:after="0"/>
              <w:rPr>
                <w:sz w:val="20"/>
                <w:szCs w:val="20"/>
                <w:color w:val="auto"/>
              </w:rPr>
            </w:pPr>
            <w:r>
              <w:rPr>
                <w:rFonts w:ascii="Arial" w:cs="Arial" w:eastAsia="Arial" w:hAnsi="Arial"/>
                <w:sz w:val="18"/>
                <w:szCs w:val="18"/>
                <w:color w:val="auto"/>
                <w:w w:val="96"/>
              </w:rPr>
              <w:t>its affiliates. The Board values Mr. Berding’s knowledge of financial</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5340" w:type="dxa"/>
            <w:vAlign w:val="bottom"/>
          </w:tcPr>
          <w:p>
            <w:pPr>
              <w:ind w:left="180"/>
              <w:spacing w:after="0"/>
              <w:rPr>
                <w:sz w:val="20"/>
                <w:szCs w:val="20"/>
                <w:color w:val="auto"/>
              </w:rPr>
            </w:pPr>
            <w:r>
              <w:rPr>
                <w:rFonts w:ascii="Arial" w:cs="Arial" w:eastAsia="Arial" w:hAnsi="Arial"/>
                <w:sz w:val="18"/>
                <w:szCs w:val="18"/>
                <w:color w:val="auto"/>
                <w:w w:val="90"/>
              </w:rPr>
              <w:t>markets and investment management as well as his specific knowledge</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5340" w:type="dxa"/>
            <w:vAlign w:val="bottom"/>
          </w:tcPr>
          <w:p>
            <w:pPr>
              <w:ind w:left="180"/>
              <w:spacing w:after="0"/>
              <w:rPr>
                <w:sz w:val="20"/>
                <w:szCs w:val="20"/>
                <w:color w:val="auto"/>
              </w:rPr>
            </w:pPr>
            <w:r>
              <w:rPr>
                <w:rFonts w:ascii="Arial" w:cs="Arial" w:eastAsia="Arial" w:hAnsi="Arial"/>
                <w:sz w:val="18"/>
                <w:szCs w:val="18"/>
                <w:color w:val="auto"/>
                <w:w w:val="90"/>
              </w:rPr>
              <w:t>of the Company’s investment portfolio and strategy and has determined</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5340" w:type="dxa"/>
            <w:vAlign w:val="bottom"/>
          </w:tcPr>
          <w:p>
            <w:pPr>
              <w:ind w:left="180"/>
              <w:spacing w:after="0"/>
              <w:rPr>
                <w:sz w:val="20"/>
                <w:szCs w:val="20"/>
                <w:color w:val="auto"/>
              </w:rPr>
            </w:pPr>
            <w:r>
              <w:rPr>
                <w:rFonts w:ascii="Arial" w:cs="Arial" w:eastAsia="Arial" w:hAnsi="Arial"/>
                <w:sz w:val="18"/>
                <w:szCs w:val="18"/>
                <w:color w:val="auto"/>
                <w:w w:val="96"/>
              </w:rPr>
              <w:t>that his ability to contribute his experience on a constant basis as a</w:t>
            </w:r>
          </w:p>
        </w:tc>
        <w:tc>
          <w:tcPr>
            <w:tcW w:w="0" w:type="dxa"/>
            <w:vAlign w:val="bottom"/>
          </w:tcPr>
          <w:p>
            <w:pPr>
              <w:spacing w:after="0"/>
              <w:rPr>
                <w:sz w:val="1"/>
                <w:szCs w:val="1"/>
                <w:color w:val="auto"/>
              </w:rPr>
            </w:pPr>
          </w:p>
        </w:tc>
      </w:tr>
      <w:tr>
        <w:trPr>
          <w:trHeight w:val="230"/>
        </w:trPr>
        <w:tc>
          <w:tcPr>
            <w:tcW w:w="1760" w:type="dxa"/>
            <w:vAlign w:val="bottom"/>
          </w:tcPr>
          <w:p>
            <w:pPr>
              <w:spacing w:after="0"/>
              <w:rPr>
                <w:sz w:val="20"/>
                <w:szCs w:val="20"/>
                <w:color w:val="auto"/>
              </w:rPr>
            </w:pPr>
          </w:p>
        </w:tc>
        <w:tc>
          <w:tcPr>
            <w:tcW w:w="5340" w:type="dxa"/>
            <w:vAlign w:val="bottom"/>
          </w:tcPr>
          <w:p>
            <w:pPr>
              <w:ind w:left="180"/>
              <w:spacing w:after="0"/>
              <w:rPr>
                <w:sz w:val="20"/>
                <w:szCs w:val="20"/>
                <w:color w:val="auto"/>
              </w:rPr>
            </w:pPr>
            <w:r>
              <w:rPr>
                <w:rFonts w:ascii="Arial" w:cs="Arial" w:eastAsia="Arial" w:hAnsi="Arial"/>
                <w:sz w:val="18"/>
                <w:szCs w:val="18"/>
                <w:color w:val="auto"/>
              </w:rPr>
              <w:t>member of the Board are invaluable to the Company.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776605</wp:posOffset>
            </wp:positionH>
            <wp:positionV relativeFrom="paragraph">
              <wp:posOffset>-1370965</wp:posOffset>
            </wp:positionV>
            <wp:extent cx="934085" cy="12344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934085" cy="1234440"/>
                    </a:xfrm>
                    <a:prstGeom prst="rect">
                      <a:avLst/>
                    </a:prstGeom>
                    <a:noFill/>
                  </pic:spPr>
                </pic:pic>
              </a:graphicData>
            </a:graphic>
          </wp:anchor>
        </w:drawing>
      </w:r>
    </w:p>
    <w:p>
      <w:pPr>
        <w:sectPr>
          <w:pgSz w:w="11900" w:h="16838" w:orient="portrait"/>
          <w:cols w:equalWidth="0" w:num="1">
            <w:col w:w="10160"/>
          </w:cols>
          <w:pgMar w:left="320" w:top="265"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1160"/>
        <w:spacing w:after="0"/>
        <w:tabs>
          <w:tab w:leader="none" w:pos="10040" w:val="left"/>
        </w:tabs>
        <w:rPr>
          <w:sz w:val="20"/>
          <w:szCs w:val="20"/>
          <w:color w:val="auto"/>
        </w:rPr>
      </w:pPr>
      <w:r>
        <w:rPr>
          <w:rFonts w:ascii="Arial" w:cs="Arial" w:eastAsia="Arial" w:hAnsi="Arial"/>
          <w:sz w:val="16"/>
          <w:szCs w:val="16"/>
          <w:color w:val="auto"/>
        </w:rPr>
        <w:t>2020 Proxy Statement | Proposals</w:t>
      </w:r>
      <w:r>
        <w:rPr>
          <w:sz w:val="20"/>
          <w:szCs w:val="20"/>
          <w:color w:val="auto"/>
        </w:rPr>
        <w:tab/>
      </w: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129540</wp:posOffset>
            </wp:positionV>
            <wp:extent cx="6995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160"/>
          </w:cols>
          <w:pgMar w:left="320" w:top="265" w:right="1419" w:bottom="1440" w:gutter="0" w:footer="0" w:header="0"/>
          <w:type w:val="continuous"/>
        </w:sectPr>
      </w:pPr>
    </w:p>
    <w:bookmarkStart w:id="13" w:name="page14"/>
    <w:bookmarkEnd w:id="13"/>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6515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3040" w:type="dxa"/>
        <w:tblCellMar>
          <w:top w:w="0" w:type="dxa"/>
          <w:left w:w="0" w:type="dxa"/>
          <w:bottom w:w="0" w:type="dxa"/>
          <w:right w:w="0" w:type="dxa"/>
        </w:tblCellMar>
      </w:tblPr>
      <w:tr>
        <w:trPr>
          <w:trHeight w:val="216"/>
        </w:trPr>
        <w:tc>
          <w:tcPr>
            <w:tcW w:w="1800" w:type="dxa"/>
            <w:vAlign w:val="bottom"/>
          </w:tcPr>
          <w:p>
            <w:pPr>
              <w:spacing w:after="0"/>
              <w:rPr>
                <w:sz w:val="20"/>
                <w:szCs w:val="20"/>
                <w:color w:val="auto"/>
              </w:rPr>
            </w:pPr>
            <w:r>
              <w:rPr>
                <w:rFonts w:ascii="Arial" w:cs="Arial" w:eastAsia="Arial" w:hAnsi="Arial"/>
                <w:sz w:val="18"/>
                <w:szCs w:val="18"/>
                <w:b w:val="1"/>
                <w:bCs w:val="1"/>
                <w:color w:val="auto"/>
              </w:rPr>
              <w:t>Joseph E. (Jeff)</w:t>
            </w:r>
          </w:p>
        </w:tc>
        <w:tc>
          <w:tcPr>
            <w:tcW w:w="5300" w:type="dxa"/>
            <w:vAlign w:val="bottom"/>
          </w:tcPr>
          <w:p>
            <w:pPr>
              <w:ind w:left="140"/>
              <w:spacing w:after="0"/>
              <w:rPr>
                <w:sz w:val="20"/>
                <w:szCs w:val="20"/>
                <w:color w:val="auto"/>
              </w:rPr>
            </w:pPr>
            <w:r>
              <w:rPr>
                <w:rFonts w:ascii="Arial" w:cs="Arial" w:eastAsia="Arial" w:hAnsi="Arial"/>
                <w:sz w:val="18"/>
                <w:szCs w:val="18"/>
                <w:color w:val="auto"/>
                <w:w w:val="96"/>
              </w:rPr>
              <w:t>Mr. Consolino joined the Board of Directors in December 2012 and</w:t>
            </w:r>
          </w:p>
        </w:tc>
        <w:tc>
          <w:tcPr>
            <w:tcW w:w="0" w:type="dxa"/>
            <w:vAlign w:val="bottom"/>
          </w:tcPr>
          <w:p>
            <w:pPr>
              <w:spacing w:after="0"/>
              <w:rPr>
                <w:sz w:val="1"/>
                <w:szCs w:val="1"/>
                <w:color w:val="auto"/>
              </w:rPr>
            </w:pPr>
          </w:p>
        </w:tc>
      </w:tr>
      <w:tr>
        <w:trPr>
          <w:trHeight w:val="220"/>
        </w:trPr>
        <w:tc>
          <w:tcPr>
            <w:tcW w:w="1800" w:type="dxa"/>
            <w:vAlign w:val="bottom"/>
          </w:tcPr>
          <w:p>
            <w:pPr>
              <w:spacing w:after="0"/>
              <w:rPr>
                <w:sz w:val="20"/>
                <w:szCs w:val="20"/>
                <w:color w:val="auto"/>
              </w:rPr>
            </w:pPr>
            <w:r>
              <w:rPr>
                <w:rFonts w:ascii="Arial" w:cs="Arial" w:eastAsia="Arial" w:hAnsi="Arial"/>
                <w:sz w:val="18"/>
                <w:szCs w:val="18"/>
                <w:b w:val="1"/>
                <w:bCs w:val="1"/>
                <w:color w:val="auto"/>
              </w:rPr>
              <w:t>Consolino</w:t>
            </w:r>
          </w:p>
        </w:tc>
        <w:tc>
          <w:tcPr>
            <w:tcW w:w="5300" w:type="dxa"/>
            <w:vAlign w:val="bottom"/>
          </w:tcPr>
          <w:p>
            <w:pPr>
              <w:ind w:left="140"/>
              <w:spacing w:after="0"/>
              <w:rPr>
                <w:sz w:val="20"/>
                <w:szCs w:val="20"/>
                <w:color w:val="auto"/>
              </w:rPr>
            </w:pPr>
            <w:r>
              <w:rPr>
                <w:rFonts w:ascii="Arial" w:cs="Arial" w:eastAsia="Arial" w:hAnsi="Arial"/>
                <w:sz w:val="18"/>
                <w:szCs w:val="18"/>
                <w:color w:val="auto"/>
                <w:w w:val="96"/>
              </w:rPr>
              <w:t>became Executive Vice President and Chief Financial Officer of the</w:t>
            </w:r>
          </w:p>
        </w:tc>
        <w:tc>
          <w:tcPr>
            <w:tcW w:w="0" w:type="dxa"/>
            <w:vAlign w:val="bottom"/>
          </w:tcPr>
          <w:p>
            <w:pPr>
              <w:spacing w:after="0"/>
              <w:rPr>
                <w:sz w:val="1"/>
                <w:szCs w:val="1"/>
                <w:color w:val="auto"/>
              </w:rPr>
            </w:pPr>
          </w:p>
        </w:tc>
      </w:tr>
      <w:tr>
        <w:trPr>
          <w:trHeight w:val="216"/>
        </w:trPr>
        <w:tc>
          <w:tcPr>
            <w:tcW w:w="1800" w:type="dxa"/>
            <w:vAlign w:val="bottom"/>
            <w:vMerge w:val="restart"/>
          </w:tcPr>
          <w:p>
            <w:pPr>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53</w:t>
            </w:r>
          </w:p>
        </w:tc>
        <w:tc>
          <w:tcPr>
            <w:tcW w:w="5300" w:type="dxa"/>
            <w:vAlign w:val="bottom"/>
          </w:tcPr>
          <w:p>
            <w:pPr>
              <w:ind w:left="140"/>
              <w:spacing w:after="0"/>
              <w:rPr>
                <w:sz w:val="20"/>
                <w:szCs w:val="20"/>
                <w:color w:val="auto"/>
              </w:rPr>
            </w:pPr>
            <w:r>
              <w:rPr>
                <w:rFonts w:ascii="Arial" w:cs="Arial" w:eastAsia="Arial" w:hAnsi="Arial"/>
                <w:sz w:val="18"/>
                <w:szCs w:val="18"/>
                <w:color w:val="auto"/>
                <w:w w:val="94"/>
              </w:rPr>
              <w:t>Company in February 2013. From February 2013 until its acquisition</w:t>
            </w:r>
          </w:p>
        </w:tc>
        <w:tc>
          <w:tcPr>
            <w:tcW w:w="0" w:type="dxa"/>
            <w:vAlign w:val="bottom"/>
          </w:tcPr>
          <w:p>
            <w:pPr>
              <w:spacing w:after="0"/>
              <w:rPr>
                <w:sz w:val="1"/>
                <w:szCs w:val="1"/>
                <w:color w:val="auto"/>
              </w:rPr>
            </w:pPr>
          </w:p>
        </w:tc>
      </w:tr>
      <w:tr>
        <w:trPr>
          <w:trHeight w:val="212"/>
        </w:trPr>
        <w:tc>
          <w:tcPr>
            <w:tcW w:w="1800" w:type="dxa"/>
            <w:vAlign w:val="bottom"/>
            <w:vMerge w:val="continue"/>
          </w:tcPr>
          <w:p>
            <w:pPr>
              <w:spacing w:after="0"/>
              <w:rPr>
                <w:sz w:val="18"/>
                <w:szCs w:val="18"/>
                <w:color w:val="auto"/>
              </w:rPr>
            </w:pPr>
          </w:p>
        </w:tc>
        <w:tc>
          <w:tcPr>
            <w:tcW w:w="5300" w:type="dxa"/>
            <w:vAlign w:val="bottom"/>
          </w:tcPr>
          <w:p>
            <w:pPr>
              <w:ind w:left="140"/>
              <w:spacing w:after="0"/>
              <w:rPr>
                <w:sz w:val="20"/>
                <w:szCs w:val="20"/>
                <w:color w:val="auto"/>
              </w:rPr>
            </w:pPr>
            <w:r>
              <w:rPr>
                <w:rFonts w:ascii="Arial" w:cs="Arial" w:eastAsia="Arial" w:hAnsi="Arial"/>
                <w:sz w:val="18"/>
                <w:szCs w:val="18"/>
                <w:color w:val="auto"/>
                <w:w w:val="97"/>
              </w:rPr>
              <w:t>by the Company in November 2016, he served as Chairman of the</w:t>
            </w:r>
          </w:p>
        </w:tc>
        <w:tc>
          <w:tcPr>
            <w:tcW w:w="0" w:type="dxa"/>
            <w:vAlign w:val="bottom"/>
          </w:tcPr>
          <w:p>
            <w:pPr>
              <w:spacing w:after="0"/>
              <w:rPr>
                <w:sz w:val="1"/>
                <w:szCs w:val="1"/>
                <w:color w:val="auto"/>
              </w:rPr>
            </w:pPr>
          </w:p>
        </w:tc>
      </w:tr>
      <w:tr>
        <w:trPr>
          <w:trHeight w:val="220"/>
        </w:trPr>
        <w:tc>
          <w:tcPr>
            <w:tcW w:w="1800" w:type="dxa"/>
            <w:vAlign w:val="bottom"/>
          </w:tcPr>
          <w:p>
            <w:pPr>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2012</w:t>
            </w:r>
          </w:p>
        </w:tc>
        <w:tc>
          <w:tcPr>
            <w:tcW w:w="5300" w:type="dxa"/>
            <w:vAlign w:val="bottom"/>
          </w:tcPr>
          <w:p>
            <w:pPr>
              <w:ind w:left="140"/>
              <w:spacing w:after="0"/>
              <w:rPr>
                <w:sz w:val="20"/>
                <w:szCs w:val="20"/>
                <w:color w:val="auto"/>
              </w:rPr>
            </w:pPr>
            <w:r>
              <w:rPr>
                <w:rFonts w:ascii="Arial" w:cs="Arial" w:eastAsia="Arial" w:hAnsi="Arial"/>
                <w:sz w:val="18"/>
                <w:szCs w:val="18"/>
                <w:color w:val="auto"/>
                <w:w w:val="91"/>
              </w:rPr>
              <w:t>Board of the Company’s majority-owned subsidiary, National Interstate</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5300" w:type="dxa"/>
            <w:vAlign w:val="bottom"/>
          </w:tcPr>
          <w:p>
            <w:pPr>
              <w:ind w:left="140"/>
              <w:spacing w:after="0"/>
              <w:rPr>
                <w:sz w:val="20"/>
                <w:szCs w:val="20"/>
                <w:color w:val="auto"/>
              </w:rPr>
            </w:pPr>
            <w:r>
              <w:rPr>
                <w:rFonts w:ascii="Arial" w:cs="Arial" w:eastAsia="Arial" w:hAnsi="Arial"/>
                <w:sz w:val="18"/>
                <w:szCs w:val="18"/>
                <w:color w:val="auto"/>
                <w:w w:val="91"/>
              </w:rPr>
              <w:t>Corporation. In December 2015, Mr. Consolino was appointed to serve</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5300" w:type="dxa"/>
            <w:vAlign w:val="bottom"/>
          </w:tcPr>
          <w:p>
            <w:pPr>
              <w:ind w:left="140"/>
              <w:spacing w:after="0"/>
              <w:rPr>
                <w:sz w:val="20"/>
                <w:szCs w:val="20"/>
                <w:color w:val="auto"/>
              </w:rPr>
            </w:pPr>
            <w:r>
              <w:rPr>
                <w:rFonts w:ascii="Arial" w:cs="Arial" w:eastAsia="Arial" w:hAnsi="Arial"/>
                <w:sz w:val="18"/>
                <w:szCs w:val="18"/>
                <w:color w:val="auto"/>
                <w:w w:val="92"/>
              </w:rPr>
              <w:t>as Chairman of the Board of Neon Capital Limited, a subsidiary of the</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5300" w:type="dxa"/>
            <w:vAlign w:val="bottom"/>
          </w:tcPr>
          <w:p>
            <w:pPr>
              <w:ind w:left="140"/>
              <w:spacing w:after="0"/>
              <w:rPr>
                <w:sz w:val="20"/>
                <w:szCs w:val="20"/>
                <w:color w:val="auto"/>
              </w:rPr>
            </w:pPr>
            <w:r>
              <w:rPr>
                <w:rFonts w:ascii="Arial" w:cs="Arial" w:eastAsia="Arial" w:hAnsi="Arial"/>
                <w:sz w:val="18"/>
                <w:szCs w:val="18"/>
                <w:color w:val="auto"/>
                <w:w w:val="99"/>
              </w:rPr>
              <w:t>Company. Prior to joining the Company, Mr. Consolino served as</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5300" w:type="dxa"/>
            <w:vAlign w:val="bottom"/>
          </w:tcPr>
          <w:p>
            <w:pPr>
              <w:ind w:left="140"/>
              <w:spacing w:after="0"/>
              <w:rPr>
                <w:sz w:val="20"/>
                <w:szCs w:val="20"/>
                <w:color w:val="auto"/>
              </w:rPr>
            </w:pPr>
            <w:r>
              <w:rPr>
                <w:rFonts w:ascii="Arial" w:cs="Arial" w:eastAsia="Arial" w:hAnsi="Arial"/>
                <w:sz w:val="18"/>
                <w:szCs w:val="18"/>
                <w:color w:val="auto"/>
              </w:rPr>
              <w:t>President and Chief Financial Officer of Validus Holdings, Ltd., a</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5300" w:type="dxa"/>
            <w:vAlign w:val="bottom"/>
          </w:tcPr>
          <w:p>
            <w:pPr>
              <w:ind w:left="140"/>
              <w:spacing w:after="0"/>
              <w:rPr>
                <w:sz w:val="20"/>
                <w:szCs w:val="20"/>
                <w:color w:val="auto"/>
              </w:rPr>
            </w:pPr>
            <w:r>
              <w:rPr>
                <w:rFonts w:ascii="Arial" w:cs="Arial" w:eastAsia="Arial" w:hAnsi="Arial"/>
                <w:sz w:val="18"/>
                <w:szCs w:val="18"/>
                <w:color w:val="auto"/>
              </w:rPr>
              <w:t>Bermuda-based property and casualty (re)insurance company.</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5300" w:type="dxa"/>
            <w:vAlign w:val="bottom"/>
          </w:tcPr>
          <w:p>
            <w:pPr>
              <w:ind w:left="140"/>
              <w:spacing w:after="0"/>
              <w:rPr>
                <w:sz w:val="20"/>
                <w:szCs w:val="20"/>
                <w:color w:val="auto"/>
              </w:rPr>
            </w:pPr>
            <w:r>
              <w:rPr>
                <w:rFonts w:ascii="Arial" w:cs="Arial" w:eastAsia="Arial" w:hAnsi="Arial"/>
                <w:sz w:val="18"/>
                <w:szCs w:val="18"/>
                <w:color w:val="auto"/>
                <w:w w:val="94"/>
              </w:rPr>
              <w:t>Mr. Consolino also served as Chief Executive Officer, President and</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5300" w:type="dxa"/>
            <w:vAlign w:val="bottom"/>
          </w:tcPr>
          <w:p>
            <w:pPr>
              <w:ind w:left="140"/>
              <w:spacing w:after="0"/>
              <w:rPr>
                <w:sz w:val="20"/>
                <w:szCs w:val="20"/>
                <w:color w:val="auto"/>
              </w:rPr>
            </w:pPr>
            <w:r>
              <w:rPr>
                <w:rFonts w:ascii="Arial" w:cs="Arial" w:eastAsia="Arial" w:hAnsi="Arial"/>
                <w:sz w:val="18"/>
                <w:szCs w:val="18"/>
                <w:color w:val="auto"/>
                <w:w w:val="91"/>
              </w:rPr>
              <w:t>founding Director of PαCRe Ltd., a Bermuda-based underwriter of top-</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5300" w:type="dxa"/>
            <w:vAlign w:val="bottom"/>
          </w:tcPr>
          <w:p>
            <w:pPr>
              <w:ind w:left="140"/>
              <w:spacing w:after="0"/>
              <w:rPr>
                <w:sz w:val="20"/>
                <w:szCs w:val="20"/>
                <w:color w:val="auto"/>
              </w:rPr>
            </w:pPr>
            <w:r>
              <w:rPr>
                <w:rFonts w:ascii="Arial" w:cs="Arial" w:eastAsia="Arial" w:hAnsi="Arial"/>
                <w:sz w:val="18"/>
                <w:szCs w:val="18"/>
                <w:color w:val="auto"/>
                <w:w w:val="89"/>
              </w:rPr>
              <w:t>layer property catastrophe (re)insurance during his time as an executive</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5300" w:type="dxa"/>
            <w:vAlign w:val="bottom"/>
          </w:tcPr>
          <w:p>
            <w:pPr>
              <w:ind w:left="140"/>
              <w:spacing w:after="0"/>
              <w:rPr>
                <w:sz w:val="20"/>
                <w:szCs w:val="20"/>
                <w:color w:val="auto"/>
              </w:rPr>
            </w:pPr>
            <w:r>
              <w:rPr>
                <w:rFonts w:ascii="Arial" w:cs="Arial" w:eastAsia="Arial" w:hAnsi="Arial"/>
                <w:sz w:val="18"/>
                <w:szCs w:val="18"/>
                <w:color w:val="auto"/>
                <w:w w:val="94"/>
              </w:rPr>
              <w:t>officer of Validus through December 2015, when PαCRe Ltd. ceased</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5300" w:type="dxa"/>
            <w:vAlign w:val="bottom"/>
          </w:tcPr>
          <w:p>
            <w:pPr>
              <w:ind w:left="140"/>
              <w:spacing w:after="0"/>
              <w:rPr>
                <w:sz w:val="20"/>
                <w:szCs w:val="20"/>
                <w:color w:val="auto"/>
              </w:rPr>
            </w:pPr>
            <w:r>
              <w:rPr>
                <w:rFonts w:ascii="Arial" w:cs="Arial" w:eastAsia="Arial" w:hAnsi="Arial"/>
                <w:sz w:val="18"/>
                <w:szCs w:val="18"/>
                <w:color w:val="auto"/>
                <w:w w:val="93"/>
              </w:rPr>
              <w:t>operations and returned all capital to its shareholders. Prior to joining</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5300" w:type="dxa"/>
            <w:vAlign w:val="bottom"/>
          </w:tcPr>
          <w:p>
            <w:pPr>
              <w:ind w:left="140"/>
              <w:spacing w:after="0"/>
              <w:rPr>
                <w:sz w:val="20"/>
                <w:szCs w:val="20"/>
                <w:color w:val="auto"/>
              </w:rPr>
            </w:pPr>
            <w:r>
              <w:rPr>
                <w:rFonts w:ascii="Arial" w:cs="Arial" w:eastAsia="Arial" w:hAnsi="Arial"/>
                <w:sz w:val="18"/>
                <w:szCs w:val="18"/>
                <w:color w:val="auto"/>
                <w:w w:val="90"/>
              </w:rPr>
              <w:t>Validus in March 2006, Mr. Consolino served as a managing director in</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5300" w:type="dxa"/>
            <w:vAlign w:val="bottom"/>
          </w:tcPr>
          <w:p>
            <w:pPr>
              <w:ind w:left="140"/>
              <w:spacing w:after="0"/>
              <w:rPr>
                <w:sz w:val="20"/>
                <w:szCs w:val="20"/>
                <w:color w:val="auto"/>
              </w:rPr>
            </w:pPr>
            <w:r>
              <w:rPr>
                <w:rFonts w:ascii="Arial" w:cs="Arial" w:eastAsia="Arial" w:hAnsi="Arial"/>
                <w:sz w:val="18"/>
                <w:szCs w:val="18"/>
                <w:color w:val="auto"/>
                <w:w w:val="97"/>
              </w:rPr>
              <w:t>Merrill Lynch’s investment banking division. While at Merrill Lynch,</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5300" w:type="dxa"/>
            <w:vAlign w:val="bottom"/>
          </w:tcPr>
          <w:p>
            <w:pPr>
              <w:ind w:left="140"/>
              <w:spacing w:after="0"/>
              <w:rPr>
                <w:sz w:val="20"/>
                <w:szCs w:val="20"/>
                <w:color w:val="auto"/>
              </w:rPr>
            </w:pPr>
            <w:r>
              <w:rPr>
                <w:rFonts w:ascii="Arial" w:cs="Arial" w:eastAsia="Arial" w:hAnsi="Arial"/>
                <w:sz w:val="18"/>
                <w:szCs w:val="18"/>
                <w:color w:val="auto"/>
              </w:rPr>
              <w:t>Mr. Consolino specialized in insurance company advisory and</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5300" w:type="dxa"/>
            <w:vAlign w:val="bottom"/>
          </w:tcPr>
          <w:p>
            <w:pPr>
              <w:ind w:left="140"/>
              <w:spacing w:after="0"/>
              <w:rPr>
                <w:sz w:val="20"/>
                <w:szCs w:val="20"/>
                <w:color w:val="auto"/>
              </w:rPr>
            </w:pPr>
            <w:r>
              <w:rPr>
                <w:rFonts w:ascii="Arial" w:cs="Arial" w:eastAsia="Arial" w:hAnsi="Arial"/>
                <w:sz w:val="18"/>
                <w:szCs w:val="18"/>
                <w:color w:val="auto"/>
                <w:w w:val="94"/>
              </w:rPr>
              <w:t>financing transactions. He currently serves as a director of AmWINS</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5300" w:type="dxa"/>
            <w:vAlign w:val="bottom"/>
          </w:tcPr>
          <w:p>
            <w:pPr>
              <w:ind w:left="140"/>
              <w:spacing w:after="0"/>
              <w:rPr>
                <w:sz w:val="20"/>
                <w:szCs w:val="20"/>
                <w:color w:val="auto"/>
              </w:rPr>
            </w:pPr>
            <w:r>
              <w:rPr>
                <w:rFonts w:ascii="Arial" w:cs="Arial" w:eastAsia="Arial" w:hAnsi="Arial"/>
                <w:sz w:val="18"/>
                <w:szCs w:val="18"/>
                <w:color w:val="auto"/>
                <w:w w:val="95"/>
              </w:rPr>
              <w:t>Group, Inc., a wholesale insurance broker based in Charlotte, North</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5300" w:type="dxa"/>
            <w:vAlign w:val="bottom"/>
          </w:tcPr>
          <w:p>
            <w:pPr>
              <w:ind w:left="140"/>
              <w:spacing w:after="0"/>
              <w:rPr>
                <w:sz w:val="20"/>
                <w:szCs w:val="20"/>
                <w:color w:val="auto"/>
              </w:rPr>
            </w:pPr>
            <w:r>
              <w:rPr>
                <w:rFonts w:ascii="Arial" w:cs="Arial" w:eastAsia="Arial" w:hAnsi="Arial"/>
                <w:sz w:val="18"/>
                <w:szCs w:val="18"/>
                <w:color w:val="auto"/>
                <w:w w:val="93"/>
              </w:rPr>
              <w:t>Carolina. Until 2015, Mr. Consolino served on the boards of directors</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5300" w:type="dxa"/>
            <w:vAlign w:val="bottom"/>
          </w:tcPr>
          <w:p>
            <w:pPr>
              <w:ind w:left="140"/>
              <w:spacing w:after="0"/>
              <w:rPr>
                <w:sz w:val="20"/>
                <w:szCs w:val="20"/>
                <w:color w:val="auto"/>
              </w:rPr>
            </w:pPr>
            <w:r>
              <w:rPr>
                <w:rFonts w:ascii="Arial" w:cs="Arial" w:eastAsia="Arial" w:hAnsi="Arial"/>
                <w:sz w:val="18"/>
                <w:szCs w:val="18"/>
                <w:color w:val="auto"/>
                <w:w w:val="92"/>
              </w:rPr>
              <w:t>of Validus and PαCRe Ltd and also previously served as a member of</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5300" w:type="dxa"/>
            <w:vAlign w:val="bottom"/>
          </w:tcPr>
          <w:p>
            <w:pPr>
              <w:ind w:left="140"/>
              <w:spacing w:after="0"/>
              <w:rPr>
                <w:sz w:val="20"/>
                <w:szCs w:val="20"/>
                <w:color w:val="auto"/>
              </w:rPr>
            </w:pPr>
            <w:r>
              <w:rPr>
                <w:rFonts w:ascii="Arial" w:cs="Arial" w:eastAsia="Arial" w:hAnsi="Arial"/>
                <w:sz w:val="18"/>
                <w:szCs w:val="18"/>
                <w:color w:val="auto"/>
                <w:w w:val="90"/>
              </w:rPr>
              <w:t>the Board of Overseers of the School of Risk Management at St. John's</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5300" w:type="dxa"/>
            <w:vAlign w:val="bottom"/>
          </w:tcPr>
          <w:p>
            <w:pPr>
              <w:ind w:left="140"/>
              <w:spacing w:after="0"/>
              <w:rPr>
                <w:sz w:val="20"/>
                <w:szCs w:val="20"/>
                <w:color w:val="auto"/>
              </w:rPr>
            </w:pPr>
            <w:r>
              <w:rPr>
                <w:rFonts w:ascii="Arial" w:cs="Arial" w:eastAsia="Arial" w:hAnsi="Arial"/>
                <w:sz w:val="18"/>
                <w:szCs w:val="18"/>
                <w:color w:val="auto"/>
                <w:w w:val="91"/>
              </w:rPr>
              <w:t>University. The Board believes that Mr. Consolino’s experience serving</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5300" w:type="dxa"/>
            <w:vAlign w:val="bottom"/>
          </w:tcPr>
          <w:p>
            <w:pPr>
              <w:ind w:left="140"/>
              <w:spacing w:after="0"/>
              <w:rPr>
                <w:sz w:val="20"/>
                <w:szCs w:val="20"/>
                <w:color w:val="auto"/>
              </w:rPr>
            </w:pPr>
            <w:r>
              <w:rPr>
                <w:rFonts w:ascii="Arial" w:cs="Arial" w:eastAsia="Arial" w:hAnsi="Arial"/>
                <w:sz w:val="18"/>
                <w:szCs w:val="18"/>
                <w:color w:val="auto"/>
                <w:w w:val="91"/>
              </w:rPr>
              <w:t>as president and chief financial officer for both a property and casualty</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5300" w:type="dxa"/>
            <w:vAlign w:val="bottom"/>
          </w:tcPr>
          <w:p>
            <w:pPr>
              <w:ind w:left="140"/>
              <w:spacing w:after="0"/>
              <w:rPr>
                <w:sz w:val="20"/>
                <w:szCs w:val="20"/>
                <w:color w:val="auto"/>
              </w:rPr>
            </w:pPr>
            <w:r>
              <w:rPr>
                <w:rFonts w:ascii="Arial" w:cs="Arial" w:eastAsia="Arial" w:hAnsi="Arial"/>
                <w:sz w:val="18"/>
                <w:szCs w:val="18"/>
                <w:color w:val="auto"/>
                <w:w w:val="97"/>
              </w:rPr>
              <w:t>insurance company group and a publicly-traded holding company,</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5300" w:type="dxa"/>
            <w:vAlign w:val="bottom"/>
          </w:tcPr>
          <w:p>
            <w:pPr>
              <w:ind w:left="140"/>
              <w:spacing w:after="0"/>
              <w:rPr>
                <w:sz w:val="20"/>
                <w:szCs w:val="20"/>
                <w:color w:val="auto"/>
              </w:rPr>
            </w:pPr>
            <w:r>
              <w:rPr>
                <w:rFonts w:ascii="Arial" w:cs="Arial" w:eastAsia="Arial" w:hAnsi="Arial"/>
                <w:sz w:val="18"/>
                <w:szCs w:val="18"/>
                <w:color w:val="auto"/>
                <w:w w:val="97"/>
              </w:rPr>
              <w:t>knowledge of its operations and his over 25 years of experience in</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5300" w:type="dxa"/>
            <w:vAlign w:val="bottom"/>
          </w:tcPr>
          <w:p>
            <w:pPr>
              <w:ind w:left="140"/>
              <w:spacing w:after="0"/>
              <w:rPr>
                <w:sz w:val="20"/>
                <w:szCs w:val="20"/>
                <w:color w:val="auto"/>
              </w:rPr>
            </w:pPr>
            <w:r>
              <w:rPr>
                <w:rFonts w:ascii="Arial" w:cs="Arial" w:eastAsia="Arial" w:hAnsi="Arial"/>
                <w:sz w:val="18"/>
                <w:szCs w:val="18"/>
                <w:color w:val="auto"/>
                <w:w w:val="96"/>
              </w:rPr>
              <w:t>insurance-related financial matters give him unique qualifications to</w:t>
            </w:r>
          </w:p>
        </w:tc>
        <w:tc>
          <w:tcPr>
            <w:tcW w:w="0" w:type="dxa"/>
            <w:vAlign w:val="bottom"/>
          </w:tcPr>
          <w:p>
            <w:pPr>
              <w:spacing w:after="0"/>
              <w:rPr>
                <w:sz w:val="1"/>
                <w:szCs w:val="1"/>
                <w:color w:val="auto"/>
              </w:rPr>
            </w:pPr>
          </w:p>
        </w:tc>
      </w:tr>
      <w:tr>
        <w:trPr>
          <w:trHeight w:val="230"/>
        </w:trPr>
        <w:tc>
          <w:tcPr>
            <w:tcW w:w="1800" w:type="dxa"/>
            <w:vAlign w:val="bottom"/>
          </w:tcPr>
          <w:p>
            <w:pPr>
              <w:spacing w:after="0"/>
              <w:rPr>
                <w:sz w:val="20"/>
                <w:szCs w:val="20"/>
                <w:color w:val="auto"/>
              </w:rPr>
            </w:pPr>
          </w:p>
        </w:tc>
        <w:tc>
          <w:tcPr>
            <w:tcW w:w="5300" w:type="dxa"/>
            <w:vAlign w:val="bottom"/>
          </w:tcPr>
          <w:p>
            <w:pPr>
              <w:ind w:left="140"/>
              <w:spacing w:after="0"/>
              <w:rPr>
                <w:sz w:val="20"/>
                <w:szCs w:val="20"/>
                <w:color w:val="auto"/>
              </w:rPr>
            </w:pPr>
            <w:r>
              <w:rPr>
                <w:rFonts w:ascii="Arial" w:cs="Arial" w:eastAsia="Arial" w:hAnsi="Arial"/>
                <w:sz w:val="18"/>
                <w:szCs w:val="18"/>
                <w:color w:val="auto"/>
              </w:rPr>
              <w:t>serve as a member of the Board.</w:t>
            </w:r>
          </w:p>
        </w:tc>
        <w:tc>
          <w:tcPr>
            <w:tcW w:w="0" w:type="dxa"/>
            <w:vAlign w:val="bottom"/>
          </w:tcPr>
          <w:p>
            <w:pPr>
              <w:spacing w:after="0"/>
              <w:rPr>
                <w:sz w:val="1"/>
                <w:szCs w:val="1"/>
                <w:color w:val="auto"/>
              </w:rPr>
            </w:pPr>
          </w:p>
        </w:tc>
      </w:tr>
      <w:tr>
        <w:trPr>
          <w:trHeight w:val="630"/>
        </w:trPr>
        <w:tc>
          <w:tcPr>
            <w:tcW w:w="1800" w:type="dxa"/>
            <w:vAlign w:val="bottom"/>
          </w:tcPr>
          <w:p>
            <w:pPr>
              <w:spacing w:after="0"/>
              <w:rPr>
                <w:sz w:val="20"/>
                <w:szCs w:val="20"/>
                <w:color w:val="auto"/>
              </w:rPr>
            </w:pPr>
            <w:r>
              <w:rPr>
                <w:rFonts w:ascii="Arial" w:cs="Arial" w:eastAsia="Arial" w:hAnsi="Arial"/>
                <w:sz w:val="18"/>
                <w:szCs w:val="18"/>
                <w:b w:val="1"/>
                <w:bCs w:val="1"/>
                <w:color w:val="auto"/>
              </w:rPr>
              <w:t>Virginia “Gina” C.</w:t>
            </w:r>
          </w:p>
        </w:tc>
        <w:tc>
          <w:tcPr>
            <w:tcW w:w="5300" w:type="dxa"/>
            <w:vAlign w:val="bottom"/>
          </w:tcPr>
          <w:p>
            <w:pPr>
              <w:ind w:left="140"/>
              <w:spacing w:after="0"/>
              <w:rPr>
                <w:sz w:val="20"/>
                <w:szCs w:val="20"/>
                <w:color w:val="auto"/>
              </w:rPr>
            </w:pPr>
            <w:r>
              <w:rPr>
                <w:rFonts w:ascii="Arial" w:cs="Arial" w:eastAsia="Arial" w:hAnsi="Arial"/>
                <w:sz w:val="18"/>
                <w:szCs w:val="18"/>
                <w:color w:val="auto"/>
              </w:rPr>
              <w:t>Ms. Drosos began serving as Chief Executive Officer of Signet</w:t>
            </w:r>
          </w:p>
        </w:tc>
        <w:tc>
          <w:tcPr>
            <w:tcW w:w="0" w:type="dxa"/>
            <w:vAlign w:val="bottom"/>
          </w:tcPr>
          <w:p>
            <w:pPr>
              <w:spacing w:after="0"/>
              <w:rPr>
                <w:sz w:val="1"/>
                <w:szCs w:val="1"/>
                <w:color w:val="auto"/>
              </w:rPr>
            </w:pPr>
          </w:p>
        </w:tc>
      </w:tr>
      <w:tr>
        <w:trPr>
          <w:trHeight w:val="220"/>
        </w:trPr>
        <w:tc>
          <w:tcPr>
            <w:tcW w:w="1800" w:type="dxa"/>
            <w:vAlign w:val="bottom"/>
          </w:tcPr>
          <w:p>
            <w:pPr>
              <w:spacing w:after="0"/>
              <w:rPr>
                <w:sz w:val="20"/>
                <w:szCs w:val="20"/>
                <w:color w:val="auto"/>
              </w:rPr>
            </w:pPr>
            <w:r>
              <w:rPr>
                <w:rFonts w:ascii="Arial" w:cs="Arial" w:eastAsia="Arial" w:hAnsi="Arial"/>
                <w:sz w:val="18"/>
                <w:szCs w:val="18"/>
                <w:b w:val="1"/>
                <w:bCs w:val="1"/>
                <w:color w:val="auto"/>
              </w:rPr>
              <w:t>Drosos</w:t>
            </w:r>
          </w:p>
        </w:tc>
        <w:tc>
          <w:tcPr>
            <w:tcW w:w="5300" w:type="dxa"/>
            <w:vAlign w:val="bottom"/>
          </w:tcPr>
          <w:p>
            <w:pPr>
              <w:ind w:left="140"/>
              <w:spacing w:after="0"/>
              <w:rPr>
                <w:sz w:val="20"/>
                <w:szCs w:val="20"/>
                <w:color w:val="auto"/>
              </w:rPr>
            </w:pPr>
            <w:r>
              <w:rPr>
                <w:rFonts w:ascii="Arial" w:cs="Arial" w:eastAsia="Arial" w:hAnsi="Arial"/>
                <w:sz w:val="18"/>
                <w:szCs w:val="18"/>
                <w:color w:val="auto"/>
              </w:rPr>
              <w:t>Jewelers Limited, a specialty retail jeweler, in August 2017, after</w:t>
            </w:r>
          </w:p>
        </w:tc>
        <w:tc>
          <w:tcPr>
            <w:tcW w:w="0" w:type="dxa"/>
            <w:vAlign w:val="bottom"/>
          </w:tcPr>
          <w:p>
            <w:pPr>
              <w:spacing w:after="0"/>
              <w:rPr>
                <w:sz w:val="1"/>
                <w:szCs w:val="1"/>
                <w:color w:val="auto"/>
              </w:rPr>
            </w:pPr>
          </w:p>
        </w:tc>
      </w:tr>
      <w:tr>
        <w:trPr>
          <w:trHeight w:val="216"/>
        </w:trPr>
        <w:tc>
          <w:tcPr>
            <w:tcW w:w="1800" w:type="dxa"/>
            <w:vAlign w:val="bottom"/>
            <w:vMerge w:val="restart"/>
          </w:tcPr>
          <w:p>
            <w:pPr>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57</w:t>
            </w:r>
          </w:p>
        </w:tc>
        <w:tc>
          <w:tcPr>
            <w:tcW w:w="5300" w:type="dxa"/>
            <w:vAlign w:val="bottom"/>
          </w:tcPr>
          <w:p>
            <w:pPr>
              <w:ind w:left="140"/>
              <w:spacing w:after="0"/>
              <w:rPr>
                <w:sz w:val="20"/>
                <w:szCs w:val="20"/>
                <w:color w:val="auto"/>
              </w:rPr>
            </w:pPr>
            <w:r>
              <w:rPr>
                <w:rFonts w:ascii="Arial" w:cs="Arial" w:eastAsia="Arial" w:hAnsi="Arial"/>
                <w:sz w:val="18"/>
                <w:szCs w:val="18"/>
                <w:color w:val="auto"/>
                <w:w w:val="92"/>
              </w:rPr>
              <w:t>having served on the Board of Directors of the company for more than</w:t>
            </w:r>
          </w:p>
        </w:tc>
        <w:tc>
          <w:tcPr>
            <w:tcW w:w="0" w:type="dxa"/>
            <w:vAlign w:val="bottom"/>
          </w:tcPr>
          <w:p>
            <w:pPr>
              <w:spacing w:after="0"/>
              <w:rPr>
                <w:sz w:val="1"/>
                <w:szCs w:val="1"/>
                <w:color w:val="auto"/>
              </w:rPr>
            </w:pPr>
          </w:p>
        </w:tc>
      </w:tr>
      <w:tr>
        <w:trPr>
          <w:trHeight w:val="212"/>
        </w:trPr>
        <w:tc>
          <w:tcPr>
            <w:tcW w:w="1800" w:type="dxa"/>
            <w:vAlign w:val="bottom"/>
            <w:vMerge w:val="continue"/>
          </w:tcPr>
          <w:p>
            <w:pPr>
              <w:spacing w:after="0"/>
              <w:rPr>
                <w:sz w:val="18"/>
                <w:szCs w:val="18"/>
                <w:color w:val="auto"/>
              </w:rPr>
            </w:pPr>
          </w:p>
        </w:tc>
        <w:tc>
          <w:tcPr>
            <w:tcW w:w="5300" w:type="dxa"/>
            <w:vAlign w:val="bottom"/>
          </w:tcPr>
          <w:p>
            <w:pPr>
              <w:ind w:left="140"/>
              <w:spacing w:after="0"/>
              <w:rPr>
                <w:sz w:val="20"/>
                <w:szCs w:val="20"/>
                <w:color w:val="auto"/>
              </w:rPr>
            </w:pPr>
            <w:r>
              <w:rPr>
                <w:rFonts w:ascii="Arial" w:cs="Arial" w:eastAsia="Arial" w:hAnsi="Arial"/>
                <w:sz w:val="18"/>
                <w:szCs w:val="18"/>
                <w:color w:val="auto"/>
                <w:w w:val="98"/>
              </w:rPr>
              <w:t>five years. She previously served as Chief Executive Officer, from</w:t>
            </w:r>
          </w:p>
        </w:tc>
        <w:tc>
          <w:tcPr>
            <w:tcW w:w="0" w:type="dxa"/>
            <w:vAlign w:val="bottom"/>
          </w:tcPr>
          <w:p>
            <w:pPr>
              <w:spacing w:after="0"/>
              <w:rPr>
                <w:sz w:val="1"/>
                <w:szCs w:val="1"/>
                <w:color w:val="auto"/>
              </w:rPr>
            </w:pPr>
          </w:p>
        </w:tc>
      </w:tr>
      <w:tr>
        <w:trPr>
          <w:trHeight w:val="220"/>
        </w:trPr>
        <w:tc>
          <w:tcPr>
            <w:tcW w:w="1800" w:type="dxa"/>
            <w:vAlign w:val="bottom"/>
          </w:tcPr>
          <w:p>
            <w:pPr>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2013</w:t>
            </w:r>
          </w:p>
        </w:tc>
        <w:tc>
          <w:tcPr>
            <w:tcW w:w="5300" w:type="dxa"/>
            <w:vAlign w:val="bottom"/>
          </w:tcPr>
          <w:p>
            <w:pPr>
              <w:ind w:left="140"/>
              <w:spacing w:after="0"/>
              <w:rPr>
                <w:sz w:val="20"/>
                <w:szCs w:val="20"/>
                <w:color w:val="auto"/>
              </w:rPr>
            </w:pPr>
            <w:r>
              <w:rPr>
                <w:rFonts w:ascii="Arial" w:cs="Arial" w:eastAsia="Arial" w:hAnsi="Arial"/>
                <w:sz w:val="18"/>
                <w:szCs w:val="18"/>
                <w:color w:val="auto"/>
                <w:w w:val="99"/>
              </w:rPr>
              <w:t>2014-2017, and President, from 2013-2017, of Assurex Health, a</w:t>
            </w:r>
          </w:p>
        </w:tc>
        <w:tc>
          <w:tcPr>
            <w:tcW w:w="0" w:type="dxa"/>
            <w:vAlign w:val="bottom"/>
          </w:tcPr>
          <w:p>
            <w:pPr>
              <w:spacing w:after="0"/>
              <w:rPr>
                <w:sz w:val="1"/>
                <w:szCs w:val="1"/>
                <w:color w:val="auto"/>
              </w:rPr>
            </w:pPr>
          </w:p>
        </w:tc>
      </w:tr>
      <w:tr>
        <w:trPr>
          <w:trHeight w:val="216"/>
        </w:trPr>
        <w:tc>
          <w:tcPr>
            <w:tcW w:w="1800" w:type="dxa"/>
            <w:vAlign w:val="bottom"/>
            <w:vMerge w:val="restart"/>
          </w:tcPr>
          <w:p>
            <w:pPr>
              <w:spacing w:after="0"/>
              <w:rPr>
                <w:sz w:val="20"/>
                <w:szCs w:val="20"/>
                <w:color w:val="auto"/>
              </w:rPr>
            </w:pPr>
            <w:r>
              <w:rPr>
                <w:rFonts w:ascii="Arial" w:cs="Arial" w:eastAsia="Arial" w:hAnsi="Arial"/>
                <w:sz w:val="18"/>
                <w:szCs w:val="18"/>
                <w:b w:val="1"/>
                <w:bCs w:val="1"/>
                <w:color w:val="auto"/>
              </w:rPr>
              <w:t>Board Committees:</w:t>
            </w:r>
          </w:p>
        </w:tc>
        <w:tc>
          <w:tcPr>
            <w:tcW w:w="5300" w:type="dxa"/>
            <w:vAlign w:val="bottom"/>
          </w:tcPr>
          <w:p>
            <w:pPr>
              <w:ind w:left="140"/>
              <w:spacing w:after="0"/>
              <w:rPr>
                <w:sz w:val="20"/>
                <w:szCs w:val="20"/>
                <w:color w:val="auto"/>
              </w:rPr>
            </w:pPr>
            <w:r>
              <w:rPr>
                <w:rFonts w:ascii="Arial" w:cs="Arial" w:eastAsia="Arial" w:hAnsi="Arial"/>
                <w:sz w:val="18"/>
                <w:szCs w:val="18"/>
                <w:color w:val="auto"/>
                <w:w w:val="91"/>
              </w:rPr>
              <w:t>personalized medicine company specializing in pharmacogenomics for</w:t>
            </w:r>
          </w:p>
        </w:tc>
        <w:tc>
          <w:tcPr>
            <w:tcW w:w="0" w:type="dxa"/>
            <w:vAlign w:val="bottom"/>
          </w:tcPr>
          <w:p>
            <w:pPr>
              <w:spacing w:after="0"/>
              <w:rPr>
                <w:sz w:val="1"/>
                <w:szCs w:val="1"/>
                <w:color w:val="auto"/>
              </w:rPr>
            </w:pPr>
          </w:p>
        </w:tc>
      </w:tr>
      <w:tr>
        <w:trPr>
          <w:trHeight w:val="216"/>
        </w:trPr>
        <w:tc>
          <w:tcPr>
            <w:tcW w:w="1800" w:type="dxa"/>
            <w:vAlign w:val="bottom"/>
            <w:vMerge w:val="continue"/>
          </w:tcPr>
          <w:p>
            <w:pPr>
              <w:spacing w:after="0"/>
              <w:rPr>
                <w:sz w:val="18"/>
                <w:szCs w:val="18"/>
                <w:color w:val="auto"/>
              </w:rPr>
            </w:pPr>
          </w:p>
        </w:tc>
        <w:tc>
          <w:tcPr>
            <w:tcW w:w="5300" w:type="dxa"/>
            <w:vAlign w:val="bottom"/>
          </w:tcPr>
          <w:p>
            <w:pPr>
              <w:ind w:left="140"/>
              <w:spacing w:after="0"/>
              <w:rPr>
                <w:sz w:val="20"/>
                <w:szCs w:val="20"/>
                <w:color w:val="auto"/>
              </w:rPr>
            </w:pPr>
            <w:r>
              <w:rPr>
                <w:rFonts w:ascii="Arial" w:cs="Arial" w:eastAsia="Arial" w:hAnsi="Arial"/>
                <w:sz w:val="18"/>
                <w:szCs w:val="18"/>
                <w:color w:val="auto"/>
                <w:w w:val="94"/>
              </w:rPr>
              <w:t>neuropsychiatric and other disorders. Beginning in 1987, Ms. Drosos</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20"/>
                <w:szCs w:val="20"/>
                <w:color w:val="auto"/>
              </w:rPr>
            </w:pPr>
            <w:r>
              <w:rPr>
                <w:rFonts w:ascii="Arial" w:cs="Arial" w:eastAsia="Arial" w:hAnsi="Arial"/>
                <w:sz w:val="18"/>
                <w:szCs w:val="18"/>
                <w:color w:val="auto"/>
              </w:rPr>
              <w:t>Audit</w:t>
            </w:r>
          </w:p>
        </w:tc>
        <w:tc>
          <w:tcPr>
            <w:tcW w:w="5300" w:type="dxa"/>
            <w:vAlign w:val="bottom"/>
          </w:tcPr>
          <w:p>
            <w:pPr>
              <w:ind w:left="140"/>
              <w:spacing w:after="0"/>
              <w:rPr>
                <w:sz w:val="20"/>
                <w:szCs w:val="20"/>
                <w:color w:val="auto"/>
              </w:rPr>
            </w:pPr>
            <w:r>
              <w:rPr>
                <w:rFonts w:ascii="Arial" w:cs="Arial" w:eastAsia="Arial" w:hAnsi="Arial"/>
                <w:sz w:val="18"/>
                <w:szCs w:val="18"/>
                <w:color w:val="auto"/>
                <w:w w:val="96"/>
              </w:rPr>
              <w:t>worked for the Procter &amp; Gamble Company, a leading multinational</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20"/>
                <w:szCs w:val="20"/>
                <w:color w:val="auto"/>
              </w:rPr>
            </w:pPr>
            <w:r>
              <w:rPr>
                <w:rFonts w:ascii="Arial" w:cs="Arial" w:eastAsia="Arial" w:hAnsi="Arial"/>
                <w:sz w:val="18"/>
                <w:szCs w:val="18"/>
                <w:color w:val="auto"/>
                <w:w w:val="97"/>
              </w:rPr>
              <w:t>Corporate Governance</w:t>
            </w:r>
          </w:p>
        </w:tc>
        <w:tc>
          <w:tcPr>
            <w:tcW w:w="5300" w:type="dxa"/>
            <w:vAlign w:val="bottom"/>
          </w:tcPr>
          <w:p>
            <w:pPr>
              <w:ind w:left="140"/>
              <w:spacing w:after="0"/>
              <w:rPr>
                <w:sz w:val="20"/>
                <w:szCs w:val="20"/>
                <w:color w:val="auto"/>
              </w:rPr>
            </w:pPr>
            <w:r>
              <w:rPr>
                <w:rFonts w:ascii="Arial" w:cs="Arial" w:eastAsia="Arial" w:hAnsi="Arial"/>
                <w:sz w:val="18"/>
                <w:szCs w:val="18"/>
                <w:color w:val="auto"/>
                <w:w w:val="91"/>
              </w:rPr>
              <w:t>manufacturer of consumer packaged goods. During her 25-year career</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5300" w:type="dxa"/>
            <w:vAlign w:val="bottom"/>
          </w:tcPr>
          <w:p>
            <w:pPr>
              <w:ind w:left="140"/>
              <w:spacing w:after="0"/>
              <w:rPr>
                <w:sz w:val="20"/>
                <w:szCs w:val="20"/>
                <w:color w:val="auto"/>
              </w:rPr>
            </w:pPr>
            <w:r>
              <w:rPr>
                <w:rFonts w:ascii="Arial" w:cs="Arial" w:eastAsia="Arial" w:hAnsi="Arial"/>
                <w:sz w:val="18"/>
                <w:szCs w:val="18"/>
                <w:color w:val="auto"/>
              </w:rPr>
              <w:t>at Procter &amp; Gamble, she held numerous positions of increasing</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5300" w:type="dxa"/>
            <w:vAlign w:val="bottom"/>
          </w:tcPr>
          <w:p>
            <w:pPr>
              <w:ind w:left="140"/>
              <w:spacing w:after="0"/>
              <w:rPr>
                <w:sz w:val="20"/>
                <w:szCs w:val="20"/>
                <w:color w:val="auto"/>
              </w:rPr>
            </w:pPr>
            <w:r>
              <w:rPr>
                <w:rFonts w:ascii="Arial" w:cs="Arial" w:eastAsia="Arial" w:hAnsi="Arial"/>
                <w:sz w:val="18"/>
                <w:szCs w:val="18"/>
                <w:color w:val="auto"/>
                <w:w w:val="92"/>
              </w:rPr>
              <w:t>responsibility, including as Group President of Global Female Beauty,</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5300" w:type="dxa"/>
            <w:vAlign w:val="bottom"/>
          </w:tcPr>
          <w:p>
            <w:pPr>
              <w:ind w:left="140"/>
              <w:spacing w:after="0"/>
              <w:rPr>
                <w:sz w:val="20"/>
                <w:szCs w:val="20"/>
                <w:color w:val="auto"/>
              </w:rPr>
            </w:pPr>
            <w:r>
              <w:rPr>
                <w:rFonts w:ascii="Arial" w:cs="Arial" w:eastAsia="Arial" w:hAnsi="Arial"/>
                <w:sz w:val="18"/>
                <w:szCs w:val="18"/>
                <w:color w:val="auto"/>
                <w:w w:val="93"/>
              </w:rPr>
              <w:t>Beauty and Grooming from 2010 until August 2011 and most recently</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5300" w:type="dxa"/>
            <w:vAlign w:val="bottom"/>
          </w:tcPr>
          <w:p>
            <w:pPr>
              <w:ind w:left="140"/>
              <w:spacing w:after="0"/>
              <w:rPr>
                <w:sz w:val="20"/>
                <w:szCs w:val="20"/>
                <w:color w:val="auto"/>
              </w:rPr>
            </w:pPr>
            <w:r>
              <w:rPr>
                <w:rFonts w:ascii="Arial" w:cs="Arial" w:eastAsia="Arial" w:hAnsi="Arial"/>
                <w:sz w:val="18"/>
                <w:szCs w:val="18"/>
                <w:color w:val="auto"/>
                <w:w w:val="92"/>
              </w:rPr>
              <w:t>as Group President, Global Beauty Care, until her retirement from the</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5300" w:type="dxa"/>
            <w:vAlign w:val="bottom"/>
          </w:tcPr>
          <w:p>
            <w:pPr>
              <w:ind w:left="140"/>
              <w:spacing w:after="0"/>
              <w:rPr>
                <w:sz w:val="20"/>
                <w:szCs w:val="20"/>
                <w:color w:val="auto"/>
              </w:rPr>
            </w:pPr>
            <w:r>
              <w:rPr>
                <w:rFonts w:ascii="Arial" w:cs="Arial" w:eastAsia="Arial" w:hAnsi="Arial"/>
                <w:sz w:val="18"/>
                <w:szCs w:val="18"/>
                <w:color w:val="auto"/>
                <w:w w:val="93"/>
              </w:rPr>
              <w:t>company in September 2012. As a current chief executive officer of a</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5300" w:type="dxa"/>
            <w:vAlign w:val="bottom"/>
          </w:tcPr>
          <w:p>
            <w:pPr>
              <w:ind w:left="140"/>
              <w:spacing w:after="0"/>
              <w:rPr>
                <w:sz w:val="20"/>
                <w:szCs w:val="20"/>
                <w:color w:val="auto"/>
              </w:rPr>
            </w:pPr>
            <w:r>
              <w:rPr>
                <w:rFonts w:ascii="Arial" w:cs="Arial" w:eastAsia="Arial" w:hAnsi="Arial"/>
                <w:sz w:val="18"/>
                <w:szCs w:val="18"/>
                <w:color w:val="auto"/>
                <w:w w:val="90"/>
              </w:rPr>
              <w:t>public company and as a former executive at one of the world’s leading</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5300" w:type="dxa"/>
            <w:vAlign w:val="bottom"/>
          </w:tcPr>
          <w:p>
            <w:pPr>
              <w:ind w:left="140"/>
              <w:spacing w:after="0"/>
              <w:rPr>
                <w:sz w:val="20"/>
                <w:szCs w:val="20"/>
                <w:color w:val="auto"/>
              </w:rPr>
            </w:pPr>
            <w:r>
              <w:rPr>
                <w:rFonts w:ascii="Arial" w:cs="Arial" w:eastAsia="Arial" w:hAnsi="Arial"/>
                <w:sz w:val="18"/>
                <w:szCs w:val="18"/>
                <w:color w:val="auto"/>
                <w:w w:val="92"/>
              </w:rPr>
              <w:t>consumer packaged goods organizations, Ms. Drosos brings valuable</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5300" w:type="dxa"/>
            <w:vAlign w:val="bottom"/>
          </w:tcPr>
          <w:p>
            <w:pPr>
              <w:ind w:left="140"/>
              <w:spacing w:after="0"/>
              <w:rPr>
                <w:sz w:val="20"/>
                <w:szCs w:val="20"/>
                <w:color w:val="auto"/>
              </w:rPr>
            </w:pPr>
            <w:r>
              <w:rPr>
                <w:rFonts w:ascii="Arial" w:cs="Arial" w:eastAsia="Arial" w:hAnsi="Arial"/>
                <w:sz w:val="18"/>
                <w:szCs w:val="18"/>
                <w:color w:val="auto"/>
                <w:w w:val="90"/>
              </w:rPr>
              <w:t>skills and insights to the Company. She possesses a broad background</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5300" w:type="dxa"/>
            <w:vAlign w:val="bottom"/>
          </w:tcPr>
          <w:p>
            <w:pPr>
              <w:ind w:left="140"/>
              <w:spacing w:after="0"/>
              <w:rPr>
                <w:sz w:val="20"/>
                <w:szCs w:val="20"/>
                <w:color w:val="auto"/>
              </w:rPr>
            </w:pPr>
            <w:r>
              <w:rPr>
                <w:rFonts w:ascii="Arial" w:cs="Arial" w:eastAsia="Arial" w:hAnsi="Arial"/>
                <w:sz w:val="18"/>
                <w:szCs w:val="18"/>
                <w:color w:val="auto"/>
                <w:w w:val="99"/>
              </w:rPr>
              <w:t>in strategic, business and financial planning and operations, both</w:t>
            </w:r>
          </w:p>
        </w:tc>
        <w:tc>
          <w:tcPr>
            <w:tcW w:w="0" w:type="dxa"/>
            <w:vAlign w:val="bottom"/>
          </w:tcPr>
          <w:p>
            <w:pPr>
              <w:spacing w:after="0"/>
              <w:rPr>
                <w:sz w:val="1"/>
                <w:szCs w:val="1"/>
                <w:color w:val="auto"/>
              </w:rPr>
            </w:pPr>
          </w:p>
        </w:tc>
      </w:tr>
      <w:tr>
        <w:trPr>
          <w:trHeight w:val="230"/>
        </w:trPr>
        <w:tc>
          <w:tcPr>
            <w:tcW w:w="1800" w:type="dxa"/>
            <w:vAlign w:val="bottom"/>
          </w:tcPr>
          <w:p>
            <w:pPr>
              <w:spacing w:after="0"/>
              <w:rPr>
                <w:sz w:val="20"/>
                <w:szCs w:val="20"/>
                <w:color w:val="auto"/>
              </w:rPr>
            </w:pPr>
          </w:p>
        </w:tc>
        <w:tc>
          <w:tcPr>
            <w:tcW w:w="5300" w:type="dxa"/>
            <w:vAlign w:val="bottom"/>
          </w:tcPr>
          <w:p>
            <w:pPr>
              <w:ind w:left="140"/>
              <w:spacing w:after="0"/>
              <w:rPr>
                <w:sz w:val="20"/>
                <w:szCs w:val="20"/>
                <w:color w:val="auto"/>
              </w:rPr>
            </w:pPr>
            <w:r>
              <w:rPr>
                <w:rFonts w:ascii="Arial" w:cs="Arial" w:eastAsia="Arial" w:hAnsi="Arial"/>
                <w:sz w:val="18"/>
                <w:szCs w:val="18"/>
                <w:color w:val="auto"/>
              </w:rPr>
              <w:t>nationally and internationally.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776605</wp:posOffset>
            </wp:positionH>
            <wp:positionV relativeFrom="paragraph">
              <wp:posOffset>-6857365</wp:posOffset>
            </wp:positionV>
            <wp:extent cx="934085" cy="12344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934085" cy="123444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-2605405</wp:posOffset>
            </wp:positionV>
            <wp:extent cx="934085" cy="12344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934085" cy="1234440"/>
                    </a:xfrm>
                    <a:prstGeom prst="rect">
                      <a:avLst/>
                    </a:prstGeom>
                    <a:noFill/>
                  </pic:spPr>
                </pic:pic>
              </a:graphicData>
            </a:graphic>
          </wp:anchor>
        </w:drawing>
      </w:r>
    </w:p>
    <w:p>
      <w:pPr>
        <w:sectPr>
          <w:pgSz w:w="11900" w:h="16838" w:orient="portrait"/>
          <w:cols w:equalWidth="0" w:num="1">
            <w:col w:w="10140"/>
          </w:cols>
          <w:pgMar w:left="320" w:top="265" w:right="1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160"/>
        <w:spacing w:after="0"/>
        <w:tabs>
          <w:tab w:leader="none" w:pos="10040" w:val="left"/>
        </w:tabs>
        <w:rPr>
          <w:sz w:val="20"/>
          <w:szCs w:val="20"/>
          <w:color w:val="auto"/>
        </w:rPr>
      </w:pPr>
      <w:r>
        <w:rPr>
          <w:rFonts w:ascii="Arial" w:cs="Arial" w:eastAsia="Arial" w:hAnsi="Arial"/>
          <w:sz w:val="16"/>
          <w:szCs w:val="16"/>
          <w:color w:val="auto"/>
        </w:rPr>
        <w:t>2020 Proxy Statement | Proposals</w:t>
      </w:r>
      <w:r>
        <w:rPr>
          <w:sz w:val="20"/>
          <w:szCs w:val="20"/>
          <w:color w:val="auto"/>
        </w:rPr>
        <w:tab/>
      </w: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129540</wp:posOffset>
            </wp:positionV>
            <wp:extent cx="69951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140"/>
          </w:cols>
          <w:pgMar w:left="320" w:top="265" w:right="1439" w:bottom="1440" w:gutter="0" w:footer="0" w:header="0"/>
          <w:type w:val="continuous"/>
        </w:sectPr>
      </w:pPr>
    </w:p>
    <w:bookmarkStart w:id="14" w:name="page15"/>
    <w:bookmarkEnd w:id="14"/>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6515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3040" w:type="dxa"/>
        <w:tblCellMar>
          <w:top w:w="0" w:type="dxa"/>
          <w:left w:w="0" w:type="dxa"/>
          <w:bottom w:w="0" w:type="dxa"/>
          <w:right w:w="0" w:type="dxa"/>
        </w:tblCellMar>
      </w:tblPr>
      <w:tr>
        <w:trPr>
          <w:trHeight w:val="220"/>
        </w:trPr>
        <w:tc>
          <w:tcPr>
            <w:tcW w:w="1780" w:type="dxa"/>
            <w:vAlign w:val="bottom"/>
          </w:tcPr>
          <w:p>
            <w:pPr>
              <w:spacing w:after="0"/>
              <w:rPr>
                <w:sz w:val="20"/>
                <w:szCs w:val="20"/>
                <w:color w:val="auto"/>
              </w:rPr>
            </w:pPr>
            <w:r>
              <w:rPr>
                <w:rFonts w:ascii="Arial" w:cs="Arial" w:eastAsia="Arial" w:hAnsi="Arial"/>
                <w:sz w:val="18"/>
                <w:szCs w:val="18"/>
                <w:b w:val="1"/>
                <w:bCs w:val="1"/>
                <w:color w:val="auto"/>
              </w:rPr>
              <w:t>James E. Evans</w:t>
            </w:r>
          </w:p>
        </w:tc>
        <w:tc>
          <w:tcPr>
            <w:tcW w:w="5340" w:type="dxa"/>
            <w:vAlign w:val="bottom"/>
          </w:tcPr>
          <w:p>
            <w:pPr>
              <w:ind w:left="160"/>
              <w:spacing w:after="0"/>
              <w:rPr>
                <w:sz w:val="20"/>
                <w:szCs w:val="20"/>
                <w:color w:val="auto"/>
              </w:rPr>
            </w:pPr>
            <w:r>
              <w:rPr>
                <w:rFonts w:ascii="Arial" w:cs="Arial" w:eastAsia="Arial" w:hAnsi="Arial"/>
                <w:sz w:val="18"/>
                <w:szCs w:val="18"/>
                <w:color w:val="auto"/>
                <w:w w:val="89"/>
              </w:rPr>
              <w:t>Mr. Evans has served as an Executive Consultant to the Company since</w:t>
            </w:r>
          </w:p>
        </w:tc>
        <w:tc>
          <w:tcPr>
            <w:tcW w:w="0" w:type="dxa"/>
            <w:vAlign w:val="bottom"/>
          </w:tcPr>
          <w:p>
            <w:pPr>
              <w:spacing w:after="0"/>
              <w:rPr>
                <w:sz w:val="1"/>
                <w:szCs w:val="1"/>
                <w:color w:val="auto"/>
              </w:rPr>
            </w:pPr>
          </w:p>
        </w:tc>
      </w:tr>
      <w:tr>
        <w:trPr>
          <w:trHeight w:val="216"/>
        </w:trPr>
        <w:tc>
          <w:tcPr>
            <w:tcW w:w="1780" w:type="dxa"/>
            <w:vAlign w:val="bottom"/>
            <w:vMerge w:val="restart"/>
          </w:tcPr>
          <w:p>
            <w:pPr>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74</w:t>
            </w:r>
          </w:p>
        </w:tc>
        <w:tc>
          <w:tcPr>
            <w:tcW w:w="5340" w:type="dxa"/>
            <w:vAlign w:val="bottom"/>
          </w:tcPr>
          <w:p>
            <w:pPr>
              <w:ind w:left="160"/>
              <w:spacing w:after="0"/>
              <w:rPr>
                <w:sz w:val="20"/>
                <w:szCs w:val="20"/>
                <w:color w:val="auto"/>
              </w:rPr>
            </w:pPr>
            <w:r>
              <w:rPr>
                <w:rFonts w:ascii="Arial" w:cs="Arial" w:eastAsia="Arial" w:hAnsi="Arial"/>
                <w:sz w:val="18"/>
                <w:szCs w:val="18"/>
                <w:color w:val="auto"/>
                <w:w w:val="99"/>
              </w:rPr>
              <w:t>2014. From 1994 through 2013, Mr. Evans served as Senior Vice</w:t>
            </w:r>
          </w:p>
        </w:tc>
        <w:tc>
          <w:tcPr>
            <w:tcW w:w="0" w:type="dxa"/>
            <w:vAlign w:val="bottom"/>
          </w:tcPr>
          <w:p>
            <w:pPr>
              <w:spacing w:after="0"/>
              <w:rPr>
                <w:sz w:val="1"/>
                <w:szCs w:val="1"/>
                <w:color w:val="auto"/>
              </w:rPr>
            </w:pPr>
          </w:p>
        </w:tc>
      </w:tr>
      <w:tr>
        <w:trPr>
          <w:trHeight w:val="212"/>
        </w:trPr>
        <w:tc>
          <w:tcPr>
            <w:tcW w:w="1780" w:type="dxa"/>
            <w:vAlign w:val="bottom"/>
            <w:vMerge w:val="continue"/>
          </w:tcPr>
          <w:p>
            <w:pPr>
              <w:spacing w:after="0"/>
              <w:rPr>
                <w:sz w:val="18"/>
                <w:szCs w:val="18"/>
                <w:color w:val="auto"/>
              </w:rPr>
            </w:pPr>
          </w:p>
        </w:tc>
        <w:tc>
          <w:tcPr>
            <w:tcW w:w="5340" w:type="dxa"/>
            <w:vAlign w:val="bottom"/>
          </w:tcPr>
          <w:p>
            <w:pPr>
              <w:ind w:left="160"/>
              <w:spacing w:after="0"/>
              <w:rPr>
                <w:sz w:val="20"/>
                <w:szCs w:val="20"/>
                <w:color w:val="auto"/>
              </w:rPr>
            </w:pPr>
            <w:r>
              <w:rPr>
                <w:rFonts w:ascii="Arial" w:cs="Arial" w:eastAsia="Arial" w:hAnsi="Arial"/>
                <w:sz w:val="18"/>
                <w:szCs w:val="18"/>
                <w:color w:val="auto"/>
                <w:w w:val="90"/>
              </w:rPr>
              <w:t>President of the Company, and he also served as General Counsel until</w:t>
            </w:r>
          </w:p>
        </w:tc>
        <w:tc>
          <w:tcPr>
            <w:tcW w:w="0" w:type="dxa"/>
            <w:vAlign w:val="bottom"/>
          </w:tcPr>
          <w:p>
            <w:pPr>
              <w:spacing w:after="0"/>
              <w:rPr>
                <w:sz w:val="1"/>
                <w:szCs w:val="1"/>
                <w:color w:val="auto"/>
              </w:rPr>
            </w:pPr>
          </w:p>
        </w:tc>
      </w:tr>
      <w:tr>
        <w:trPr>
          <w:trHeight w:val="220"/>
        </w:trPr>
        <w:tc>
          <w:tcPr>
            <w:tcW w:w="1780" w:type="dxa"/>
            <w:vAlign w:val="bottom"/>
          </w:tcPr>
          <w:p>
            <w:pPr>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1985</w:t>
            </w:r>
          </w:p>
        </w:tc>
        <w:tc>
          <w:tcPr>
            <w:tcW w:w="5340" w:type="dxa"/>
            <w:vAlign w:val="bottom"/>
          </w:tcPr>
          <w:p>
            <w:pPr>
              <w:ind w:left="160"/>
              <w:spacing w:after="0"/>
              <w:rPr>
                <w:sz w:val="20"/>
                <w:szCs w:val="20"/>
                <w:color w:val="auto"/>
              </w:rPr>
            </w:pPr>
            <w:r>
              <w:rPr>
                <w:rFonts w:ascii="Arial" w:cs="Arial" w:eastAsia="Arial" w:hAnsi="Arial"/>
                <w:sz w:val="18"/>
                <w:szCs w:val="18"/>
                <w:color w:val="auto"/>
                <w:w w:val="92"/>
              </w:rPr>
              <w:t>March 2012 when he was elected Executive Counsel. Prior to that, he</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5340" w:type="dxa"/>
            <w:vAlign w:val="bottom"/>
          </w:tcPr>
          <w:p>
            <w:pPr>
              <w:ind w:left="160"/>
              <w:spacing w:after="0"/>
              <w:rPr>
                <w:sz w:val="20"/>
                <w:szCs w:val="20"/>
                <w:color w:val="auto"/>
              </w:rPr>
            </w:pPr>
            <w:r>
              <w:rPr>
                <w:rFonts w:ascii="Arial" w:cs="Arial" w:eastAsia="Arial" w:hAnsi="Arial"/>
                <w:sz w:val="18"/>
                <w:szCs w:val="18"/>
                <w:color w:val="auto"/>
                <w:w w:val="93"/>
              </w:rPr>
              <w:t>served as Vice President and General Counsel of American Financial</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5340" w:type="dxa"/>
            <w:vAlign w:val="bottom"/>
          </w:tcPr>
          <w:p>
            <w:pPr>
              <w:ind w:left="160"/>
              <w:spacing w:after="0"/>
              <w:rPr>
                <w:sz w:val="20"/>
                <w:szCs w:val="20"/>
                <w:color w:val="auto"/>
              </w:rPr>
            </w:pPr>
            <w:r>
              <w:rPr>
                <w:rFonts w:ascii="Arial" w:cs="Arial" w:eastAsia="Arial" w:hAnsi="Arial"/>
                <w:sz w:val="18"/>
                <w:szCs w:val="18"/>
                <w:color w:val="auto"/>
                <w:w w:val="95"/>
              </w:rPr>
              <w:t>Corporation, the predecessor to AFG, beginning in 1976. Mr. Evans</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5340" w:type="dxa"/>
            <w:vAlign w:val="bottom"/>
          </w:tcPr>
          <w:p>
            <w:pPr>
              <w:ind w:left="160"/>
              <w:spacing w:after="0"/>
              <w:rPr>
                <w:sz w:val="20"/>
                <w:szCs w:val="20"/>
                <w:color w:val="auto"/>
              </w:rPr>
            </w:pPr>
            <w:r>
              <w:rPr>
                <w:rFonts w:ascii="Arial" w:cs="Arial" w:eastAsia="Arial" w:hAnsi="Arial"/>
                <w:sz w:val="18"/>
                <w:szCs w:val="18"/>
                <w:color w:val="auto"/>
                <w:w w:val="92"/>
              </w:rPr>
              <w:t>also previously served on the Boards of Directors of The Penn Central</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5340" w:type="dxa"/>
            <w:vAlign w:val="bottom"/>
          </w:tcPr>
          <w:p>
            <w:pPr>
              <w:ind w:left="160"/>
              <w:spacing w:after="0"/>
              <w:rPr>
                <w:sz w:val="20"/>
                <w:szCs w:val="20"/>
                <w:color w:val="auto"/>
              </w:rPr>
            </w:pPr>
            <w:r>
              <w:rPr>
                <w:rFonts w:ascii="Arial" w:cs="Arial" w:eastAsia="Arial" w:hAnsi="Arial"/>
                <w:sz w:val="18"/>
                <w:szCs w:val="18"/>
                <w:color w:val="auto"/>
                <w:w w:val="95"/>
              </w:rPr>
              <w:t>Corporation, Citicasters, Inc. and other companies affiliated with the</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5340" w:type="dxa"/>
            <w:vAlign w:val="bottom"/>
          </w:tcPr>
          <w:p>
            <w:pPr>
              <w:ind w:left="160"/>
              <w:spacing w:after="0"/>
              <w:rPr>
                <w:sz w:val="20"/>
                <w:szCs w:val="20"/>
                <w:color w:val="auto"/>
              </w:rPr>
            </w:pPr>
            <w:r>
              <w:rPr>
                <w:rFonts w:ascii="Arial" w:cs="Arial" w:eastAsia="Arial" w:hAnsi="Arial"/>
                <w:sz w:val="18"/>
                <w:szCs w:val="18"/>
                <w:color w:val="auto"/>
              </w:rPr>
              <w:t>Company. He began his career in the private practice of law with</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5340" w:type="dxa"/>
            <w:vAlign w:val="bottom"/>
          </w:tcPr>
          <w:p>
            <w:pPr>
              <w:ind w:left="160"/>
              <w:spacing w:after="0"/>
              <w:rPr>
                <w:sz w:val="20"/>
                <w:szCs w:val="20"/>
                <w:color w:val="auto"/>
              </w:rPr>
            </w:pPr>
            <w:r>
              <w:rPr>
                <w:rFonts w:ascii="Arial" w:cs="Arial" w:eastAsia="Arial" w:hAnsi="Arial"/>
                <w:sz w:val="18"/>
                <w:szCs w:val="18"/>
                <w:color w:val="auto"/>
                <w:w w:val="96"/>
              </w:rPr>
              <w:t>Keating Muething &amp; Klekamp PLL in 1971. The Board believes that</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5340" w:type="dxa"/>
            <w:vAlign w:val="bottom"/>
          </w:tcPr>
          <w:p>
            <w:pPr>
              <w:ind w:left="160"/>
              <w:spacing w:after="0"/>
              <w:rPr>
                <w:sz w:val="20"/>
                <w:szCs w:val="20"/>
                <w:color w:val="auto"/>
              </w:rPr>
            </w:pPr>
            <w:r>
              <w:rPr>
                <w:rFonts w:ascii="Arial" w:cs="Arial" w:eastAsia="Arial" w:hAnsi="Arial"/>
                <w:sz w:val="18"/>
                <w:szCs w:val="18"/>
                <w:color w:val="auto"/>
                <w:w w:val="92"/>
              </w:rPr>
              <w:t>Mr. Evans’ many years of experience with complex legal and business</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5340" w:type="dxa"/>
            <w:vAlign w:val="bottom"/>
          </w:tcPr>
          <w:p>
            <w:pPr>
              <w:ind w:left="160"/>
              <w:spacing w:after="0"/>
              <w:rPr>
                <w:sz w:val="20"/>
                <w:szCs w:val="20"/>
                <w:color w:val="auto"/>
              </w:rPr>
            </w:pPr>
            <w:r>
              <w:rPr>
                <w:rFonts w:ascii="Arial" w:cs="Arial" w:eastAsia="Arial" w:hAnsi="Arial"/>
                <w:sz w:val="18"/>
                <w:szCs w:val="18"/>
                <w:color w:val="auto"/>
                <w:w w:val="98"/>
              </w:rPr>
              <w:t>issues involving the Company specifically, as well as his legal and</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5340" w:type="dxa"/>
            <w:vAlign w:val="bottom"/>
          </w:tcPr>
          <w:p>
            <w:pPr>
              <w:ind w:left="160"/>
              <w:spacing w:after="0"/>
              <w:rPr>
                <w:sz w:val="20"/>
                <w:szCs w:val="20"/>
                <w:color w:val="auto"/>
              </w:rPr>
            </w:pPr>
            <w:r>
              <w:rPr>
                <w:rFonts w:ascii="Arial" w:cs="Arial" w:eastAsia="Arial" w:hAnsi="Arial"/>
                <w:sz w:val="18"/>
                <w:szCs w:val="18"/>
                <w:color w:val="auto"/>
                <w:w w:val="90"/>
              </w:rPr>
              <w:t>business expertise generally, render his Board service invaluable to the</w:t>
            </w:r>
          </w:p>
        </w:tc>
        <w:tc>
          <w:tcPr>
            <w:tcW w:w="0" w:type="dxa"/>
            <w:vAlign w:val="bottom"/>
          </w:tcPr>
          <w:p>
            <w:pPr>
              <w:spacing w:after="0"/>
              <w:rPr>
                <w:sz w:val="1"/>
                <w:szCs w:val="1"/>
                <w:color w:val="auto"/>
              </w:rPr>
            </w:pPr>
          </w:p>
        </w:tc>
      </w:tr>
      <w:tr>
        <w:trPr>
          <w:trHeight w:val="230"/>
        </w:trPr>
        <w:tc>
          <w:tcPr>
            <w:tcW w:w="1780" w:type="dxa"/>
            <w:vAlign w:val="bottom"/>
          </w:tcPr>
          <w:p>
            <w:pPr>
              <w:spacing w:after="0"/>
              <w:rPr>
                <w:sz w:val="20"/>
                <w:szCs w:val="20"/>
                <w:color w:val="auto"/>
              </w:rPr>
            </w:pPr>
          </w:p>
        </w:tc>
        <w:tc>
          <w:tcPr>
            <w:tcW w:w="5340" w:type="dxa"/>
            <w:vAlign w:val="bottom"/>
          </w:tcPr>
          <w:p>
            <w:pPr>
              <w:ind w:left="160"/>
              <w:spacing w:after="0"/>
              <w:rPr>
                <w:sz w:val="20"/>
                <w:szCs w:val="20"/>
                <w:color w:val="auto"/>
              </w:rPr>
            </w:pPr>
            <w:r>
              <w:rPr>
                <w:rFonts w:ascii="Arial" w:cs="Arial" w:eastAsia="Arial" w:hAnsi="Arial"/>
                <w:sz w:val="18"/>
                <w:szCs w:val="18"/>
                <w:color w:val="auto"/>
              </w:rPr>
              <w:t>Company.</w:t>
            </w:r>
          </w:p>
        </w:tc>
        <w:tc>
          <w:tcPr>
            <w:tcW w:w="0" w:type="dxa"/>
            <w:vAlign w:val="bottom"/>
          </w:tcPr>
          <w:p>
            <w:pPr>
              <w:spacing w:after="0"/>
              <w:rPr>
                <w:sz w:val="1"/>
                <w:szCs w:val="1"/>
                <w:color w:val="auto"/>
              </w:rPr>
            </w:pPr>
          </w:p>
        </w:tc>
      </w:tr>
      <w:tr>
        <w:trPr>
          <w:trHeight w:val="634"/>
        </w:trPr>
        <w:tc>
          <w:tcPr>
            <w:tcW w:w="1780" w:type="dxa"/>
            <w:vAlign w:val="bottom"/>
          </w:tcPr>
          <w:p>
            <w:pPr>
              <w:spacing w:after="0"/>
              <w:rPr>
                <w:sz w:val="20"/>
                <w:szCs w:val="20"/>
                <w:color w:val="auto"/>
              </w:rPr>
            </w:pPr>
            <w:r>
              <w:rPr>
                <w:rFonts w:ascii="Arial" w:cs="Arial" w:eastAsia="Arial" w:hAnsi="Arial"/>
                <w:sz w:val="18"/>
                <w:szCs w:val="18"/>
                <w:b w:val="1"/>
                <w:bCs w:val="1"/>
                <w:color w:val="auto"/>
              </w:rPr>
              <w:t>Terry S. Jacobs</w:t>
            </w:r>
          </w:p>
        </w:tc>
        <w:tc>
          <w:tcPr>
            <w:tcW w:w="5340" w:type="dxa"/>
            <w:vAlign w:val="bottom"/>
          </w:tcPr>
          <w:p>
            <w:pPr>
              <w:ind w:left="160"/>
              <w:spacing w:after="0"/>
              <w:rPr>
                <w:sz w:val="20"/>
                <w:szCs w:val="20"/>
                <w:color w:val="auto"/>
              </w:rPr>
            </w:pPr>
            <w:r>
              <w:rPr>
                <w:rFonts w:ascii="Arial" w:cs="Arial" w:eastAsia="Arial" w:hAnsi="Arial"/>
                <w:sz w:val="18"/>
                <w:szCs w:val="18"/>
                <w:color w:val="auto"/>
                <w:w w:val="91"/>
              </w:rPr>
              <w:t>Mr. Jacobs has served as Chairman and CEO of The JFP Group, LLC,</w:t>
            </w:r>
          </w:p>
        </w:tc>
        <w:tc>
          <w:tcPr>
            <w:tcW w:w="0" w:type="dxa"/>
            <w:vAlign w:val="bottom"/>
          </w:tcPr>
          <w:p>
            <w:pPr>
              <w:spacing w:after="0"/>
              <w:rPr>
                <w:sz w:val="1"/>
                <w:szCs w:val="1"/>
                <w:color w:val="auto"/>
              </w:rPr>
            </w:pPr>
          </w:p>
        </w:tc>
      </w:tr>
      <w:tr>
        <w:trPr>
          <w:trHeight w:val="216"/>
        </w:trPr>
        <w:tc>
          <w:tcPr>
            <w:tcW w:w="1780" w:type="dxa"/>
            <w:vAlign w:val="bottom"/>
            <w:vMerge w:val="restart"/>
          </w:tcPr>
          <w:p>
            <w:pPr>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77</w:t>
            </w:r>
          </w:p>
        </w:tc>
        <w:tc>
          <w:tcPr>
            <w:tcW w:w="5340" w:type="dxa"/>
            <w:vAlign w:val="bottom"/>
          </w:tcPr>
          <w:p>
            <w:pPr>
              <w:ind w:left="160"/>
              <w:spacing w:after="0"/>
              <w:rPr>
                <w:sz w:val="20"/>
                <w:szCs w:val="20"/>
                <w:color w:val="auto"/>
              </w:rPr>
            </w:pPr>
            <w:r>
              <w:rPr>
                <w:rFonts w:ascii="Arial" w:cs="Arial" w:eastAsia="Arial" w:hAnsi="Arial"/>
                <w:sz w:val="18"/>
                <w:szCs w:val="18"/>
                <w:color w:val="auto"/>
                <w:w w:val="93"/>
              </w:rPr>
              <w:t>a real estate development company, since September 2005. From its</w:t>
            </w:r>
          </w:p>
        </w:tc>
        <w:tc>
          <w:tcPr>
            <w:tcW w:w="0" w:type="dxa"/>
            <w:vAlign w:val="bottom"/>
          </w:tcPr>
          <w:p>
            <w:pPr>
              <w:spacing w:after="0"/>
              <w:rPr>
                <w:sz w:val="1"/>
                <w:szCs w:val="1"/>
                <w:color w:val="auto"/>
              </w:rPr>
            </w:pPr>
          </w:p>
        </w:tc>
      </w:tr>
      <w:tr>
        <w:trPr>
          <w:trHeight w:val="212"/>
        </w:trPr>
        <w:tc>
          <w:tcPr>
            <w:tcW w:w="1780" w:type="dxa"/>
            <w:vAlign w:val="bottom"/>
            <w:vMerge w:val="continue"/>
          </w:tcPr>
          <w:p>
            <w:pPr>
              <w:spacing w:after="0"/>
              <w:rPr>
                <w:sz w:val="18"/>
                <w:szCs w:val="18"/>
                <w:color w:val="auto"/>
              </w:rPr>
            </w:pPr>
          </w:p>
        </w:tc>
        <w:tc>
          <w:tcPr>
            <w:tcW w:w="5340" w:type="dxa"/>
            <w:vAlign w:val="bottom"/>
          </w:tcPr>
          <w:p>
            <w:pPr>
              <w:ind w:left="160"/>
              <w:spacing w:after="0"/>
              <w:rPr>
                <w:sz w:val="20"/>
                <w:szCs w:val="20"/>
                <w:color w:val="auto"/>
              </w:rPr>
            </w:pPr>
            <w:r>
              <w:rPr>
                <w:rFonts w:ascii="Arial" w:cs="Arial" w:eastAsia="Arial" w:hAnsi="Arial"/>
                <w:sz w:val="18"/>
                <w:szCs w:val="18"/>
                <w:color w:val="auto"/>
                <w:w w:val="94"/>
              </w:rPr>
              <w:t>founding in 1996 until September 2005, Mr. Jacobs was Chairman of</w:t>
            </w:r>
          </w:p>
        </w:tc>
        <w:tc>
          <w:tcPr>
            <w:tcW w:w="0" w:type="dxa"/>
            <w:vAlign w:val="bottom"/>
          </w:tcPr>
          <w:p>
            <w:pPr>
              <w:spacing w:after="0"/>
              <w:rPr>
                <w:sz w:val="1"/>
                <w:szCs w:val="1"/>
                <w:color w:val="auto"/>
              </w:rPr>
            </w:pPr>
          </w:p>
        </w:tc>
      </w:tr>
      <w:tr>
        <w:trPr>
          <w:trHeight w:val="220"/>
        </w:trPr>
        <w:tc>
          <w:tcPr>
            <w:tcW w:w="1780" w:type="dxa"/>
            <w:vAlign w:val="bottom"/>
          </w:tcPr>
          <w:p>
            <w:pPr>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2003</w:t>
            </w:r>
          </w:p>
        </w:tc>
        <w:tc>
          <w:tcPr>
            <w:tcW w:w="5340" w:type="dxa"/>
            <w:vAlign w:val="bottom"/>
          </w:tcPr>
          <w:p>
            <w:pPr>
              <w:ind w:left="160"/>
              <w:spacing w:after="0"/>
              <w:rPr>
                <w:sz w:val="20"/>
                <w:szCs w:val="20"/>
                <w:color w:val="auto"/>
              </w:rPr>
            </w:pPr>
            <w:r>
              <w:rPr>
                <w:rFonts w:ascii="Arial" w:cs="Arial" w:eastAsia="Arial" w:hAnsi="Arial"/>
                <w:sz w:val="18"/>
                <w:szCs w:val="18"/>
                <w:color w:val="auto"/>
                <w:w w:val="93"/>
              </w:rPr>
              <w:t>the Board and CEO of Regent Communications, Inc., a public holding</w:t>
            </w:r>
          </w:p>
        </w:tc>
        <w:tc>
          <w:tcPr>
            <w:tcW w:w="0" w:type="dxa"/>
            <w:vAlign w:val="bottom"/>
          </w:tcPr>
          <w:p>
            <w:pPr>
              <w:spacing w:after="0"/>
              <w:rPr>
                <w:sz w:val="1"/>
                <w:szCs w:val="1"/>
                <w:color w:val="auto"/>
              </w:rPr>
            </w:pPr>
          </w:p>
        </w:tc>
      </w:tr>
      <w:tr>
        <w:trPr>
          <w:trHeight w:val="216"/>
        </w:trPr>
        <w:tc>
          <w:tcPr>
            <w:tcW w:w="1780" w:type="dxa"/>
            <w:vAlign w:val="bottom"/>
            <w:vMerge w:val="restart"/>
          </w:tcPr>
          <w:p>
            <w:pPr>
              <w:spacing w:after="0"/>
              <w:rPr>
                <w:sz w:val="20"/>
                <w:szCs w:val="20"/>
                <w:color w:val="auto"/>
              </w:rPr>
            </w:pPr>
            <w:r>
              <w:rPr>
                <w:rFonts w:ascii="Arial" w:cs="Arial" w:eastAsia="Arial" w:hAnsi="Arial"/>
                <w:sz w:val="18"/>
                <w:szCs w:val="18"/>
                <w:b w:val="1"/>
                <w:bCs w:val="1"/>
                <w:color w:val="auto"/>
              </w:rPr>
              <w:t>Board Committees:</w:t>
            </w:r>
          </w:p>
        </w:tc>
        <w:tc>
          <w:tcPr>
            <w:tcW w:w="5340" w:type="dxa"/>
            <w:vAlign w:val="bottom"/>
          </w:tcPr>
          <w:p>
            <w:pPr>
              <w:ind w:left="160"/>
              <w:spacing w:after="0"/>
              <w:rPr>
                <w:sz w:val="20"/>
                <w:szCs w:val="20"/>
                <w:color w:val="auto"/>
              </w:rPr>
            </w:pPr>
            <w:r>
              <w:rPr>
                <w:rFonts w:ascii="Arial" w:cs="Arial" w:eastAsia="Arial" w:hAnsi="Arial"/>
                <w:sz w:val="18"/>
                <w:szCs w:val="18"/>
                <w:color w:val="auto"/>
                <w:w w:val="95"/>
              </w:rPr>
              <w:t>company in the radio broadcasting business. From September 2010</w:t>
            </w:r>
          </w:p>
        </w:tc>
        <w:tc>
          <w:tcPr>
            <w:tcW w:w="0" w:type="dxa"/>
            <w:vAlign w:val="bottom"/>
          </w:tcPr>
          <w:p>
            <w:pPr>
              <w:spacing w:after="0"/>
              <w:rPr>
                <w:sz w:val="1"/>
                <w:szCs w:val="1"/>
                <w:color w:val="auto"/>
              </w:rPr>
            </w:pPr>
          </w:p>
        </w:tc>
      </w:tr>
      <w:tr>
        <w:trPr>
          <w:trHeight w:val="216"/>
        </w:trPr>
        <w:tc>
          <w:tcPr>
            <w:tcW w:w="1780" w:type="dxa"/>
            <w:vAlign w:val="bottom"/>
            <w:vMerge w:val="continue"/>
          </w:tcPr>
          <w:p>
            <w:pPr>
              <w:spacing w:after="0"/>
              <w:rPr>
                <w:sz w:val="18"/>
                <w:szCs w:val="18"/>
                <w:color w:val="auto"/>
              </w:rPr>
            </w:pPr>
          </w:p>
        </w:tc>
        <w:tc>
          <w:tcPr>
            <w:tcW w:w="5340" w:type="dxa"/>
            <w:vAlign w:val="bottom"/>
          </w:tcPr>
          <w:p>
            <w:pPr>
              <w:ind w:left="160"/>
              <w:spacing w:after="0"/>
              <w:rPr>
                <w:sz w:val="20"/>
                <w:szCs w:val="20"/>
                <w:color w:val="auto"/>
              </w:rPr>
            </w:pPr>
            <w:r>
              <w:rPr>
                <w:rFonts w:ascii="Arial" w:cs="Arial" w:eastAsia="Arial" w:hAnsi="Arial"/>
                <w:sz w:val="18"/>
                <w:szCs w:val="18"/>
                <w:color w:val="auto"/>
                <w:w w:val="91"/>
              </w:rPr>
              <w:t>through September 2015, he served as non-executive Chairman of the</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w w:val="99"/>
              </w:rPr>
              <w:t>Compensation (Chair)</w:t>
            </w:r>
          </w:p>
        </w:tc>
        <w:tc>
          <w:tcPr>
            <w:tcW w:w="5340" w:type="dxa"/>
            <w:vAlign w:val="bottom"/>
          </w:tcPr>
          <w:p>
            <w:pPr>
              <w:ind w:left="160"/>
              <w:spacing w:after="0"/>
              <w:rPr>
                <w:sz w:val="20"/>
                <w:szCs w:val="20"/>
                <w:color w:val="auto"/>
              </w:rPr>
            </w:pPr>
            <w:r>
              <w:rPr>
                <w:rFonts w:ascii="Arial" w:cs="Arial" w:eastAsia="Arial" w:hAnsi="Arial"/>
                <w:sz w:val="18"/>
                <w:szCs w:val="18"/>
                <w:color w:val="auto"/>
                <w:w w:val="93"/>
              </w:rPr>
              <w:t>Board of Adelante Media Group, LLC, a private company which owns</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Audit</w:t>
            </w:r>
          </w:p>
        </w:tc>
        <w:tc>
          <w:tcPr>
            <w:tcW w:w="5340" w:type="dxa"/>
            <w:vAlign w:val="bottom"/>
          </w:tcPr>
          <w:p>
            <w:pPr>
              <w:ind w:left="160"/>
              <w:spacing w:after="0"/>
              <w:rPr>
                <w:sz w:val="20"/>
                <w:szCs w:val="20"/>
                <w:color w:val="auto"/>
              </w:rPr>
            </w:pPr>
            <w:r>
              <w:rPr>
                <w:rFonts w:ascii="Arial" w:cs="Arial" w:eastAsia="Arial" w:hAnsi="Arial"/>
                <w:sz w:val="18"/>
                <w:szCs w:val="18"/>
                <w:color w:val="auto"/>
                <w:w w:val="93"/>
              </w:rPr>
              <w:t>and operates radio and television stations and specializes in Spanish</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5340" w:type="dxa"/>
            <w:vAlign w:val="bottom"/>
          </w:tcPr>
          <w:p>
            <w:pPr>
              <w:ind w:left="160"/>
              <w:spacing w:after="0"/>
              <w:rPr>
                <w:sz w:val="20"/>
                <w:szCs w:val="20"/>
                <w:color w:val="auto"/>
              </w:rPr>
            </w:pPr>
            <w:r>
              <w:rPr>
                <w:rFonts w:ascii="Arial" w:cs="Arial" w:eastAsia="Arial" w:hAnsi="Arial"/>
                <w:sz w:val="18"/>
                <w:szCs w:val="18"/>
                <w:color w:val="auto"/>
                <w:w w:val="95"/>
              </w:rPr>
              <w:t>language programming. Mr. Jacobs serves as Chair of the Actuarial</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5340" w:type="dxa"/>
            <w:vAlign w:val="bottom"/>
          </w:tcPr>
          <w:p>
            <w:pPr>
              <w:ind w:left="160"/>
              <w:spacing w:after="0"/>
              <w:rPr>
                <w:sz w:val="20"/>
                <w:szCs w:val="20"/>
                <w:color w:val="auto"/>
              </w:rPr>
            </w:pPr>
            <w:r>
              <w:rPr>
                <w:rFonts w:ascii="Arial" w:cs="Arial" w:eastAsia="Arial" w:hAnsi="Arial"/>
                <w:sz w:val="18"/>
                <w:szCs w:val="18"/>
                <w:color w:val="auto"/>
                <w:w w:val="93"/>
              </w:rPr>
              <w:t>Committee and a member of the Audit Committee of the Ohio Bureau</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5340" w:type="dxa"/>
            <w:vAlign w:val="bottom"/>
          </w:tcPr>
          <w:p>
            <w:pPr>
              <w:ind w:left="160"/>
              <w:spacing w:after="0"/>
              <w:rPr>
                <w:sz w:val="20"/>
                <w:szCs w:val="20"/>
                <w:color w:val="auto"/>
              </w:rPr>
            </w:pPr>
            <w:r>
              <w:rPr>
                <w:rFonts w:ascii="Arial" w:cs="Arial" w:eastAsia="Arial" w:hAnsi="Arial"/>
                <w:sz w:val="18"/>
                <w:szCs w:val="18"/>
                <w:color w:val="auto"/>
                <w:w w:val="96"/>
              </w:rPr>
              <w:t>of Workers’ Compensation (BWC) Board of Directors, is a Fellow of</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5340" w:type="dxa"/>
            <w:vAlign w:val="bottom"/>
          </w:tcPr>
          <w:p>
            <w:pPr>
              <w:ind w:left="160"/>
              <w:spacing w:after="0"/>
              <w:rPr>
                <w:sz w:val="20"/>
                <w:szCs w:val="20"/>
                <w:color w:val="auto"/>
              </w:rPr>
            </w:pPr>
            <w:r>
              <w:rPr>
                <w:rFonts w:ascii="Arial" w:cs="Arial" w:eastAsia="Arial" w:hAnsi="Arial"/>
                <w:sz w:val="18"/>
                <w:szCs w:val="18"/>
                <w:color w:val="auto"/>
                <w:w w:val="92"/>
              </w:rPr>
              <w:t>the Casualty Actuarial Society, a professional organization focused on</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5340" w:type="dxa"/>
            <w:vAlign w:val="bottom"/>
          </w:tcPr>
          <w:p>
            <w:pPr>
              <w:ind w:left="160"/>
              <w:spacing w:after="0"/>
              <w:rPr>
                <w:sz w:val="20"/>
                <w:szCs w:val="20"/>
                <w:color w:val="auto"/>
              </w:rPr>
            </w:pPr>
            <w:r>
              <w:rPr>
                <w:rFonts w:ascii="Arial" w:cs="Arial" w:eastAsia="Arial" w:hAnsi="Arial"/>
                <w:sz w:val="18"/>
                <w:szCs w:val="18"/>
                <w:color w:val="auto"/>
              </w:rPr>
              <w:t>applying actuarial science to property, casualty and similar risk</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5340" w:type="dxa"/>
            <w:vAlign w:val="bottom"/>
          </w:tcPr>
          <w:p>
            <w:pPr>
              <w:ind w:left="160"/>
              <w:spacing w:after="0"/>
              <w:rPr>
                <w:sz w:val="20"/>
                <w:szCs w:val="20"/>
                <w:color w:val="auto"/>
              </w:rPr>
            </w:pPr>
            <w:r>
              <w:rPr>
                <w:rFonts w:ascii="Arial" w:cs="Arial" w:eastAsia="Arial" w:hAnsi="Arial"/>
                <w:sz w:val="18"/>
                <w:szCs w:val="18"/>
                <w:color w:val="auto"/>
                <w:w w:val="95"/>
              </w:rPr>
              <w:t>exposures and is a Member of the American Academy of Actuaries.</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5340" w:type="dxa"/>
            <w:vAlign w:val="bottom"/>
          </w:tcPr>
          <w:p>
            <w:pPr>
              <w:ind w:left="160"/>
              <w:spacing w:after="0"/>
              <w:rPr>
                <w:sz w:val="20"/>
                <w:szCs w:val="20"/>
                <w:color w:val="auto"/>
              </w:rPr>
            </w:pPr>
            <w:r>
              <w:rPr>
                <w:rFonts w:ascii="Arial" w:cs="Arial" w:eastAsia="Arial" w:hAnsi="Arial"/>
                <w:sz w:val="18"/>
                <w:szCs w:val="18"/>
                <w:color w:val="auto"/>
                <w:w w:val="98"/>
              </w:rPr>
              <w:t>Mr. Jacobs’ principal executive officer experience qualifies him for</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5340" w:type="dxa"/>
            <w:vAlign w:val="bottom"/>
          </w:tcPr>
          <w:p>
            <w:pPr>
              <w:ind w:left="160"/>
              <w:spacing w:after="0"/>
              <w:rPr>
                <w:sz w:val="20"/>
                <w:szCs w:val="20"/>
                <w:color w:val="auto"/>
              </w:rPr>
            </w:pPr>
            <w:r>
              <w:rPr>
                <w:rFonts w:ascii="Arial" w:cs="Arial" w:eastAsia="Arial" w:hAnsi="Arial"/>
                <w:sz w:val="18"/>
                <w:szCs w:val="18"/>
                <w:color w:val="auto"/>
                <w:w w:val="98"/>
              </w:rPr>
              <w:t>membership on the Company’s Board and as an “audit committee</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5340" w:type="dxa"/>
            <w:vAlign w:val="bottom"/>
          </w:tcPr>
          <w:p>
            <w:pPr>
              <w:ind w:left="160"/>
              <w:spacing w:after="0"/>
              <w:rPr>
                <w:sz w:val="20"/>
                <w:szCs w:val="20"/>
                <w:color w:val="auto"/>
              </w:rPr>
            </w:pPr>
            <w:r>
              <w:rPr>
                <w:rFonts w:ascii="Arial" w:cs="Arial" w:eastAsia="Arial" w:hAnsi="Arial"/>
                <w:sz w:val="18"/>
                <w:szCs w:val="18"/>
                <w:color w:val="auto"/>
                <w:w w:val="94"/>
              </w:rPr>
              <w:t>financial expert” under SEC guidelines. In his career, Mr. Jacobs has</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5340" w:type="dxa"/>
            <w:vAlign w:val="bottom"/>
          </w:tcPr>
          <w:p>
            <w:pPr>
              <w:ind w:left="160"/>
              <w:spacing w:after="0"/>
              <w:rPr>
                <w:sz w:val="20"/>
                <w:szCs w:val="20"/>
                <w:color w:val="auto"/>
              </w:rPr>
            </w:pPr>
            <w:r>
              <w:rPr>
                <w:rFonts w:ascii="Arial" w:cs="Arial" w:eastAsia="Arial" w:hAnsi="Arial"/>
                <w:sz w:val="18"/>
                <w:szCs w:val="18"/>
                <w:color w:val="auto"/>
              </w:rPr>
              <w:t>significant chief executive officer experience and has held board</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5340" w:type="dxa"/>
            <w:vAlign w:val="bottom"/>
          </w:tcPr>
          <w:p>
            <w:pPr>
              <w:ind w:left="160"/>
              <w:spacing w:after="0"/>
              <w:rPr>
                <w:sz w:val="20"/>
                <w:szCs w:val="20"/>
                <w:color w:val="auto"/>
              </w:rPr>
            </w:pPr>
            <w:r>
              <w:rPr>
                <w:rFonts w:ascii="Arial" w:cs="Arial" w:eastAsia="Arial" w:hAnsi="Arial"/>
                <w:sz w:val="18"/>
                <w:szCs w:val="18"/>
                <w:color w:val="auto"/>
                <w:w w:val="98"/>
              </w:rPr>
              <w:t>positions for 10 public companies, six private companies and nine</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5340" w:type="dxa"/>
            <w:vAlign w:val="bottom"/>
          </w:tcPr>
          <w:p>
            <w:pPr>
              <w:ind w:left="160"/>
              <w:spacing w:after="0"/>
              <w:rPr>
                <w:sz w:val="20"/>
                <w:szCs w:val="20"/>
                <w:color w:val="auto"/>
              </w:rPr>
            </w:pPr>
            <w:r>
              <w:rPr>
                <w:rFonts w:ascii="Arial" w:cs="Arial" w:eastAsia="Arial" w:hAnsi="Arial"/>
                <w:sz w:val="18"/>
                <w:szCs w:val="18"/>
                <w:color w:val="auto"/>
                <w:w w:val="99"/>
              </w:rPr>
              <w:t>charitable organizations. Mr. Jacobs has significant experience in</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5340" w:type="dxa"/>
            <w:vAlign w:val="bottom"/>
          </w:tcPr>
          <w:p>
            <w:pPr>
              <w:ind w:left="160"/>
              <w:spacing w:after="0"/>
              <w:rPr>
                <w:sz w:val="20"/>
                <w:szCs w:val="20"/>
                <w:color w:val="auto"/>
              </w:rPr>
            </w:pPr>
            <w:r>
              <w:rPr>
                <w:rFonts w:ascii="Arial" w:cs="Arial" w:eastAsia="Arial" w:hAnsi="Arial"/>
                <w:sz w:val="18"/>
                <w:szCs w:val="18"/>
                <w:color w:val="auto"/>
                <w:w w:val="90"/>
              </w:rPr>
              <w:t>understanding and critically assessing risks in the property and casualty</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5340" w:type="dxa"/>
            <w:vAlign w:val="bottom"/>
          </w:tcPr>
          <w:p>
            <w:pPr>
              <w:ind w:left="160"/>
              <w:spacing w:after="0"/>
              <w:rPr>
                <w:sz w:val="20"/>
                <w:szCs w:val="20"/>
                <w:color w:val="auto"/>
              </w:rPr>
            </w:pPr>
            <w:r>
              <w:rPr>
                <w:rFonts w:ascii="Arial" w:cs="Arial" w:eastAsia="Arial" w:hAnsi="Arial"/>
                <w:sz w:val="18"/>
                <w:szCs w:val="18"/>
                <w:color w:val="auto"/>
              </w:rPr>
              <w:t>insurance industry, which the Board believes is valuable to the</w:t>
            </w:r>
          </w:p>
        </w:tc>
        <w:tc>
          <w:tcPr>
            <w:tcW w:w="0" w:type="dxa"/>
            <w:vAlign w:val="bottom"/>
          </w:tcPr>
          <w:p>
            <w:pPr>
              <w:spacing w:after="0"/>
              <w:rPr>
                <w:sz w:val="1"/>
                <w:szCs w:val="1"/>
                <w:color w:val="auto"/>
              </w:rPr>
            </w:pPr>
          </w:p>
        </w:tc>
      </w:tr>
      <w:tr>
        <w:trPr>
          <w:trHeight w:val="230"/>
        </w:trPr>
        <w:tc>
          <w:tcPr>
            <w:tcW w:w="1780" w:type="dxa"/>
            <w:vAlign w:val="bottom"/>
          </w:tcPr>
          <w:p>
            <w:pPr>
              <w:spacing w:after="0"/>
              <w:rPr>
                <w:sz w:val="20"/>
                <w:szCs w:val="20"/>
                <w:color w:val="auto"/>
              </w:rPr>
            </w:pPr>
          </w:p>
        </w:tc>
        <w:tc>
          <w:tcPr>
            <w:tcW w:w="5340" w:type="dxa"/>
            <w:vAlign w:val="bottom"/>
          </w:tcPr>
          <w:p>
            <w:pPr>
              <w:ind w:left="160"/>
              <w:spacing w:after="0"/>
              <w:rPr>
                <w:sz w:val="20"/>
                <w:szCs w:val="20"/>
                <w:color w:val="auto"/>
              </w:rPr>
            </w:pPr>
            <w:r>
              <w:rPr>
                <w:rFonts w:ascii="Arial" w:cs="Arial" w:eastAsia="Arial" w:hAnsi="Arial"/>
                <w:sz w:val="18"/>
                <w:szCs w:val="18"/>
                <w:color w:val="auto"/>
              </w:rPr>
              <w:t>Company.</w:t>
            </w:r>
          </w:p>
        </w:tc>
        <w:tc>
          <w:tcPr>
            <w:tcW w:w="0" w:type="dxa"/>
            <w:vAlign w:val="bottom"/>
          </w:tcPr>
          <w:p>
            <w:pPr>
              <w:spacing w:after="0"/>
              <w:rPr>
                <w:sz w:val="1"/>
                <w:szCs w:val="1"/>
                <w:color w:val="auto"/>
              </w:rPr>
            </w:pPr>
          </w:p>
        </w:tc>
      </w:tr>
      <w:tr>
        <w:trPr>
          <w:trHeight w:val="634"/>
        </w:trPr>
        <w:tc>
          <w:tcPr>
            <w:tcW w:w="1780" w:type="dxa"/>
            <w:vAlign w:val="bottom"/>
          </w:tcPr>
          <w:p>
            <w:pPr>
              <w:spacing w:after="0"/>
              <w:rPr>
                <w:sz w:val="20"/>
                <w:szCs w:val="20"/>
                <w:color w:val="auto"/>
              </w:rPr>
            </w:pPr>
            <w:r>
              <w:rPr>
                <w:rFonts w:ascii="Arial" w:cs="Arial" w:eastAsia="Arial" w:hAnsi="Arial"/>
                <w:sz w:val="18"/>
                <w:szCs w:val="18"/>
                <w:b w:val="1"/>
                <w:bCs w:val="1"/>
                <w:color w:val="auto"/>
              </w:rPr>
              <w:t>Mary Beth Martin</w:t>
            </w:r>
          </w:p>
        </w:tc>
        <w:tc>
          <w:tcPr>
            <w:tcW w:w="5340" w:type="dxa"/>
            <w:vAlign w:val="bottom"/>
          </w:tcPr>
          <w:p>
            <w:pPr>
              <w:ind w:left="160"/>
              <w:spacing w:after="0"/>
              <w:rPr>
                <w:sz w:val="20"/>
                <w:szCs w:val="20"/>
                <w:color w:val="auto"/>
              </w:rPr>
            </w:pPr>
            <w:r>
              <w:rPr>
                <w:rFonts w:ascii="Arial" w:cs="Arial" w:eastAsia="Arial" w:hAnsi="Arial"/>
                <w:sz w:val="18"/>
                <w:szCs w:val="18"/>
                <w:color w:val="auto"/>
                <w:w w:val="93"/>
              </w:rPr>
              <w:t>Ms. Martin has served as the Executive Director of the Farmer Family</w:t>
            </w:r>
          </w:p>
        </w:tc>
        <w:tc>
          <w:tcPr>
            <w:tcW w:w="0" w:type="dxa"/>
            <w:vAlign w:val="bottom"/>
          </w:tcPr>
          <w:p>
            <w:pPr>
              <w:spacing w:after="0"/>
              <w:rPr>
                <w:sz w:val="1"/>
                <w:szCs w:val="1"/>
                <w:color w:val="auto"/>
              </w:rPr>
            </w:pPr>
          </w:p>
        </w:tc>
      </w:tr>
      <w:tr>
        <w:trPr>
          <w:trHeight w:val="216"/>
        </w:trPr>
        <w:tc>
          <w:tcPr>
            <w:tcW w:w="1780" w:type="dxa"/>
            <w:vAlign w:val="bottom"/>
            <w:vMerge w:val="restart"/>
          </w:tcPr>
          <w:p>
            <w:pPr>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57</w:t>
            </w:r>
          </w:p>
        </w:tc>
        <w:tc>
          <w:tcPr>
            <w:tcW w:w="5340" w:type="dxa"/>
            <w:vAlign w:val="bottom"/>
          </w:tcPr>
          <w:p>
            <w:pPr>
              <w:ind w:left="160"/>
              <w:spacing w:after="0"/>
              <w:rPr>
                <w:sz w:val="20"/>
                <w:szCs w:val="20"/>
                <w:color w:val="auto"/>
              </w:rPr>
            </w:pPr>
            <w:r>
              <w:rPr>
                <w:rFonts w:ascii="Arial" w:cs="Arial" w:eastAsia="Arial" w:hAnsi="Arial"/>
                <w:sz w:val="18"/>
                <w:szCs w:val="18"/>
                <w:color w:val="auto"/>
                <w:w w:val="94"/>
              </w:rPr>
              <w:t>Foundation in Cincinnati, Ohio for the past 12 years. In that role, she</w:t>
            </w:r>
          </w:p>
        </w:tc>
        <w:tc>
          <w:tcPr>
            <w:tcW w:w="0" w:type="dxa"/>
            <w:vAlign w:val="bottom"/>
          </w:tcPr>
          <w:p>
            <w:pPr>
              <w:spacing w:after="0"/>
              <w:rPr>
                <w:sz w:val="1"/>
                <w:szCs w:val="1"/>
                <w:color w:val="auto"/>
              </w:rPr>
            </w:pPr>
          </w:p>
        </w:tc>
      </w:tr>
      <w:tr>
        <w:trPr>
          <w:trHeight w:val="212"/>
        </w:trPr>
        <w:tc>
          <w:tcPr>
            <w:tcW w:w="1780" w:type="dxa"/>
            <w:vAlign w:val="bottom"/>
            <w:vMerge w:val="continue"/>
          </w:tcPr>
          <w:p>
            <w:pPr>
              <w:spacing w:after="0"/>
              <w:rPr>
                <w:sz w:val="18"/>
                <w:szCs w:val="18"/>
                <w:color w:val="auto"/>
              </w:rPr>
            </w:pPr>
          </w:p>
        </w:tc>
        <w:tc>
          <w:tcPr>
            <w:tcW w:w="5340" w:type="dxa"/>
            <w:vAlign w:val="bottom"/>
          </w:tcPr>
          <w:p>
            <w:pPr>
              <w:ind w:left="160"/>
              <w:spacing w:after="0"/>
              <w:rPr>
                <w:sz w:val="20"/>
                <w:szCs w:val="20"/>
                <w:color w:val="auto"/>
              </w:rPr>
            </w:pPr>
            <w:r>
              <w:rPr>
                <w:rFonts w:ascii="Arial" w:cs="Arial" w:eastAsia="Arial" w:hAnsi="Arial"/>
                <w:sz w:val="18"/>
                <w:szCs w:val="18"/>
                <w:color w:val="auto"/>
                <w:w w:val="96"/>
              </w:rPr>
              <w:t>manages the organization’s philanthropic goals and objectives, and</w:t>
            </w:r>
          </w:p>
        </w:tc>
        <w:tc>
          <w:tcPr>
            <w:tcW w:w="0" w:type="dxa"/>
            <w:vAlign w:val="bottom"/>
          </w:tcPr>
          <w:p>
            <w:pPr>
              <w:spacing w:after="0"/>
              <w:rPr>
                <w:sz w:val="1"/>
                <w:szCs w:val="1"/>
                <w:color w:val="auto"/>
              </w:rPr>
            </w:pPr>
          </w:p>
        </w:tc>
      </w:tr>
      <w:tr>
        <w:trPr>
          <w:trHeight w:val="220"/>
        </w:trPr>
        <w:tc>
          <w:tcPr>
            <w:tcW w:w="1780" w:type="dxa"/>
            <w:vAlign w:val="bottom"/>
          </w:tcPr>
          <w:p>
            <w:pPr>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2019</w:t>
            </w:r>
          </w:p>
        </w:tc>
        <w:tc>
          <w:tcPr>
            <w:tcW w:w="5340" w:type="dxa"/>
            <w:vAlign w:val="bottom"/>
          </w:tcPr>
          <w:p>
            <w:pPr>
              <w:ind w:left="160"/>
              <w:spacing w:after="0"/>
              <w:rPr>
                <w:sz w:val="20"/>
                <w:szCs w:val="20"/>
                <w:color w:val="auto"/>
              </w:rPr>
            </w:pPr>
            <w:r>
              <w:rPr>
                <w:rFonts w:ascii="Arial" w:cs="Arial" w:eastAsia="Arial" w:hAnsi="Arial"/>
                <w:sz w:val="18"/>
                <w:szCs w:val="18"/>
                <w:color w:val="auto"/>
                <w:w w:val="93"/>
              </w:rPr>
              <w:t>oversees grant investments. For over 20 years, Ms. Martin previously</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5340" w:type="dxa"/>
            <w:vAlign w:val="bottom"/>
          </w:tcPr>
          <w:p>
            <w:pPr>
              <w:ind w:left="160"/>
              <w:spacing w:after="0"/>
              <w:rPr>
                <w:sz w:val="20"/>
                <w:szCs w:val="20"/>
                <w:color w:val="auto"/>
              </w:rPr>
            </w:pPr>
            <w:r>
              <w:rPr>
                <w:rFonts w:ascii="Arial" w:cs="Arial" w:eastAsia="Arial" w:hAnsi="Arial"/>
                <w:sz w:val="18"/>
                <w:szCs w:val="18"/>
                <w:color w:val="auto"/>
                <w:w w:val="91"/>
              </w:rPr>
              <w:t>served in the banking and commercial real estate industries where she</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5340" w:type="dxa"/>
            <w:vAlign w:val="bottom"/>
          </w:tcPr>
          <w:p>
            <w:pPr>
              <w:ind w:left="160"/>
              <w:spacing w:after="0"/>
              <w:rPr>
                <w:sz w:val="20"/>
                <w:szCs w:val="20"/>
                <w:color w:val="auto"/>
              </w:rPr>
            </w:pPr>
            <w:r>
              <w:rPr>
                <w:rFonts w:ascii="Arial" w:cs="Arial" w:eastAsia="Arial" w:hAnsi="Arial"/>
                <w:sz w:val="18"/>
                <w:szCs w:val="18"/>
                <w:color w:val="auto"/>
                <w:w w:val="91"/>
              </w:rPr>
              <w:t>led commercial real estate, private bank, trust, and asset management</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5340" w:type="dxa"/>
            <w:vAlign w:val="bottom"/>
          </w:tcPr>
          <w:p>
            <w:pPr>
              <w:ind w:left="160"/>
              <w:spacing w:after="0"/>
              <w:rPr>
                <w:sz w:val="20"/>
                <w:szCs w:val="20"/>
                <w:color w:val="auto"/>
              </w:rPr>
            </w:pPr>
            <w:r>
              <w:rPr>
                <w:rFonts w:ascii="Arial" w:cs="Arial" w:eastAsia="Arial" w:hAnsi="Arial"/>
                <w:sz w:val="18"/>
                <w:szCs w:val="18"/>
                <w:color w:val="auto"/>
                <w:w w:val="99"/>
              </w:rPr>
              <w:t>groups at regional banking institutions. Ms. Martin is active in her</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5340" w:type="dxa"/>
            <w:vAlign w:val="bottom"/>
          </w:tcPr>
          <w:p>
            <w:pPr>
              <w:ind w:left="160"/>
              <w:spacing w:after="0"/>
              <w:rPr>
                <w:sz w:val="20"/>
                <w:szCs w:val="20"/>
                <w:color w:val="auto"/>
              </w:rPr>
            </w:pPr>
            <w:r>
              <w:rPr>
                <w:rFonts w:ascii="Arial" w:cs="Arial" w:eastAsia="Arial" w:hAnsi="Arial"/>
                <w:sz w:val="18"/>
                <w:szCs w:val="18"/>
                <w:color w:val="auto"/>
                <w:w w:val="92"/>
              </w:rPr>
              <w:t>community and currently serves on the Board of Directors of a number</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5340" w:type="dxa"/>
            <w:vAlign w:val="bottom"/>
          </w:tcPr>
          <w:p>
            <w:pPr>
              <w:ind w:left="160"/>
              <w:spacing w:after="0"/>
              <w:rPr>
                <w:sz w:val="20"/>
                <w:szCs w:val="20"/>
                <w:color w:val="auto"/>
              </w:rPr>
            </w:pPr>
            <w:r>
              <w:rPr>
                <w:rFonts w:ascii="Arial" w:cs="Arial" w:eastAsia="Arial" w:hAnsi="Arial"/>
                <w:sz w:val="18"/>
                <w:szCs w:val="18"/>
                <w:color w:val="auto"/>
                <w:w w:val="92"/>
              </w:rPr>
              <w:t>of charitable organizations, including Accelerate Great Schools, where</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5340" w:type="dxa"/>
            <w:vAlign w:val="bottom"/>
          </w:tcPr>
          <w:p>
            <w:pPr>
              <w:ind w:left="160"/>
              <w:spacing w:after="0"/>
              <w:rPr>
                <w:sz w:val="20"/>
                <w:szCs w:val="20"/>
                <w:color w:val="auto"/>
              </w:rPr>
            </w:pPr>
            <w:r>
              <w:rPr>
                <w:rFonts w:ascii="Arial" w:cs="Arial" w:eastAsia="Arial" w:hAnsi="Arial"/>
                <w:sz w:val="18"/>
                <w:szCs w:val="18"/>
                <w:color w:val="auto"/>
                <w:w w:val="93"/>
              </w:rPr>
              <w:t>she also serves as Secretary and Treasurer, Music Hall Revitalization</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5340" w:type="dxa"/>
            <w:vAlign w:val="bottom"/>
          </w:tcPr>
          <w:p>
            <w:pPr>
              <w:ind w:left="160"/>
              <w:spacing w:after="0"/>
              <w:rPr>
                <w:sz w:val="20"/>
                <w:szCs w:val="20"/>
                <w:color w:val="auto"/>
              </w:rPr>
            </w:pPr>
            <w:r>
              <w:rPr>
                <w:rFonts w:ascii="Arial" w:cs="Arial" w:eastAsia="Arial" w:hAnsi="Arial"/>
                <w:sz w:val="18"/>
                <w:szCs w:val="18"/>
                <w:color w:val="auto"/>
                <w:w w:val="98"/>
              </w:rPr>
              <w:t>Corporation, Teach for America Southwest Ohio and Ohio Excels.</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5340" w:type="dxa"/>
            <w:vAlign w:val="bottom"/>
          </w:tcPr>
          <w:p>
            <w:pPr>
              <w:ind w:left="160"/>
              <w:spacing w:after="0"/>
              <w:rPr>
                <w:sz w:val="20"/>
                <w:szCs w:val="20"/>
                <w:color w:val="auto"/>
              </w:rPr>
            </w:pPr>
            <w:r>
              <w:rPr>
                <w:rFonts w:ascii="Arial" w:cs="Arial" w:eastAsia="Arial" w:hAnsi="Arial"/>
                <w:sz w:val="18"/>
                <w:szCs w:val="18"/>
                <w:color w:val="auto"/>
              </w:rPr>
              <w:t>The Board believes that Ms. Martin’s management experience in</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5340" w:type="dxa"/>
            <w:vAlign w:val="bottom"/>
          </w:tcPr>
          <w:p>
            <w:pPr>
              <w:ind w:left="160"/>
              <w:spacing w:after="0"/>
              <w:rPr>
                <w:sz w:val="20"/>
                <w:szCs w:val="20"/>
                <w:color w:val="auto"/>
              </w:rPr>
            </w:pPr>
            <w:r>
              <w:rPr>
                <w:rFonts w:ascii="Arial" w:cs="Arial" w:eastAsia="Arial" w:hAnsi="Arial"/>
                <w:sz w:val="18"/>
                <w:szCs w:val="18"/>
                <w:color w:val="auto"/>
                <w:w w:val="90"/>
              </w:rPr>
              <w:t>various sectors as well as her financial, investment and commercial real</w:t>
            </w:r>
          </w:p>
        </w:tc>
        <w:tc>
          <w:tcPr>
            <w:tcW w:w="0" w:type="dxa"/>
            <w:vAlign w:val="bottom"/>
          </w:tcPr>
          <w:p>
            <w:pPr>
              <w:spacing w:after="0"/>
              <w:rPr>
                <w:sz w:val="1"/>
                <w:szCs w:val="1"/>
                <w:color w:val="auto"/>
              </w:rPr>
            </w:pPr>
          </w:p>
        </w:tc>
      </w:tr>
      <w:tr>
        <w:trPr>
          <w:trHeight w:val="230"/>
        </w:trPr>
        <w:tc>
          <w:tcPr>
            <w:tcW w:w="1780" w:type="dxa"/>
            <w:vAlign w:val="bottom"/>
          </w:tcPr>
          <w:p>
            <w:pPr>
              <w:spacing w:after="0"/>
              <w:rPr>
                <w:sz w:val="20"/>
                <w:szCs w:val="20"/>
                <w:color w:val="auto"/>
              </w:rPr>
            </w:pPr>
          </w:p>
        </w:tc>
        <w:tc>
          <w:tcPr>
            <w:tcW w:w="5340" w:type="dxa"/>
            <w:vAlign w:val="bottom"/>
          </w:tcPr>
          <w:p>
            <w:pPr>
              <w:ind w:left="160"/>
              <w:spacing w:after="0"/>
              <w:rPr>
                <w:sz w:val="20"/>
                <w:szCs w:val="20"/>
                <w:color w:val="auto"/>
              </w:rPr>
            </w:pPr>
            <w:r>
              <w:rPr>
                <w:rFonts w:ascii="Arial" w:cs="Arial" w:eastAsia="Arial" w:hAnsi="Arial"/>
                <w:sz w:val="18"/>
                <w:szCs w:val="18"/>
                <w:color w:val="auto"/>
              </w:rPr>
              <w:t>estate experience will significantly benefit the Board of Directors.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776605</wp:posOffset>
            </wp:positionH>
            <wp:positionV relativeFrom="paragraph">
              <wp:posOffset>-7543165</wp:posOffset>
            </wp:positionV>
            <wp:extent cx="934085" cy="12344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934085" cy="123444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-5348605</wp:posOffset>
            </wp:positionV>
            <wp:extent cx="934085" cy="12344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934085" cy="123444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-1919605</wp:posOffset>
            </wp:positionV>
            <wp:extent cx="934085" cy="12604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934085" cy="1260475"/>
                    </a:xfrm>
                    <a:prstGeom prst="rect">
                      <a:avLst/>
                    </a:prstGeom>
                    <a:noFill/>
                  </pic:spPr>
                </pic:pic>
              </a:graphicData>
            </a:graphic>
          </wp:anchor>
        </w:drawing>
      </w:r>
    </w:p>
    <w:p>
      <w:pPr>
        <w:sectPr>
          <w:pgSz w:w="11900" w:h="16838" w:orient="portrait"/>
          <w:cols w:equalWidth="0" w:num="1">
            <w:col w:w="10160"/>
          </w:cols>
          <w:pgMar w:left="320" w:top="265"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160"/>
        <w:spacing w:after="0"/>
        <w:tabs>
          <w:tab w:leader="none" w:pos="10040" w:val="left"/>
        </w:tabs>
        <w:rPr>
          <w:sz w:val="20"/>
          <w:szCs w:val="20"/>
          <w:color w:val="auto"/>
        </w:rPr>
      </w:pPr>
      <w:r>
        <w:rPr>
          <w:rFonts w:ascii="Arial" w:cs="Arial" w:eastAsia="Arial" w:hAnsi="Arial"/>
          <w:sz w:val="16"/>
          <w:szCs w:val="16"/>
          <w:color w:val="auto"/>
        </w:rPr>
        <w:t>2020 Proxy Statement | Proposals</w:t>
      </w:r>
      <w:r>
        <w:rPr>
          <w:sz w:val="20"/>
          <w:szCs w:val="20"/>
          <w:color w:val="auto"/>
        </w:rPr>
        <w:tab/>
      </w: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129540</wp:posOffset>
            </wp:positionV>
            <wp:extent cx="69951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160"/>
          </w:cols>
          <w:pgMar w:left="320" w:top="265" w:right="1419" w:bottom="1440" w:gutter="0" w:footer="0" w:header="0"/>
          <w:type w:val="continuous"/>
        </w:sectPr>
      </w:pPr>
    </w:p>
    <w:bookmarkStart w:id="15" w:name="page16"/>
    <w:bookmarkEnd w:id="15"/>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6515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3040" w:type="dxa"/>
        <w:tblCellMar>
          <w:top w:w="0" w:type="dxa"/>
          <w:left w:w="0" w:type="dxa"/>
          <w:bottom w:w="0" w:type="dxa"/>
          <w:right w:w="0" w:type="dxa"/>
        </w:tblCellMar>
      </w:tblPr>
      <w:tr>
        <w:trPr>
          <w:trHeight w:val="220"/>
        </w:trPr>
        <w:tc>
          <w:tcPr>
            <w:tcW w:w="1800" w:type="dxa"/>
            <w:vAlign w:val="bottom"/>
          </w:tcPr>
          <w:p>
            <w:pPr>
              <w:spacing w:after="0"/>
              <w:rPr>
                <w:sz w:val="20"/>
                <w:szCs w:val="20"/>
                <w:color w:val="auto"/>
              </w:rPr>
            </w:pPr>
            <w:r>
              <w:rPr>
                <w:rFonts w:ascii="Arial" w:cs="Arial" w:eastAsia="Arial" w:hAnsi="Arial"/>
                <w:sz w:val="18"/>
                <w:szCs w:val="18"/>
                <w:b w:val="1"/>
                <w:bCs w:val="1"/>
                <w:color w:val="auto"/>
              </w:rPr>
              <w:t>William W. Verity</w:t>
            </w:r>
          </w:p>
        </w:tc>
        <w:tc>
          <w:tcPr>
            <w:tcW w:w="5320" w:type="dxa"/>
            <w:vAlign w:val="bottom"/>
          </w:tcPr>
          <w:p>
            <w:pPr>
              <w:ind w:left="140"/>
              <w:spacing w:after="0"/>
              <w:rPr>
                <w:sz w:val="20"/>
                <w:szCs w:val="20"/>
                <w:color w:val="auto"/>
              </w:rPr>
            </w:pPr>
            <w:r>
              <w:rPr>
                <w:rFonts w:ascii="Arial" w:cs="Arial" w:eastAsia="Arial" w:hAnsi="Arial"/>
                <w:sz w:val="18"/>
                <w:szCs w:val="18"/>
                <w:color w:val="auto"/>
              </w:rPr>
              <w:t>Mr. Verity has been President of Verity Investment Partners, an</w:t>
            </w:r>
          </w:p>
        </w:tc>
        <w:tc>
          <w:tcPr>
            <w:tcW w:w="0" w:type="dxa"/>
            <w:vAlign w:val="bottom"/>
          </w:tcPr>
          <w:p>
            <w:pPr>
              <w:spacing w:after="0"/>
              <w:rPr>
                <w:sz w:val="1"/>
                <w:szCs w:val="1"/>
                <w:color w:val="auto"/>
              </w:rPr>
            </w:pPr>
          </w:p>
        </w:tc>
      </w:tr>
      <w:tr>
        <w:trPr>
          <w:trHeight w:val="216"/>
        </w:trPr>
        <w:tc>
          <w:tcPr>
            <w:tcW w:w="1800" w:type="dxa"/>
            <w:vAlign w:val="bottom"/>
            <w:vMerge w:val="restart"/>
          </w:tcPr>
          <w:p>
            <w:pPr>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61</w:t>
            </w:r>
          </w:p>
        </w:tc>
        <w:tc>
          <w:tcPr>
            <w:tcW w:w="5320" w:type="dxa"/>
            <w:vAlign w:val="bottom"/>
          </w:tcPr>
          <w:p>
            <w:pPr>
              <w:ind w:left="140"/>
              <w:spacing w:after="0"/>
              <w:rPr>
                <w:sz w:val="20"/>
                <w:szCs w:val="20"/>
                <w:color w:val="auto"/>
              </w:rPr>
            </w:pPr>
            <w:r>
              <w:rPr>
                <w:rFonts w:ascii="Arial" w:cs="Arial" w:eastAsia="Arial" w:hAnsi="Arial"/>
                <w:sz w:val="18"/>
                <w:szCs w:val="18"/>
                <w:color w:val="auto"/>
                <w:w w:val="91"/>
              </w:rPr>
              <w:t>investment management company, since January 1, 2002, and prior to</w:t>
            </w:r>
          </w:p>
        </w:tc>
        <w:tc>
          <w:tcPr>
            <w:tcW w:w="0" w:type="dxa"/>
            <w:vAlign w:val="bottom"/>
          </w:tcPr>
          <w:p>
            <w:pPr>
              <w:spacing w:after="0"/>
              <w:rPr>
                <w:sz w:val="1"/>
                <w:szCs w:val="1"/>
                <w:color w:val="auto"/>
              </w:rPr>
            </w:pPr>
          </w:p>
        </w:tc>
      </w:tr>
      <w:tr>
        <w:trPr>
          <w:trHeight w:val="212"/>
        </w:trPr>
        <w:tc>
          <w:tcPr>
            <w:tcW w:w="1800" w:type="dxa"/>
            <w:vAlign w:val="bottom"/>
            <w:vMerge w:val="continue"/>
          </w:tcPr>
          <w:p>
            <w:pPr>
              <w:spacing w:after="0"/>
              <w:rPr>
                <w:sz w:val="18"/>
                <w:szCs w:val="18"/>
                <w:color w:val="auto"/>
              </w:rPr>
            </w:pPr>
          </w:p>
        </w:tc>
        <w:tc>
          <w:tcPr>
            <w:tcW w:w="5320" w:type="dxa"/>
            <w:vAlign w:val="bottom"/>
          </w:tcPr>
          <w:p>
            <w:pPr>
              <w:ind w:left="140"/>
              <w:spacing w:after="0"/>
              <w:rPr>
                <w:sz w:val="20"/>
                <w:szCs w:val="20"/>
                <w:color w:val="auto"/>
              </w:rPr>
            </w:pPr>
            <w:r>
              <w:rPr>
                <w:rFonts w:ascii="Arial" w:cs="Arial" w:eastAsia="Arial" w:hAnsi="Arial"/>
                <w:sz w:val="18"/>
                <w:szCs w:val="18"/>
                <w:color w:val="auto"/>
              </w:rPr>
              <w:t>that, he was a partner of Pathway Guidance L.L.C., an executive</w:t>
            </w:r>
          </w:p>
        </w:tc>
        <w:tc>
          <w:tcPr>
            <w:tcW w:w="0" w:type="dxa"/>
            <w:vAlign w:val="bottom"/>
          </w:tcPr>
          <w:p>
            <w:pPr>
              <w:spacing w:after="0"/>
              <w:rPr>
                <w:sz w:val="1"/>
                <w:szCs w:val="1"/>
                <w:color w:val="auto"/>
              </w:rPr>
            </w:pPr>
          </w:p>
        </w:tc>
      </w:tr>
      <w:tr>
        <w:trPr>
          <w:trHeight w:val="220"/>
        </w:trPr>
        <w:tc>
          <w:tcPr>
            <w:tcW w:w="1800" w:type="dxa"/>
            <w:vAlign w:val="bottom"/>
          </w:tcPr>
          <w:p>
            <w:pPr>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2002</w:t>
            </w:r>
          </w:p>
        </w:tc>
        <w:tc>
          <w:tcPr>
            <w:tcW w:w="5320" w:type="dxa"/>
            <w:vAlign w:val="bottom"/>
          </w:tcPr>
          <w:p>
            <w:pPr>
              <w:ind w:left="140"/>
              <w:spacing w:after="0"/>
              <w:rPr>
                <w:sz w:val="20"/>
                <w:szCs w:val="20"/>
                <w:color w:val="auto"/>
              </w:rPr>
            </w:pPr>
            <w:r>
              <w:rPr>
                <w:rFonts w:ascii="Arial" w:cs="Arial" w:eastAsia="Arial" w:hAnsi="Arial"/>
                <w:sz w:val="18"/>
                <w:szCs w:val="18"/>
                <w:color w:val="auto"/>
              </w:rPr>
              <w:t>consulting firm, from October 2000. Previously, Mr. Verity was</w:t>
            </w:r>
          </w:p>
        </w:tc>
        <w:tc>
          <w:tcPr>
            <w:tcW w:w="0" w:type="dxa"/>
            <w:vAlign w:val="bottom"/>
          </w:tcPr>
          <w:p>
            <w:pPr>
              <w:spacing w:after="0"/>
              <w:rPr>
                <w:sz w:val="1"/>
                <w:szCs w:val="1"/>
                <w:color w:val="auto"/>
              </w:rPr>
            </w:pPr>
          </w:p>
        </w:tc>
      </w:tr>
      <w:tr>
        <w:trPr>
          <w:trHeight w:val="216"/>
        </w:trPr>
        <w:tc>
          <w:tcPr>
            <w:tcW w:w="1800" w:type="dxa"/>
            <w:vAlign w:val="bottom"/>
            <w:vMerge w:val="restart"/>
          </w:tcPr>
          <w:p>
            <w:pPr>
              <w:spacing w:after="0"/>
              <w:rPr>
                <w:sz w:val="20"/>
                <w:szCs w:val="20"/>
                <w:color w:val="auto"/>
              </w:rPr>
            </w:pPr>
            <w:r>
              <w:rPr>
                <w:rFonts w:ascii="Arial" w:cs="Arial" w:eastAsia="Arial" w:hAnsi="Arial"/>
                <w:sz w:val="18"/>
                <w:szCs w:val="18"/>
                <w:b w:val="1"/>
                <w:bCs w:val="1"/>
                <w:color w:val="auto"/>
              </w:rPr>
              <w:t>Board Committees:</w:t>
            </w:r>
          </w:p>
        </w:tc>
        <w:tc>
          <w:tcPr>
            <w:tcW w:w="5320" w:type="dxa"/>
            <w:vAlign w:val="bottom"/>
          </w:tcPr>
          <w:p>
            <w:pPr>
              <w:ind w:left="140"/>
              <w:spacing w:after="0"/>
              <w:rPr>
                <w:sz w:val="20"/>
                <w:szCs w:val="20"/>
                <w:color w:val="auto"/>
              </w:rPr>
            </w:pPr>
            <w:r>
              <w:rPr>
                <w:rFonts w:ascii="Arial" w:cs="Arial" w:eastAsia="Arial" w:hAnsi="Arial"/>
                <w:sz w:val="18"/>
                <w:szCs w:val="18"/>
                <w:color w:val="auto"/>
                <w:w w:val="98"/>
              </w:rPr>
              <w:t>Chairman and Chief Executive Officer of ENCOR Holdings, Inc., a</w:t>
            </w:r>
          </w:p>
        </w:tc>
        <w:tc>
          <w:tcPr>
            <w:tcW w:w="0" w:type="dxa"/>
            <w:vAlign w:val="bottom"/>
          </w:tcPr>
          <w:p>
            <w:pPr>
              <w:spacing w:after="0"/>
              <w:rPr>
                <w:sz w:val="1"/>
                <w:szCs w:val="1"/>
                <w:color w:val="auto"/>
              </w:rPr>
            </w:pPr>
          </w:p>
        </w:tc>
      </w:tr>
      <w:tr>
        <w:trPr>
          <w:trHeight w:val="216"/>
        </w:trPr>
        <w:tc>
          <w:tcPr>
            <w:tcW w:w="1800" w:type="dxa"/>
            <w:vAlign w:val="bottom"/>
            <w:vMerge w:val="continue"/>
          </w:tcPr>
          <w:p>
            <w:pPr>
              <w:spacing w:after="0"/>
              <w:rPr>
                <w:sz w:val="18"/>
                <w:szCs w:val="18"/>
                <w:color w:val="auto"/>
              </w:rPr>
            </w:pPr>
          </w:p>
        </w:tc>
        <w:tc>
          <w:tcPr>
            <w:tcW w:w="5320" w:type="dxa"/>
            <w:vAlign w:val="bottom"/>
          </w:tcPr>
          <w:p>
            <w:pPr>
              <w:ind w:left="140"/>
              <w:spacing w:after="0"/>
              <w:rPr>
                <w:sz w:val="20"/>
                <w:szCs w:val="20"/>
                <w:color w:val="auto"/>
              </w:rPr>
            </w:pPr>
            <w:r>
              <w:rPr>
                <w:rFonts w:ascii="Arial" w:cs="Arial" w:eastAsia="Arial" w:hAnsi="Arial"/>
                <w:sz w:val="18"/>
                <w:szCs w:val="18"/>
                <w:color w:val="auto"/>
                <w:w w:val="91"/>
              </w:rPr>
              <w:t>developer and manufacturer of plastic molded components and worked</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20"/>
                <w:szCs w:val="20"/>
                <w:color w:val="auto"/>
              </w:rPr>
            </w:pPr>
            <w:r>
              <w:rPr>
                <w:rFonts w:ascii="Arial" w:cs="Arial" w:eastAsia="Arial" w:hAnsi="Arial"/>
                <w:sz w:val="18"/>
                <w:szCs w:val="18"/>
                <w:color w:val="auto"/>
                <w:w w:val="97"/>
              </w:rPr>
              <w:t>Corporate Governance</w:t>
            </w:r>
          </w:p>
        </w:tc>
        <w:tc>
          <w:tcPr>
            <w:tcW w:w="5320" w:type="dxa"/>
            <w:vAlign w:val="bottom"/>
          </w:tcPr>
          <w:p>
            <w:pPr>
              <w:ind w:left="140"/>
              <w:spacing w:after="0"/>
              <w:rPr>
                <w:sz w:val="20"/>
                <w:szCs w:val="20"/>
                <w:color w:val="auto"/>
              </w:rPr>
            </w:pPr>
            <w:r>
              <w:rPr>
                <w:rFonts w:ascii="Arial" w:cs="Arial" w:eastAsia="Arial" w:hAnsi="Arial"/>
                <w:sz w:val="18"/>
                <w:szCs w:val="18"/>
                <w:color w:val="auto"/>
              </w:rPr>
              <w:t>as an associate in corporate finance at Alex. Brown &amp; Sons, an</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20"/>
                <w:szCs w:val="20"/>
                <w:color w:val="auto"/>
              </w:rPr>
            </w:pPr>
            <w:r>
              <w:rPr>
                <w:rFonts w:ascii="Arial" w:cs="Arial" w:eastAsia="Arial" w:hAnsi="Arial"/>
                <w:sz w:val="18"/>
                <w:szCs w:val="18"/>
                <w:color w:val="auto"/>
              </w:rPr>
              <w:t>(Chair)</w:t>
            </w:r>
          </w:p>
        </w:tc>
        <w:tc>
          <w:tcPr>
            <w:tcW w:w="5320" w:type="dxa"/>
            <w:vAlign w:val="bottom"/>
          </w:tcPr>
          <w:p>
            <w:pPr>
              <w:ind w:left="140"/>
              <w:spacing w:after="0"/>
              <w:rPr>
                <w:sz w:val="20"/>
                <w:szCs w:val="20"/>
                <w:color w:val="auto"/>
              </w:rPr>
            </w:pPr>
            <w:r>
              <w:rPr>
                <w:rFonts w:ascii="Arial" w:cs="Arial" w:eastAsia="Arial" w:hAnsi="Arial"/>
                <w:sz w:val="18"/>
                <w:szCs w:val="18"/>
                <w:color w:val="auto"/>
                <w:w w:val="99"/>
              </w:rPr>
              <w:t>investment bank, from 1985 to 1987. He previously served on the</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20"/>
                <w:szCs w:val="20"/>
                <w:color w:val="auto"/>
              </w:rPr>
            </w:pPr>
            <w:r>
              <w:rPr>
                <w:rFonts w:ascii="Arial" w:cs="Arial" w:eastAsia="Arial" w:hAnsi="Arial"/>
                <w:sz w:val="18"/>
                <w:szCs w:val="18"/>
                <w:color w:val="auto"/>
              </w:rPr>
              <w:t>Compensation</w:t>
            </w:r>
          </w:p>
        </w:tc>
        <w:tc>
          <w:tcPr>
            <w:tcW w:w="5320" w:type="dxa"/>
            <w:vAlign w:val="bottom"/>
          </w:tcPr>
          <w:p>
            <w:pPr>
              <w:ind w:left="140"/>
              <w:spacing w:after="0"/>
              <w:rPr>
                <w:sz w:val="20"/>
                <w:szCs w:val="20"/>
                <w:color w:val="auto"/>
              </w:rPr>
            </w:pPr>
            <w:r>
              <w:rPr>
                <w:rFonts w:ascii="Arial" w:cs="Arial" w:eastAsia="Arial" w:hAnsi="Arial"/>
                <w:sz w:val="18"/>
                <w:szCs w:val="18"/>
                <w:color w:val="auto"/>
              </w:rPr>
              <w:t>Board of Directors of Chiquita Brands International, Inc., an</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5320" w:type="dxa"/>
            <w:vAlign w:val="bottom"/>
          </w:tcPr>
          <w:p>
            <w:pPr>
              <w:ind w:left="140"/>
              <w:spacing w:after="0"/>
              <w:rPr>
                <w:sz w:val="20"/>
                <w:szCs w:val="20"/>
                <w:color w:val="auto"/>
              </w:rPr>
            </w:pPr>
            <w:r>
              <w:rPr>
                <w:rFonts w:ascii="Arial" w:cs="Arial" w:eastAsia="Arial" w:hAnsi="Arial"/>
                <w:sz w:val="18"/>
                <w:szCs w:val="18"/>
                <w:color w:val="auto"/>
              </w:rPr>
              <w:t>international food products marketer and distributor. Mr. Verity’s</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5320" w:type="dxa"/>
            <w:vAlign w:val="bottom"/>
          </w:tcPr>
          <w:p>
            <w:pPr>
              <w:ind w:left="140"/>
              <w:spacing w:after="0"/>
              <w:rPr>
                <w:sz w:val="20"/>
                <w:szCs w:val="20"/>
                <w:color w:val="auto"/>
              </w:rPr>
            </w:pPr>
            <w:r>
              <w:rPr>
                <w:rFonts w:ascii="Arial" w:cs="Arial" w:eastAsia="Arial" w:hAnsi="Arial"/>
                <w:sz w:val="18"/>
                <w:szCs w:val="18"/>
                <w:color w:val="auto"/>
                <w:w w:val="94"/>
              </w:rPr>
              <w:t>position as the principal executive officer of a privately held company</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5320" w:type="dxa"/>
            <w:vAlign w:val="bottom"/>
          </w:tcPr>
          <w:p>
            <w:pPr>
              <w:ind w:left="140"/>
              <w:spacing w:after="0"/>
              <w:rPr>
                <w:sz w:val="20"/>
                <w:szCs w:val="20"/>
                <w:color w:val="auto"/>
              </w:rPr>
            </w:pPr>
            <w:r>
              <w:rPr>
                <w:rFonts w:ascii="Arial" w:cs="Arial" w:eastAsia="Arial" w:hAnsi="Arial"/>
                <w:sz w:val="18"/>
                <w:szCs w:val="18"/>
                <w:color w:val="auto"/>
                <w:w w:val="90"/>
              </w:rPr>
              <w:t>and his over ten years of executive and Board experience with complex</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5320" w:type="dxa"/>
            <w:vAlign w:val="bottom"/>
          </w:tcPr>
          <w:p>
            <w:pPr>
              <w:ind w:left="140"/>
              <w:spacing w:after="0"/>
              <w:rPr>
                <w:sz w:val="20"/>
                <w:szCs w:val="20"/>
                <w:color w:val="auto"/>
              </w:rPr>
            </w:pPr>
            <w:r>
              <w:rPr>
                <w:rFonts w:ascii="Arial" w:cs="Arial" w:eastAsia="Arial" w:hAnsi="Arial"/>
                <w:sz w:val="18"/>
                <w:szCs w:val="18"/>
                <w:color w:val="auto"/>
              </w:rPr>
              <w:t>asset management issues, qualify him for membership on the</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5320" w:type="dxa"/>
            <w:vAlign w:val="bottom"/>
          </w:tcPr>
          <w:p>
            <w:pPr>
              <w:ind w:left="140"/>
              <w:spacing w:after="0"/>
              <w:rPr>
                <w:sz w:val="20"/>
                <w:szCs w:val="20"/>
                <w:color w:val="auto"/>
              </w:rPr>
            </w:pPr>
            <w:r>
              <w:rPr>
                <w:rFonts w:ascii="Arial" w:cs="Arial" w:eastAsia="Arial" w:hAnsi="Arial"/>
                <w:sz w:val="18"/>
                <w:szCs w:val="18"/>
                <w:color w:val="auto"/>
                <w:w w:val="98"/>
              </w:rPr>
              <w:t>Company’s Board and Corporate Governance and Compensation</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5320" w:type="dxa"/>
            <w:vAlign w:val="bottom"/>
          </w:tcPr>
          <w:p>
            <w:pPr>
              <w:ind w:left="140"/>
              <w:spacing w:after="0"/>
              <w:rPr>
                <w:sz w:val="20"/>
                <w:szCs w:val="20"/>
                <w:color w:val="auto"/>
              </w:rPr>
            </w:pPr>
            <w:r>
              <w:rPr>
                <w:rFonts w:ascii="Arial" w:cs="Arial" w:eastAsia="Arial" w:hAnsi="Arial"/>
                <w:sz w:val="18"/>
                <w:szCs w:val="18"/>
                <w:color w:val="auto"/>
                <w:w w:val="93"/>
              </w:rPr>
              <w:t>Committees. In addition, Mr. Verity’s executive consulting experience</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5320" w:type="dxa"/>
            <w:vAlign w:val="bottom"/>
          </w:tcPr>
          <w:p>
            <w:pPr>
              <w:ind w:left="140"/>
              <w:spacing w:after="0"/>
              <w:rPr>
                <w:sz w:val="20"/>
                <w:szCs w:val="20"/>
                <w:color w:val="auto"/>
              </w:rPr>
            </w:pPr>
            <w:r>
              <w:rPr>
                <w:rFonts w:ascii="Arial" w:cs="Arial" w:eastAsia="Arial" w:hAnsi="Arial"/>
                <w:sz w:val="18"/>
                <w:szCs w:val="18"/>
                <w:color w:val="auto"/>
              </w:rPr>
              <w:t>provides him with insight into high-level corporate governance,</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5320" w:type="dxa"/>
            <w:vAlign w:val="bottom"/>
          </w:tcPr>
          <w:p>
            <w:pPr>
              <w:ind w:left="140"/>
              <w:spacing w:after="0"/>
              <w:rPr>
                <w:sz w:val="20"/>
                <w:szCs w:val="20"/>
                <w:color w:val="auto"/>
              </w:rPr>
            </w:pPr>
            <w:r>
              <w:rPr>
                <w:rFonts w:ascii="Arial" w:cs="Arial" w:eastAsia="Arial" w:hAnsi="Arial"/>
                <w:sz w:val="18"/>
                <w:szCs w:val="18"/>
                <w:color w:val="auto"/>
                <w:w w:val="90"/>
              </w:rPr>
              <w:t>executive compensation matters and business management matters, all</w:t>
            </w:r>
          </w:p>
        </w:tc>
        <w:tc>
          <w:tcPr>
            <w:tcW w:w="0" w:type="dxa"/>
            <w:vAlign w:val="bottom"/>
          </w:tcPr>
          <w:p>
            <w:pPr>
              <w:spacing w:after="0"/>
              <w:rPr>
                <w:sz w:val="1"/>
                <w:szCs w:val="1"/>
                <w:color w:val="auto"/>
              </w:rPr>
            </w:pPr>
          </w:p>
        </w:tc>
      </w:tr>
      <w:tr>
        <w:trPr>
          <w:trHeight w:val="230"/>
        </w:trPr>
        <w:tc>
          <w:tcPr>
            <w:tcW w:w="1800" w:type="dxa"/>
            <w:vAlign w:val="bottom"/>
          </w:tcPr>
          <w:p>
            <w:pPr>
              <w:spacing w:after="0"/>
              <w:rPr>
                <w:sz w:val="20"/>
                <w:szCs w:val="20"/>
                <w:color w:val="auto"/>
              </w:rPr>
            </w:pPr>
          </w:p>
        </w:tc>
        <w:tc>
          <w:tcPr>
            <w:tcW w:w="5320" w:type="dxa"/>
            <w:vAlign w:val="bottom"/>
          </w:tcPr>
          <w:p>
            <w:pPr>
              <w:ind w:left="140"/>
              <w:spacing w:after="0"/>
              <w:rPr>
                <w:sz w:val="20"/>
                <w:szCs w:val="20"/>
                <w:color w:val="auto"/>
              </w:rPr>
            </w:pPr>
            <w:r>
              <w:rPr>
                <w:rFonts w:ascii="Arial" w:cs="Arial" w:eastAsia="Arial" w:hAnsi="Arial"/>
                <w:sz w:val="18"/>
                <w:szCs w:val="18"/>
                <w:color w:val="auto"/>
                <w:w w:val="98"/>
              </w:rPr>
              <w:t>of which the Company and the Board deal with on a regular basis.</w:t>
            </w:r>
          </w:p>
        </w:tc>
        <w:tc>
          <w:tcPr>
            <w:tcW w:w="0" w:type="dxa"/>
            <w:vAlign w:val="bottom"/>
          </w:tcPr>
          <w:p>
            <w:pPr>
              <w:spacing w:after="0"/>
              <w:rPr>
                <w:sz w:val="1"/>
                <w:szCs w:val="1"/>
                <w:color w:val="auto"/>
              </w:rPr>
            </w:pPr>
          </w:p>
        </w:tc>
      </w:tr>
      <w:tr>
        <w:trPr>
          <w:trHeight w:val="634"/>
        </w:trPr>
        <w:tc>
          <w:tcPr>
            <w:tcW w:w="1800" w:type="dxa"/>
            <w:vAlign w:val="bottom"/>
          </w:tcPr>
          <w:p>
            <w:pPr>
              <w:spacing w:after="0"/>
              <w:rPr>
                <w:sz w:val="20"/>
                <w:szCs w:val="20"/>
                <w:color w:val="auto"/>
              </w:rPr>
            </w:pPr>
            <w:r>
              <w:rPr>
                <w:rFonts w:ascii="Arial" w:cs="Arial" w:eastAsia="Arial" w:hAnsi="Arial"/>
                <w:sz w:val="18"/>
                <w:szCs w:val="18"/>
                <w:b w:val="1"/>
                <w:bCs w:val="1"/>
                <w:color w:val="auto"/>
              </w:rPr>
              <w:t>John I. Von Lehman</w:t>
            </w:r>
          </w:p>
        </w:tc>
        <w:tc>
          <w:tcPr>
            <w:tcW w:w="5320" w:type="dxa"/>
            <w:vAlign w:val="bottom"/>
          </w:tcPr>
          <w:p>
            <w:pPr>
              <w:ind w:left="140"/>
              <w:spacing w:after="0"/>
              <w:rPr>
                <w:sz w:val="20"/>
                <w:szCs w:val="20"/>
                <w:color w:val="auto"/>
              </w:rPr>
            </w:pPr>
            <w:r>
              <w:rPr>
                <w:rFonts w:ascii="Arial" w:cs="Arial" w:eastAsia="Arial" w:hAnsi="Arial"/>
                <w:sz w:val="18"/>
                <w:szCs w:val="18"/>
                <w:color w:val="auto"/>
                <w:w w:val="93"/>
              </w:rPr>
              <w:t>Mr. Von Lehman began his career as a certified public accountant for</w:t>
            </w:r>
          </w:p>
        </w:tc>
        <w:tc>
          <w:tcPr>
            <w:tcW w:w="0" w:type="dxa"/>
            <w:vAlign w:val="bottom"/>
          </w:tcPr>
          <w:p>
            <w:pPr>
              <w:spacing w:after="0"/>
              <w:rPr>
                <w:sz w:val="1"/>
                <w:szCs w:val="1"/>
                <w:color w:val="auto"/>
              </w:rPr>
            </w:pPr>
          </w:p>
        </w:tc>
      </w:tr>
      <w:tr>
        <w:trPr>
          <w:trHeight w:val="216"/>
        </w:trPr>
        <w:tc>
          <w:tcPr>
            <w:tcW w:w="1800" w:type="dxa"/>
            <w:vAlign w:val="bottom"/>
            <w:vMerge w:val="restart"/>
          </w:tcPr>
          <w:p>
            <w:pPr>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67</w:t>
            </w:r>
          </w:p>
        </w:tc>
        <w:tc>
          <w:tcPr>
            <w:tcW w:w="5320" w:type="dxa"/>
            <w:vAlign w:val="bottom"/>
          </w:tcPr>
          <w:p>
            <w:pPr>
              <w:ind w:left="140"/>
              <w:spacing w:after="0"/>
              <w:rPr>
                <w:sz w:val="20"/>
                <w:szCs w:val="20"/>
                <w:color w:val="auto"/>
              </w:rPr>
            </w:pPr>
            <w:r>
              <w:rPr>
                <w:rFonts w:ascii="Arial" w:cs="Arial" w:eastAsia="Arial" w:hAnsi="Arial"/>
                <w:sz w:val="18"/>
                <w:szCs w:val="18"/>
                <w:color w:val="auto"/>
                <w:w w:val="96"/>
              </w:rPr>
              <w:t>Haskins &amp; Sells, a predecessor of Deloitte, LLP. For more than five</w:t>
            </w:r>
          </w:p>
        </w:tc>
        <w:tc>
          <w:tcPr>
            <w:tcW w:w="0" w:type="dxa"/>
            <w:vAlign w:val="bottom"/>
          </w:tcPr>
          <w:p>
            <w:pPr>
              <w:spacing w:after="0"/>
              <w:rPr>
                <w:sz w:val="1"/>
                <w:szCs w:val="1"/>
                <w:color w:val="auto"/>
              </w:rPr>
            </w:pPr>
          </w:p>
        </w:tc>
      </w:tr>
      <w:tr>
        <w:trPr>
          <w:trHeight w:val="212"/>
        </w:trPr>
        <w:tc>
          <w:tcPr>
            <w:tcW w:w="1800" w:type="dxa"/>
            <w:vAlign w:val="bottom"/>
            <w:vMerge w:val="continue"/>
          </w:tcPr>
          <w:p>
            <w:pPr>
              <w:spacing w:after="0"/>
              <w:rPr>
                <w:sz w:val="18"/>
                <w:szCs w:val="18"/>
                <w:color w:val="auto"/>
              </w:rPr>
            </w:pPr>
          </w:p>
        </w:tc>
        <w:tc>
          <w:tcPr>
            <w:tcW w:w="5320" w:type="dxa"/>
            <w:vAlign w:val="bottom"/>
          </w:tcPr>
          <w:p>
            <w:pPr>
              <w:ind w:left="140"/>
              <w:spacing w:after="0"/>
              <w:rPr>
                <w:sz w:val="20"/>
                <w:szCs w:val="20"/>
                <w:color w:val="auto"/>
              </w:rPr>
            </w:pPr>
            <w:r>
              <w:rPr>
                <w:rFonts w:ascii="Arial" w:cs="Arial" w:eastAsia="Arial" w:hAnsi="Arial"/>
                <w:sz w:val="18"/>
                <w:szCs w:val="18"/>
                <w:color w:val="auto"/>
                <w:w w:val="90"/>
              </w:rPr>
              <w:t>years until his retirement in 2007, Mr. Von Lehman served as Executive</w:t>
            </w:r>
          </w:p>
        </w:tc>
        <w:tc>
          <w:tcPr>
            <w:tcW w:w="0" w:type="dxa"/>
            <w:vAlign w:val="bottom"/>
          </w:tcPr>
          <w:p>
            <w:pPr>
              <w:spacing w:after="0"/>
              <w:rPr>
                <w:sz w:val="1"/>
                <w:szCs w:val="1"/>
                <w:color w:val="auto"/>
              </w:rPr>
            </w:pPr>
          </w:p>
        </w:tc>
      </w:tr>
      <w:tr>
        <w:trPr>
          <w:trHeight w:val="220"/>
        </w:trPr>
        <w:tc>
          <w:tcPr>
            <w:tcW w:w="1800" w:type="dxa"/>
            <w:vAlign w:val="bottom"/>
          </w:tcPr>
          <w:p>
            <w:pPr>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2008</w:t>
            </w:r>
          </w:p>
        </w:tc>
        <w:tc>
          <w:tcPr>
            <w:tcW w:w="5320" w:type="dxa"/>
            <w:vAlign w:val="bottom"/>
          </w:tcPr>
          <w:p>
            <w:pPr>
              <w:ind w:left="140"/>
              <w:spacing w:after="0"/>
              <w:rPr>
                <w:sz w:val="20"/>
                <w:szCs w:val="20"/>
                <w:color w:val="auto"/>
              </w:rPr>
            </w:pPr>
            <w:r>
              <w:rPr>
                <w:rFonts w:ascii="Arial" w:cs="Arial" w:eastAsia="Arial" w:hAnsi="Arial"/>
                <w:sz w:val="18"/>
                <w:szCs w:val="18"/>
                <w:color w:val="auto"/>
                <w:w w:val="91"/>
              </w:rPr>
              <w:t>Vice President, Chief Financial Officer, Secretary and a director of The</w:t>
            </w:r>
          </w:p>
        </w:tc>
        <w:tc>
          <w:tcPr>
            <w:tcW w:w="0" w:type="dxa"/>
            <w:vAlign w:val="bottom"/>
          </w:tcPr>
          <w:p>
            <w:pPr>
              <w:spacing w:after="0"/>
              <w:rPr>
                <w:sz w:val="1"/>
                <w:szCs w:val="1"/>
                <w:color w:val="auto"/>
              </w:rPr>
            </w:pPr>
          </w:p>
        </w:tc>
      </w:tr>
      <w:tr>
        <w:trPr>
          <w:trHeight w:val="216"/>
        </w:trPr>
        <w:tc>
          <w:tcPr>
            <w:tcW w:w="1800" w:type="dxa"/>
            <w:vAlign w:val="bottom"/>
            <w:vMerge w:val="restart"/>
          </w:tcPr>
          <w:p>
            <w:pPr>
              <w:spacing w:after="0"/>
              <w:rPr>
                <w:sz w:val="20"/>
                <w:szCs w:val="20"/>
                <w:color w:val="auto"/>
              </w:rPr>
            </w:pPr>
            <w:r>
              <w:rPr>
                <w:rFonts w:ascii="Arial" w:cs="Arial" w:eastAsia="Arial" w:hAnsi="Arial"/>
                <w:sz w:val="18"/>
                <w:szCs w:val="18"/>
                <w:b w:val="1"/>
                <w:bCs w:val="1"/>
                <w:color w:val="auto"/>
              </w:rPr>
              <w:t>Board Committees:</w:t>
            </w:r>
          </w:p>
        </w:tc>
        <w:tc>
          <w:tcPr>
            <w:tcW w:w="5320" w:type="dxa"/>
            <w:vAlign w:val="bottom"/>
          </w:tcPr>
          <w:p>
            <w:pPr>
              <w:ind w:left="140"/>
              <w:spacing w:after="0"/>
              <w:rPr>
                <w:sz w:val="20"/>
                <w:szCs w:val="20"/>
                <w:color w:val="auto"/>
              </w:rPr>
            </w:pPr>
            <w:r>
              <w:rPr>
                <w:rFonts w:ascii="Arial" w:cs="Arial" w:eastAsia="Arial" w:hAnsi="Arial"/>
                <w:sz w:val="18"/>
                <w:szCs w:val="18"/>
                <w:color w:val="auto"/>
                <w:w w:val="98"/>
              </w:rPr>
              <w:t>Midland Company, an Ohio-based provider of specialty insurance</w:t>
            </w:r>
          </w:p>
        </w:tc>
        <w:tc>
          <w:tcPr>
            <w:tcW w:w="0" w:type="dxa"/>
            <w:vAlign w:val="bottom"/>
          </w:tcPr>
          <w:p>
            <w:pPr>
              <w:spacing w:after="0"/>
              <w:rPr>
                <w:sz w:val="1"/>
                <w:szCs w:val="1"/>
                <w:color w:val="auto"/>
              </w:rPr>
            </w:pPr>
          </w:p>
        </w:tc>
      </w:tr>
      <w:tr>
        <w:trPr>
          <w:trHeight w:val="216"/>
        </w:trPr>
        <w:tc>
          <w:tcPr>
            <w:tcW w:w="1800" w:type="dxa"/>
            <w:vAlign w:val="bottom"/>
            <w:vMerge w:val="continue"/>
          </w:tcPr>
          <w:p>
            <w:pPr>
              <w:spacing w:after="0"/>
              <w:rPr>
                <w:sz w:val="18"/>
                <w:szCs w:val="18"/>
                <w:color w:val="auto"/>
              </w:rPr>
            </w:pPr>
          </w:p>
        </w:tc>
        <w:tc>
          <w:tcPr>
            <w:tcW w:w="5320" w:type="dxa"/>
            <w:vAlign w:val="bottom"/>
          </w:tcPr>
          <w:p>
            <w:pPr>
              <w:ind w:left="140"/>
              <w:spacing w:after="0"/>
              <w:rPr>
                <w:sz w:val="20"/>
                <w:szCs w:val="20"/>
                <w:color w:val="auto"/>
              </w:rPr>
            </w:pPr>
            <w:r>
              <w:rPr>
                <w:rFonts w:ascii="Arial" w:cs="Arial" w:eastAsia="Arial" w:hAnsi="Arial"/>
                <w:sz w:val="18"/>
                <w:szCs w:val="18"/>
                <w:color w:val="auto"/>
                <w:w w:val="99"/>
              </w:rPr>
              <w:t>products (“Midland”). He served on the Board of Directors and as</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20"/>
                <w:szCs w:val="20"/>
                <w:color w:val="auto"/>
              </w:rPr>
            </w:pPr>
            <w:r>
              <w:rPr>
                <w:rFonts w:ascii="Arial" w:cs="Arial" w:eastAsia="Arial" w:hAnsi="Arial"/>
                <w:sz w:val="18"/>
                <w:szCs w:val="18"/>
                <w:color w:val="auto"/>
              </w:rPr>
              <w:t>Audit</w:t>
            </w:r>
          </w:p>
        </w:tc>
        <w:tc>
          <w:tcPr>
            <w:tcW w:w="5320" w:type="dxa"/>
            <w:vAlign w:val="bottom"/>
          </w:tcPr>
          <w:p>
            <w:pPr>
              <w:ind w:left="140"/>
              <w:spacing w:after="0"/>
              <w:rPr>
                <w:sz w:val="20"/>
                <w:szCs w:val="20"/>
                <w:color w:val="auto"/>
              </w:rPr>
            </w:pPr>
            <w:r>
              <w:rPr>
                <w:rFonts w:ascii="Arial" w:cs="Arial" w:eastAsia="Arial" w:hAnsi="Arial"/>
                <w:sz w:val="18"/>
                <w:szCs w:val="18"/>
                <w:color w:val="auto"/>
                <w:w w:val="93"/>
              </w:rPr>
              <w:t>Chairman of the Audit Committee of Ohio National Mutual Funds until</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20"/>
                <w:szCs w:val="20"/>
                <w:color w:val="auto"/>
              </w:rPr>
            </w:pPr>
            <w:r>
              <w:rPr>
                <w:rFonts w:ascii="Arial" w:cs="Arial" w:eastAsia="Arial" w:hAnsi="Arial"/>
                <w:sz w:val="18"/>
                <w:szCs w:val="18"/>
                <w:color w:val="auto"/>
                <w:w w:val="97"/>
              </w:rPr>
              <w:t>Corporate Governance</w:t>
            </w:r>
          </w:p>
        </w:tc>
        <w:tc>
          <w:tcPr>
            <w:tcW w:w="5320" w:type="dxa"/>
            <w:vAlign w:val="bottom"/>
          </w:tcPr>
          <w:p>
            <w:pPr>
              <w:ind w:left="140"/>
              <w:spacing w:after="0"/>
              <w:rPr>
                <w:sz w:val="20"/>
                <w:szCs w:val="20"/>
                <w:color w:val="auto"/>
              </w:rPr>
            </w:pPr>
            <w:r>
              <w:rPr>
                <w:rFonts w:ascii="Arial" w:cs="Arial" w:eastAsia="Arial" w:hAnsi="Arial"/>
                <w:sz w:val="18"/>
                <w:szCs w:val="18"/>
                <w:color w:val="auto"/>
                <w:w w:val="98"/>
              </w:rPr>
              <w:t>December 31, 2016 and is involved with several Cincinnati-based</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5320" w:type="dxa"/>
            <w:vAlign w:val="bottom"/>
          </w:tcPr>
          <w:p>
            <w:pPr>
              <w:ind w:left="140"/>
              <w:spacing w:after="0"/>
              <w:rPr>
                <w:sz w:val="20"/>
                <w:szCs w:val="20"/>
                <w:color w:val="auto"/>
              </w:rPr>
            </w:pPr>
            <w:r>
              <w:rPr>
                <w:rFonts w:ascii="Arial" w:cs="Arial" w:eastAsia="Arial" w:hAnsi="Arial"/>
                <w:sz w:val="18"/>
                <w:szCs w:val="18"/>
                <w:color w:val="auto"/>
                <w:w w:val="90"/>
              </w:rPr>
              <w:t>charitable organizations. Mr. Von Lehman’s 18 years of service as CFO</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5320" w:type="dxa"/>
            <w:vAlign w:val="bottom"/>
          </w:tcPr>
          <w:p>
            <w:pPr>
              <w:ind w:left="140"/>
              <w:spacing w:after="0"/>
              <w:rPr>
                <w:sz w:val="20"/>
                <w:szCs w:val="20"/>
                <w:color w:val="auto"/>
              </w:rPr>
            </w:pPr>
            <w:r>
              <w:rPr>
                <w:rFonts w:ascii="Arial" w:cs="Arial" w:eastAsia="Arial" w:hAnsi="Arial"/>
                <w:sz w:val="18"/>
                <w:szCs w:val="18"/>
                <w:color w:val="auto"/>
                <w:w w:val="93"/>
              </w:rPr>
              <w:t>and director of another publicly traded provider of insurance products</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5320" w:type="dxa"/>
            <w:vAlign w:val="bottom"/>
          </w:tcPr>
          <w:p>
            <w:pPr>
              <w:ind w:left="140"/>
              <w:spacing w:after="0"/>
              <w:rPr>
                <w:sz w:val="20"/>
                <w:szCs w:val="20"/>
                <w:color w:val="auto"/>
              </w:rPr>
            </w:pPr>
            <w:r>
              <w:rPr>
                <w:rFonts w:ascii="Arial" w:cs="Arial" w:eastAsia="Arial" w:hAnsi="Arial"/>
                <w:sz w:val="18"/>
                <w:szCs w:val="18"/>
                <w:color w:val="auto"/>
                <w:w w:val="95"/>
              </w:rPr>
              <w:t>qualifies him for membership on the Company’s Board. Specifically,</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5320" w:type="dxa"/>
            <w:vAlign w:val="bottom"/>
          </w:tcPr>
          <w:p>
            <w:pPr>
              <w:ind w:left="140"/>
              <w:spacing w:after="0"/>
              <w:rPr>
                <w:sz w:val="20"/>
                <w:szCs w:val="20"/>
                <w:color w:val="auto"/>
              </w:rPr>
            </w:pPr>
            <w:r>
              <w:rPr>
                <w:rFonts w:ascii="Arial" w:cs="Arial" w:eastAsia="Arial" w:hAnsi="Arial"/>
                <w:sz w:val="18"/>
                <w:szCs w:val="18"/>
                <w:color w:val="auto"/>
                <w:w w:val="97"/>
              </w:rPr>
              <w:t>Mr. Von Lehman’s position at Midland provided him with significant</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5320" w:type="dxa"/>
            <w:vAlign w:val="bottom"/>
          </w:tcPr>
          <w:p>
            <w:pPr>
              <w:ind w:left="140"/>
              <w:spacing w:after="0"/>
              <w:rPr>
                <w:sz w:val="20"/>
                <w:szCs w:val="20"/>
                <w:color w:val="auto"/>
              </w:rPr>
            </w:pPr>
            <w:r>
              <w:rPr>
                <w:rFonts w:ascii="Arial" w:cs="Arial" w:eastAsia="Arial" w:hAnsi="Arial"/>
                <w:sz w:val="18"/>
                <w:szCs w:val="18"/>
                <w:color w:val="auto"/>
              </w:rPr>
              <w:t>knowledge of and experience in property and casualty insurance</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5320" w:type="dxa"/>
            <w:vAlign w:val="bottom"/>
          </w:tcPr>
          <w:p>
            <w:pPr>
              <w:ind w:left="140"/>
              <w:spacing w:after="0"/>
              <w:rPr>
                <w:sz w:val="20"/>
                <w:szCs w:val="20"/>
                <w:color w:val="auto"/>
              </w:rPr>
            </w:pPr>
            <w:r>
              <w:rPr>
                <w:rFonts w:ascii="Arial" w:cs="Arial" w:eastAsia="Arial" w:hAnsi="Arial"/>
                <w:sz w:val="18"/>
                <w:szCs w:val="18"/>
                <w:color w:val="auto"/>
                <w:w w:val="96"/>
              </w:rPr>
              <w:t>operations, investment portfolio oversight, capital management and</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5320" w:type="dxa"/>
            <w:vAlign w:val="bottom"/>
          </w:tcPr>
          <w:p>
            <w:pPr>
              <w:ind w:left="140"/>
              <w:spacing w:after="0"/>
              <w:rPr>
                <w:sz w:val="20"/>
                <w:szCs w:val="20"/>
                <w:color w:val="auto"/>
              </w:rPr>
            </w:pPr>
            <w:r>
              <w:rPr>
                <w:rFonts w:ascii="Arial" w:cs="Arial" w:eastAsia="Arial" w:hAnsi="Arial"/>
                <w:sz w:val="18"/>
                <w:szCs w:val="18"/>
                <w:color w:val="auto"/>
                <w:w w:val="94"/>
              </w:rPr>
              <w:t>allocation and public company financial statement preparation. In his</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5320" w:type="dxa"/>
            <w:vAlign w:val="bottom"/>
          </w:tcPr>
          <w:p>
            <w:pPr>
              <w:ind w:left="140"/>
              <w:spacing w:after="0"/>
              <w:rPr>
                <w:sz w:val="20"/>
                <w:szCs w:val="20"/>
                <w:color w:val="auto"/>
              </w:rPr>
            </w:pPr>
            <w:r>
              <w:rPr>
                <w:rFonts w:ascii="Arial" w:cs="Arial" w:eastAsia="Arial" w:hAnsi="Arial"/>
                <w:sz w:val="18"/>
                <w:szCs w:val="18"/>
                <w:color w:val="auto"/>
                <w:w w:val="92"/>
              </w:rPr>
              <w:t>capacity as a certified public accountant and Chief Financial Officer of</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5320" w:type="dxa"/>
            <w:vAlign w:val="bottom"/>
          </w:tcPr>
          <w:p>
            <w:pPr>
              <w:ind w:left="140"/>
              <w:spacing w:after="0"/>
              <w:rPr>
                <w:sz w:val="20"/>
                <w:szCs w:val="20"/>
                <w:color w:val="auto"/>
              </w:rPr>
            </w:pPr>
            <w:r>
              <w:rPr>
                <w:rFonts w:ascii="Arial" w:cs="Arial" w:eastAsia="Arial" w:hAnsi="Arial"/>
                <w:sz w:val="18"/>
                <w:szCs w:val="18"/>
                <w:color w:val="auto"/>
              </w:rPr>
              <w:t>Midland, Mr. Von Lehman developed significant experience in</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5320" w:type="dxa"/>
            <w:vAlign w:val="bottom"/>
          </w:tcPr>
          <w:p>
            <w:pPr>
              <w:ind w:left="140"/>
              <w:spacing w:after="0"/>
              <w:rPr>
                <w:sz w:val="20"/>
                <w:szCs w:val="20"/>
                <w:color w:val="auto"/>
              </w:rPr>
            </w:pPr>
            <w:r>
              <w:rPr>
                <w:rFonts w:ascii="Arial" w:cs="Arial" w:eastAsia="Arial" w:hAnsi="Arial"/>
                <w:sz w:val="18"/>
                <w:szCs w:val="18"/>
                <w:color w:val="auto"/>
                <w:w w:val="92"/>
              </w:rPr>
              <w:t>preparing, auditing, analyzing and evaluating financial statements that</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5320" w:type="dxa"/>
            <w:vAlign w:val="bottom"/>
          </w:tcPr>
          <w:p>
            <w:pPr>
              <w:ind w:left="140"/>
              <w:spacing w:after="0"/>
              <w:rPr>
                <w:sz w:val="20"/>
                <w:szCs w:val="20"/>
                <w:color w:val="auto"/>
              </w:rPr>
            </w:pPr>
            <w:r>
              <w:rPr>
                <w:rFonts w:ascii="Arial" w:cs="Arial" w:eastAsia="Arial" w:hAnsi="Arial"/>
                <w:sz w:val="18"/>
                <w:szCs w:val="18"/>
                <w:color w:val="auto"/>
                <w:w w:val="97"/>
              </w:rPr>
              <w:t>present a breadth and level of complexity of accounting issues that</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5320" w:type="dxa"/>
            <w:vAlign w:val="bottom"/>
          </w:tcPr>
          <w:p>
            <w:pPr>
              <w:ind w:left="140"/>
              <w:spacing w:after="0"/>
              <w:rPr>
                <w:sz w:val="20"/>
                <w:szCs w:val="20"/>
                <w:color w:val="auto"/>
              </w:rPr>
            </w:pPr>
            <w:r>
              <w:rPr>
                <w:rFonts w:ascii="Arial" w:cs="Arial" w:eastAsia="Arial" w:hAnsi="Arial"/>
                <w:sz w:val="18"/>
                <w:szCs w:val="18"/>
                <w:color w:val="auto"/>
                <w:w w:val="94"/>
              </w:rPr>
              <w:t>compare to those of the Company and which qualify him as an “audit</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5320" w:type="dxa"/>
            <w:vAlign w:val="bottom"/>
          </w:tcPr>
          <w:p>
            <w:pPr>
              <w:ind w:left="140"/>
              <w:spacing w:after="0"/>
              <w:rPr>
                <w:sz w:val="20"/>
                <w:szCs w:val="20"/>
                <w:color w:val="auto"/>
              </w:rPr>
            </w:pPr>
            <w:r>
              <w:rPr>
                <w:rFonts w:ascii="Arial" w:cs="Arial" w:eastAsia="Arial" w:hAnsi="Arial"/>
                <w:sz w:val="18"/>
                <w:szCs w:val="18"/>
                <w:color w:val="auto"/>
                <w:w w:val="96"/>
              </w:rPr>
              <w:t>committee financial expert” under SEC guidelines. The depth in his</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5320" w:type="dxa"/>
            <w:vAlign w:val="bottom"/>
          </w:tcPr>
          <w:p>
            <w:pPr>
              <w:ind w:left="140"/>
              <w:spacing w:after="0"/>
              <w:rPr>
                <w:sz w:val="20"/>
                <w:szCs w:val="20"/>
                <w:color w:val="auto"/>
              </w:rPr>
            </w:pPr>
            <w:r>
              <w:rPr>
                <w:rFonts w:ascii="Arial" w:cs="Arial" w:eastAsia="Arial" w:hAnsi="Arial"/>
                <w:sz w:val="18"/>
                <w:szCs w:val="18"/>
                <w:color w:val="auto"/>
              </w:rPr>
              <w:t>understanding of internal control over financial reporting and risk</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5320" w:type="dxa"/>
            <w:vAlign w:val="bottom"/>
          </w:tcPr>
          <w:p>
            <w:pPr>
              <w:ind w:left="140"/>
              <w:spacing w:after="0"/>
              <w:rPr>
                <w:sz w:val="20"/>
                <w:szCs w:val="20"/>
                <w:color w:val="auto"/>
              </w:rPr>
            </w:pPr>
            <w:r>
              <w:rPr>
                <w:rFonts w:ascii="Arial" w:cs="Arial" w:eastAsia="Arial" w:hAnsi="Arial"/>
                <w:sz w:val="18"/>
                <w:szCs w:val="18"/>
                <w:color w:val="auto"/>
              </w:rPr>
              <w:t>assessment skills that evolved in his experience with Midland</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5320" w:type="dxa"/>
            <w:vAlign w:val="bottom"/>
          </w:tcPr>
          <w:p>
            <w:pPr>
              <w:ind w:left="140"/>
              <w:spacing w:after="0"/>
              <w:rPr>
                <w:sz w:val="20"/>
                <w:szCs w:val="20"/>
                <w:color w:val="auto"/>
              </w:rPr>
            </w:pPr>
            <w:r>
              <w:rPr>
                <w:rFonts w:ascii="Arial" w:cs="Arial" w:eastAsia="Arial" w:hAnsi="Arial"/>
                <w:sz w:val="18"/>
                <w:szCs w:val="18"/>
                <w:color w:val="auto"/>
                <w:w w:val="96"/>
              </w:rPr>
              <w:t>constitute attributes that the Board believes benefit the Company in</w:t>
            </w:r>
          </w:p>
        </w:tc>
        <w:tc>
          <w:tcPr>
            <w:tcW w:w="0" w:type="dxa"/>
            <w:vAlign w:val="bottom"/>
          </w:tcPr>
          <w:p>
            <w:pPr>
              <w:spacing w:after="0"/>
              <w:rPr>
                <w:sz w:val="1"/>
                <w:szCs w:val="1"/>
                <w:color w:val="auto"/>
              </w:rPr>
            </w:pPr>
          </w:p>
        </w:tc>
      </w:tr>
      <w:tr>
        <w:trPr>
          <w:trHeight w:val="230"/>
        </w:trPr>
        <w:tc>
          <w:tcPr>
            <w:tcW w:w="1800" w:type="dxa"/>
            <w:vAlign w:val="bottom"/>
          </w:tcPr>
          <w:p>
            <w:pPr>
              <w:spacing w:after="0"/>
              <w:rPr>
                <w:sz w:val="20"/>
                <w:szCs w:val="20"/>
                <w:color w:val="auto"/>
              </w:rPr>
            </w:pPr>
          </w:p>
        </w:tc>
        <w:tc>
          <w:tcPr>
            <w:tcW w:w="5320" w:type="dxa"/>
            <w:vAlign w:val="bottom"/>
          </w:tcPr>
          <w:p>
            <w:pPr>
              <w:ind w:left="140"/>
              <w:spacing w:after="0"/>
              <w:rPr>
                <w:sz w:val="20"/>
                <w:szCs w:val="20"/>
                <w:color w:val="auto"/>
              </w:rPr>
            </w:pPr>
            <w:r>
              <w:rPr>
                <w:rFonts w:ascii="Arial" w:cs="Arial" w:eastAsia="Arial" w:hAnsi="Arial"/>
                <w:sz w:val="18"/>
                <w:szCs w:val="18"/>
                <w:color w:val="auto"/>
              </w:rPr>
              <w:t>light of its businesses.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776605</wp:posOffset>
            </wp:positionH>
            <wp:positionV relativeFrom="paragraph">
              <wp:posOffset>-6171565</wp:posOffset>
            </wp:positionV>
            <wp:extent cx="934085" cy="12344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934085" cy="123444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-3428365</wp:posOffset>
            </wp:positionV>
            <wp:extent cx="934085" cy="12344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934085" cy="1234440"/>
                    </a:xfrm>
                    <a:prstGeom prst="rect">
                      <a:avLst/>
                    </a:prstGeom>
                    <a:noFill/>
                  </pic:spPr>
                </pic:pic>
              </a:graphicData>
            </a:graphic>
          </wp:anchor>
        </w:drawing>
      </w:r>
    </w:p>
    <w:p>
      <w:pPr>
        <w:spacing w:after="0" w:line="124"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The Board of Directors recommends that shareholders vote FOR the election of these 12 nominees as directors.</w:t>
      </w:r>
    </w:p>
    <w:p>
      <w:pPr>
        <w:spacing w:after="0" w:line="342" w:lineRule="exact"/>
        <w:rPr>
          <w:sz w:val="20"/>
          <w:szCs w:val="20"/>
          <w:color w:val="auto"/>
        </w:rPr>
      </w:pPr>
    </w:p>
    <w:tbl>
      <w:tblPr>
        <w:tblLayout w:type="fixed"/>
        <w:tblInd w:w="120" w:type="dxa"/>
        <w:tblCellMar>
          <w:top w:w="0" w:type="dxa"/>
          <w:left w:w="0" w:type="dxa"/>
          <w:bottom w:w="0" w:type="dxa"/>
          <w:right w:w="0" w:type="dxa"/>
        </w:tblCellMar>
      </w:tblPr>
      <w:tr>
        <w:trPr>
          <w:trHeight w:val="206"/>
        </w:trPr>
        <w:tc>
          <w:tcPr>
            <w:tcW w:w="6580" w:type="dxa"/>
            <w:vAlign w:val="bottom"/>
          </w:tcPr>
          <w:p>
            <w:pPr>
              <w:ind w:left="1040"/>
              <w:spacing w:after="0"/>
              <w:rPr>
                <w:sz w:val="20"/>
                <w:szCs w:val="20"/>
                <w:color w:val="auto"/>
              </w:rPr>
            </w:pPr>
            <w:r>
              <w:rPr>
                <w:rFonts w:ascii="Arial" w:cs="Arial" w:eastAsia="Arial" w:hAnsi="Arial"/>
                <w:sz w:val="16"/>
                <w:szCs w:val="16"/>
                <w:color w:val="auto"/>
              </w:rPr>
              <w:t>2020 Proxy Statement | Proposals</w:t>
            </w:r>
          </w:p>
        </w:tc>
        <w:tc>
          <w:tcPr>
            <w:tcW w:w="4440" w:type="dxa"/>
            <w:vAlign w:val="bottom"/>
          </w:tcPr>
          <w:p>
            <w:pPr>
              <w:jc w:val="right"/>
              <w:ind w:right="919"/>
              <w:spacing w:after="0"/>
              <w:rPr>
                <w:sz w:val="20"/>
                <w:szCs w:val="20"/>
                <w:color w:val="auto"/>
              </w:rPr>
            </w:pPr>
            <w:r>
              <w:rPr>
                <w:rFonts w:ascii="Arial" w:cs="Arial" w:eastAsia="Arial" w:hAnsi="Arial"/>
                <w:sz w:val="16"/>
                <w:szCs w:val="16"/>
                <w:color w:val="auto"/>
              </w:rPr>
              <w:t>9</w:t>
            </w:r>
          </w:p>
        </w:tc>
      </w:tr>
      <w:tr>
        <w:trPr>
          <w:trHeight w:val="189"/>
        </w:trPr>
        <w:tc>
          <w:tcPr>
            <w:tcW w:w="6580" w:type="dxa"/>
            <w:vAlign w:val="bottom"/>
            <w:tcBorders>
              <w:bottom w:val="single" w:sz="8" w:color="auto"/>
            </w:tcBorders>
          </w:tcPr>
          <w:p>
            <w:pPr>
              <w:spacing w:after="0"/>
              <w:rPr>
                <w:sz w:val="16"/>
                <w:szCs w:val="16"/>
                <w:color w:val="auto"/>
              </w:rPr>
            </w:pPr>
          </w:p>
        </w:tc>
        <w:tc>
          <w:tcPr>
            <w:tcW w:w="4440" w:type="dxa"/>
            <w:vAlign w:val="bottom"/>
            <w:tcBorders>
              <w:bottom w:val="single" w:sz="8" w:color="auto"/>
            </w:tcBorders>
          </w:tcPr>
          <w:p>
            <w:pPr>
              <w:spacing w:after="0"/>
              <w:rPr>
                <w:sz w:val="16"/>
                <w:szCs w:val="16"/>
                <w:color w:val="auto"/>
              </w:rPr>
            </w:pPr>
          </w:p>
        </w:tc>
      </w:tr>
    </w:tbl>
    <w:p>
      <w:pPr>
        <w:sectPr>
          <w:pgSz w:w="11900" w:h="16838" w:orient="portrait"/>
          <w:cols w:equalWidth="0" w:num="1">
            <w:col w:w="11140"/>
          </w:cols>
          <w:pgMar w:left="320" w:top="265" w:right="439" w:bottom="1440" w:gutter="0" w:footer="0" w:header="0"/>
        </w:sectPr>
      </w:pPr>
    </w:p>
    <w:bookmarkStart w:id="16" w:name="page17"/>
    <w:bookmarkEnd w:id="16"/>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6515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right"/>
        <w:ind w:right="2280"/>
        <w:spacing w:after="0"/>
        <w:rPr>
          <w:sz w:val="20"/>
          <w:szCs w:val="20"/>
          <w:color w:val="auto"/>
        </w:rPr>
      </w:pPr>
      <w:r>
        <w:rPr>
          <w:rFonts w:ascii="Arial" w:cs="Arial" w:eastAsia="Arial" w:hAnsi="Arial"/>
          <w:sz w:val="20"/>
          <w:szCs w:val="20"/>
          <w:b w:val="1"/>
          <w:bCs w:val="1"/>
          <w:color w:val="3F3F3F"/>
        </w:rPr>
        <w:t>Proposal No. 2 – Ratification of Independent Registered Public Accounting Firm</w:t>
      </w:r>
    </w:p>
    <w:p>
      <w:pPr>
        <w:sectPr>
          <w:pgSz w:w="11900" w:h="16838" w:orient="portrait"/>
          <w:cols w:equalWidth="0" w:num="1">
            <w:col w:w="10160"/>
          </w:cols>
          <w:pgMar w:left="320" w:top="265" w:right="1419" w:bottom="1150" w:gutter="0" w:footer="0" w:header="0"/>
        </w:sectPr>
      </w:pPr>
    </w:p>
    <w:p>
      <w:pPr>
        <w:spacing w:after="0" w:line="130" w:lineRule="exact"/>
        <w:rPr>
          <w:sz w:val="20"/>
          <w:szCs w:val="20"/>
          <w:color w:val="auto"/>
        </w:rPr>
      </w:pPr>
    </w:p>
    <w:p>
      <w:pPr>
        <w:ind w:left="1080" w:right="40"/>
        <w:spacing w:after="0" w:line="271" w:lineRule="auto"/>
        <w:rPr>
          <w:sz w:val="20"/>
          <w:szCs w:val="20"/>
          <w:color w:val="auto"/>
        </w:rPr>
      </w:pPr>
      <w:r>
        <w:rPr>
          <w:rFonts w:ascii="Arial" w:cs="Arial" w:eastAsia="Arial" w:hAnsi="Arial"/>
          <w:sz w:val="17"/>
          <w:szCs w:val="17"/>
          <w:color w:val="auto"/>
        </w:rPr>
        <w:t>The Company’s Audit Committee Charter requires that the Audit Committee appoint annually an independent registered public accounting firm to serve as auditors.</w:t>
      </w:r>
    </w:p>
    <w:p>
      <w:pPr>
        <w:ind w:left="1080" w:right="40"/>
        <w:spacing w:after="0" w:line="277" w:lineRule="auto"/>
        <w:rPr>
          <w:sz w:val="20"/>
          <w:szCs w:val="20"/>
          <w:color w:val="auto"/>
        </w:rPr>
      </w:pPr>
      <w:r>
        <w:rPr>
          <w:rFonts w:ascii="Arial" w:cs="Arial" w:eastAsia="Arial" w:hAnsi="Arial"/>
          <w:sz w:val="17"/>
          <w:szCs w:val="17"/>
          <w:color w:val="auto"/>
        </w:rPr>
        <w:t>In February 2020, the Audit Committee appointed Ernst &amp; Young LLP to serve as the Company’s independent registered public accounting firm for 2020.</w:t>
      </w:r>
    </w:p>
    <w:p>
      <w:pPr>
        <w:spacing w:after="0" w:line="65" w:lineRule="exact"/>
        <w:rPr>
          <w:sz w:val="20"/>
          <w:szCs w:val="20"/>
          <w:color w:val="auto"/>
        </w:rPr>
      </w:pPr>
    </w:p>
    <w:p>
      <w:pPr>
        <w:ind w:left="1080"/>
        <w:spacing w:after="0" w:line="285" w:lineRule="auto"/>
        <w:rPr>
          <w:sz w:val="20"/>
          <w:szCs w:val="20"/>
          <w:color w:val="auto"/>
        </w:rPr>
      </w:pPr>
      <w:r>
        <w:rPr>
          <w:rFonts w:ascii="Arial" w:cs="Arial" w:eastAsia="Arial" w:hAnsi="Arial"/>
          <w:sz w:val="16"/>
          <w:szCs w:val="16"/>
          <w:color w:val="auto"/>
        </w:rPr>
        <w:t>Although the Audit Committee has the sole authority to appoint auditors, shareholders are being asked to ratify this appointment. If the shareholders do not ratify the appointment, the Audit Committee will take that fact into consideration but may determine to continue to retain Ernst</w:t>
      </w:r>
    </w:p>
    <w:p>
      <w:pPr>
        <w:spacing w:after="0" w:line="2" w:lineRule="exact"/>
        <w:rPr>
          <w:sz w:val="20"/>
          <w:szCs w:val="20"/>
          <w:color w:val="auto"/>
        </w:rPr>
      </w:pPr>
    </w:p>
    <w:p>
      <w:pPr>
        <w:ind w:left="1080" w:right="100" w:firstLine="8"/>
        <w:spacing w:after="0" w:line="323" w:lineRule="auto"/>
        <w:tabs>
          <w:tab w:leader="none" w:pos="1265" w:val="left"/>
        </w:tabs>
        <w:numPr>
          <w:ilvl w:val="0"/>
          <w:numId w:val="7"/>
        </w:numPr>
        <w:rPr>
          <w:rFonts w:ascii="Arial" w:cs="Arial" w:eastAsia="Arial" w:hAnsi="Arial"/>
          <w:sz w:val="16"/>
          <w:szCs w:val="16"/>
          <w:color w:val="auto"/>
        </w:rPr>
      </w:pPr>
      <w:r>
        <w:rPr>
          <w:rFonts w:ascii="Arial" w:cs="Arial" w:eastAsia="Arial" w:hAnsi="Arial"/>
          <w:sz w:val="16"/>
          <w:szCs w:val="16"/>
          <w:color w:val="auto"/>
        </w:rPr>
        <w:t>Young. However, the Audit Committee in its discretion may engage a different independent registered public</w:t>
      </w:r>
    </w:p>
    <w:p>
      <w:pPr>
        <w:spacing w:after="0" w:line="40"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Audit Fees and Non-Audit Fees</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accounting firm at any time during the year if the Audit Committee determines that such a change would be in the best interests of the Company whether or not the shareholders ratify the appointment.</w:t>
      </w:r>
    </w:p>
    <w:p>
      <w:pPr>
        <w:spacing w:after="0" w:line="63"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Representatives of Ernst &amp; Young are expected to be at the meeting and will be given the opportunity to make a statement if they so desire. They will also be available to respond to appropriate questions from shareholders.</w:t>
      </w:r>
    </w:p>
    <w:p>
      <w:pPr>
        <w:spacing w:after="0" w:line="59" w:lineRule="exact"/>
        <w:rPr>
          <w:sz w:val="20"/>
          <w:szCs w:val="20"/>
          <w:color w:val="auto"/>
        </w:rPr>
      </w:pPr>
    </w:p>
    <w:p>
      <w:pPr>
        <w:ind w:right="140"/>
        <w:spacing w:after="0" w:line="303" w:lineRule="auto"/>
        <w:rPr>
          <w:sz w:val="20"/>
          <w:szCs w:val="20"/>
          <w:color w:val="auto"/>
        </w:rPr>
      </w:pPr>
      <w:r>
        <w:rPr>
          <w:rFonts w:ascii="Arial" w:cs="Arial" w:eastAsia="Arial" w:hAnsi="Arial"/>
          <w:sz w:val="16"/>
          <w:szCs w:val="16"/>
          <w:b w:val="1"/>
          <w:bCs w:val="1"/>
          <w:color w:val="auto"/>
        </w:rPr>
        <w:t>The Board of Directors recommends that shareholders vote FOR the ratification of the Audit Committee’s appointment of Ernst &amp; Young as our independent registered public accounting firm for 2020</w:t>
      </w:r>
    </w:p>
    <w:p>
      <w:pPr>
        <w:spacing w:after="0" w:line="492" w:lineRule="exact"/>
        <w:rPr>
          <w:sz w:val="20"/>
          <w:szCs w:val="20"/>
          <w:color w:val="auto"/>
        </w:rPr>
      </w:pPr>
    </w:p>
    <w:p>
      <w:pPr>
        <w:sectPr>
          <w:pgSz w:w="11900" w:h="16838" w:orient="portrait"/>
          <w:cols w:equalWidth="0" w:num="2">
            <w:col w:w="5360" w:space="480"/>
            <w:col w:w="4320"/>
          </w:cols>
          <w:pgMar w:left="320" w:top="265" w:right="1419" w:bottom="1150" w:gutter="0" w:footer="0" w:header="0"/>
          <w:type w:val="continuous"/>
        </w:sectPr>
      </w:pPr>
    </w:p>
    <w:p>
      <w:pPr>
        <w:ind w:left="1080" w:right="260"/>
        <w:spacing w:after="0" w:line="277" w:lineRule="auto"/>
        <w:rPr>
          <w:sz w:val="20"/>
          <w:szCs w:val="20"/>
          <w:color w:val="auto"/>
        </w:rPr>
      </w:pPr>
      <w:r>
        <w:rPr>
          <w:rFonts w:ascii="Arial" w:cs="Arial" w:eastAsia="Arial" w:hAnsi="Arial"/>
          <w:sz w:val="18"/>
          <w:szCs w:val="18"/>
          <w:color w:val="auto"/>
        </w:rPr>
        <w:t>The following table presents fees for professional services performed by Ernst &amp; Young for the years ended December 31, 2019 and 2018</w:t>
      </w:r>
    </w:p>
    <w:p>
      <w:pPr>
        <w:spacing w:after="0" w:line="117" w:lineRule="exact"/>
        <w:rPr>
          <w:sz w:val="20"/>
          <w:szCs w:val="20"/>
          <w:color w:val="auto"/>
        </w:rPr>
      </w:pPr>
    </w:p>
    <w:tbl>
      <w:tblPr>
        <w:tblLayout w:type="fixed"/>
        <w:tblInd w:w="3300" w:type="dxa"/>
        <w:tblCellMar>
          <w:top w:w="0" w:type="dxa"/>
          <w:left w:w="0" w:type="dxa"/>
          <w:bottom w:w="0" w:type="dxa"/>
          <w:right w:w="0" w:type="dxa"/>
        </w:tblCellMar>
      </w:tblPr>
      <w:tr>
        <w:trPr>
          <w:trHeight w:val="344"/>
        </w:trPr>
        <w:tc>
          <w:tcPr>
            <w:tcW w:w="1720" w:type="dxa"/>
            <w:vAlign w:val="bottom"/>
          </w:tcPr>
          <w:p>
            <w:pPr>
              <w:spacing w:after="0"/>
              <w:rPr>
                <w:sz w:val="24"/>
                <w:szCs w:val="24"/>
                <w:color w:val="auto"/>
              </w:rPr>
            </w:pPr>
          </w:p>
        </w:tc>
        <w:tc>
          <w:tcPr>
            <w:tcW w:w="1220" w:type="dxa"/>
            <w:vAlign w:val="bottom"/>
            <w:tcBorders>
              <w:bottom w:val="single" w:sz="8" w:color="BFBFBF"/>
            </w:tcBorders>
            <w:gridSpan w:val="2"/>
            <w:shd w:val="clear" w:color="auto" w:fill="BFBFBF"/>
          </w:tcPr>
          <w:p>
            <w:pPr>
              <w:jc w:val="right"/>
              <w:ind w:right="130"/>
              <w:spacing w:after="0"/>
              <w:rPr>
                <w:sz w:val="20"/>
                <w:szCs w:val="20"/>
                <w:color w:val="auto"/>
              </w:rPr>
            </w:pPr>
            <w:r>
              <w:rPr>
                <w:rFonts w:ascii="Arial" w:cs="Arial" w:eastAsia="Arial" w:hAnsi="Arial"/>
                <w:sz w:val="18"/>
                <w:szCs w:val="18"/>
                <w:b w:val="1"/>
                <w:bCs w:val="1"/>
                <w:color w:val="auto"/>
              </w:rPr>
              <w:t>2019</w:t>
            </w:r>
          </w:p>
        </w:tc>
        <w:tc>
          <w:tcPr>
            <w:tcW w:w="440" w:type="dxa"/>
            <w:vAlign w:val="bottom"/>
            <w:tcBorders>
              <w:bottom w:val="single" w:sz="8" w:color="BFBFBF"/>
            </w:tcBorders>
            <w:shd w:val="clear" w:color="auto" w:fill="BFBFBF"/>
          </w:tcPr>
          <w:p>
            <w:pPr>
              <w:spacing w:after="0"/>
              <w:rPr>
                <w:sz w:val="24"/>
                <w:szCs w:val="24"/>
                <w:color w:val="auto"/>
              </w:rPr>
            </w:pPr>
          </w:p>
        </w:tc>
        <w:tc>
          <w:tcPr>
            <w:tcW w:w="1240" w:type="dxa"/>
            <w:vAlign w:val="bottom"/>
            <w:tcBorders>
              <w:bottom w:val="single" w:sz="8" w:color="BFBFBF"/>
            </w:tcBorders>
            <w:gridSpan w:val="2"/>
            <w:shd w:val="clear" w:color="auto" w:fill="BFBFBF"/>
          </w:tcPr>
          <w:p>
            <w:pPr>
              <w:jc w:val="right"/>
              <w:ind w:right="110"/>
              <w:spacing w:after="0"/>
              <w:rPr>
                <w:sz w:val="20"/>
                <w:szCs w:val="20"/>
                <w:color w:val="auto"/>
              </w:rPr>
            </w:pPr>
            <w:r>
              <w:rPr>
                <w:rFonts w:ascii="Arial" w:cs="Arial" w:eastAsia="Arial" w:hAnsi="Arial"/>
                <w:sz w:val="18"/>
                <w:szCs w:val="18"/>
                <w:b w:val="1"/>
                <w:bCs w:val="1"/>
                <w:color w:val="auto"/>
              </w:rPr>
              <w:t>2018</w:t>
            </w:r>
          </w:p>
        </w:tc>
        <w:tc>
          <w:tcPr>
            <w:tcW w:w="80" w:type="dxa"/>
            <w:vAlign w:val="bottom"/>
            <w:tcBorders>
              <w:bottom w:val="single" w:sz="8" w:color="BFBFBF"/>
            </w:tcBorders>
            <w:shd w:val="clear" w:color="auto" w:fill="BFBFBF"/>
          </w:tcPr>
          <w:p>
            <w:pPr>
              <w:spacing w:after="0"/>
              <w:rPr>
                <w:sz w:val="24"/>
                <w:szCs w:val="24"/>
                <w:color w:val="auto"/>
              </w:rPr>
            </w:pPr>
          </w:p>
        </w:tc>
      </w:tr>
      <w:tr>
        <w:trPr>
          <w:trHeight w:val="323"/>
        </w:trPr>
        <w:tc>
          <w:tcPr>
            <w:tcW w:w="1720" w:type="dxa"/>
            <w:vAlign w:val="bottom"/>
          </w:tcPr>
          <w:p>
            <w:pPr>
              <w:spacing w:after="0" w:line="323" w:lineRule="exact"/>
              <w:rPr>
                <w:sz w:val="20"/>
                <w:szCs w:val="20"/>
                <w:color w:val="auto"/>
              </w:rPr>
            </w:pPr>
            <w:r>
              <w:rPr>
                <w:rFonts w:ascii="Arial" w:cs="Arial" w:eastAsia="Arial" w:hAnsi="Arial"/>
                <w:sz w:val="18"/>
                <w:szCs w:val="18"/>
                <w:color w:val="auto"/>
              </w:rPr>
              <w:t xml:space="preserve">Audit fees </w:t>
            </w:r>
            <w:r>
              <w:rPr>
                <w:rFonts w:ascii="Arial" w:cs="Arial" w:eastAsia="Arial" w:hAnsi="Arial"/>
                <w:sz w:val="29"/>
                <w:szCs w:val="29"/>
                <w:color w:val="auto"/>
                <w:vertAlign w:val="superscript"/>
              </w:rPr>
              <w:t>(1)</w:t>
            </w:r>
          </w:p>
        </w:tc>
        <w:tc>
          <w:tcPr>
            <w:tcW w:w="1660" w:type="dxa"/>
            <w:vAlign w:val="bottom"/>
            <w:gridSpan w:val="3"/>
          </w:tcPr>
          <w:p>
            <w:pPr>
              <w:jc w:val="right"/>
              <w:ind w:right="440"/>
              <w:spacing w:after="0"/>
              <w:rPr>
                <w:sz w:val="20"/>
                <w:szCs w:val="20"/>
                <w:color w:val="auto"/>
              </w:rPr>
            </w:pPr>
            <w:r>
              <w:rPr>
                <w:rFonts w:ascii="Arial" w:cs="Arial" w:eastAsia="Arial" w:hAnsi="Arial"/>
                <w:sz w:val="18"/>
                <w:szCs w:val="18"/>
                <w:color w:val="auto"/>
              </w:rPr>
              <w:t>$8,910,000</w:t>
            </w: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$8,541,000</w:t>
            </w:r>
          </w:p>
        </w:tc>
      </w:tr>
      <w:tr>
        <w:trPr>
          <w:trHeight w:val="230"/>
        </w:trPr>
        <w:tc>
          <w:tcPr>
            <w:tcW w:w="1720" w:type="dxa"/>
            <w:vAlign w:val="bottom"/>
          </w:tcPr>
          <w:p>
            <w:pPr>
              <w:spacing w:after="0"/>
              <w:rPr>
                <w:sz w:val="20"/>
                <w:szCs w:val="20"/>
                <w:color w:val="auto"/>
              </w:rPr>
            </w:pPr>
            <w:r>
              <w:rPr>
                <w:rFonts w:ascii="Arial" w:cs="Arial" w:eastAsia="Arial" w:hAnsi="Arial"/>
                <w:sz w:val="18"/>
                <w:szCs w:val="18"/>
                <w:color w:val="auto"/>
              </w:rPr>
              <w:t>Audit related fees</w:t>
            </w:r>
          </w:p>
        </w:tc>
        <w:tc>
          <w:tcPr>
            <w:tcW w:w="1660" w:type="dxa"/>
            <w:vAlign w:val="bottom"/>
            <w:gridSpan w:val="3"/>
          </w:tcPr>
          <w:p>
            <w:pPr>
              <w:jc w:val="right"/>
              <w:ind w:right="440"/>
              <w:spacing w:after="0"/>
              <w:rPr>
                <w:sz w:val="20"/>
                <w:szCs w:val="20"/>
                <w:color w:val="auto"/>
              </w:rPr>
            </w:pPr>
            <w:r>
              <w:rPr>
                <w:rFonts w:ascii="Arial" w:cs="Arial" w:eastAsia="Arial" w:hAnsi="Arial"/>
                <w:sz w:val="18"/>
                <w:szCs w:val="18"/>
                <w:color w:val="auto"/>
              </w:rPr>
              <w:t>75,000</w:t>
            </w:r>
          </w:p>
        </w:tc>
        <w:tc>
          <w:tcPr>
            <w:tcW w:w="44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354"/>
        </w:trPr>
        <w:tc>
          <w:tcPr>
            <w:tcW w:w="1720" w:type="dxa"/>
            <w:vAlign w:val="bottom"/>
          </w:tcPr>
          <w:p>
            <w:pPr>
              <w:spacing w:after="0"/>
              <w:rPr>
                <w:sz w:val="20"/>
                <w:szCs w:val="20"/>
                <w:color w:val="auto"/>
              </w:rPr>
            </w:pPr>
            <w:r>
              <w:rPr>
                <w:rFonts w:ascii="Arial" w:cs="Arial" w:eastAsia="Arial" w:hAnsi="Arial"/>
                <w:sz w:val="18"/>
                <w:szCs w:val="18"/>
                <w:color w:val="auto"/>
              </w:rPr>
              <w:t xml:space="preserve">Tax fees </w:t>
            </w:r>
            <w:r>
              <w:rPr>
                <w:rFonts w:ascii="Arial" w:cs="Arial" w:eastAsia="Arial" w:hAnsi="Arial"/>
                <w:sz w:val="29"/>
                <w:szCs w:val="29"/>
                <w:color w:val="auto"/>
                <w:vertAlign w:val="superscript"/>
              </w:rPr>
              <w:t>(2)</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567,000</w:t>
            </w:r>
          </w:p>
        </w:tc>
        <w:tc>
          <w:tcPr>
            <w:tcW w:w="440" w:type="dxa"/>
            <w:vAlign w:val="bottom"/>
          </w:tcPr>
          <w:p>
            <w:pPr>
              <w:spacing w:after="0"/>
              <w:rPr>
                <w:sz w:val="24"/>
                <w:szCs w:val="24"/>
                <w:color w:val="auto"/>
              </w:rPr>
            </w:pPr>
          </w:p>
        </w:tc>
        <w:tc>
          <w:tcPr>
            <w:tcW w:w="1320" w:type="dxa"/>
            <w:vAlign w:val="bottom"/>
            <w:gridSpan w:val="3"/>
          </w:tcPr>
          <w:p>
            <w:pPr>
              <w:jc w:val="right"/>
              <w:ind w:right="80"/>
              <w:spacing w:after="0"/>
              <w:rPr>
                <w:sz w:val="20"/>
                <w:szCs w:val="20"/>
                <w:color w:val="auto"/>
              </w:rPr>
            </w:pPr>
            <w:r>
              <w:rPr>
                <w:rFonts w:ascii="Arial" w:cs="Arial" w:eastAsia="Arial" w:hAnsi="Arial"/>
                <w:sz w:val="18"/>
                <w:szCs w:val="18"/>
                <w:color w:val="auto"/>
              </w:rPr>
              <w:t>628,000</w:t>
            </w:r>
          </w:p>
        </w:tc>
      </w:tr>
      <w:tr>
        <w:trPr>
          <w:trHeight w:val="227"/>
        </w:trPr>
        <w:tc>
          <w:tcPr>
            <w:tcW w:w="1720" w:type="dxa"/>
            <w:vAlign w:val="bottom"/>
          </w:tcPr>
          <w:p>
            <w:pPr>
              <w:spacing w:after="0" w:line="226" w:lineRule="exact"/>
              <w:rPr>
                <w:sz w:val="20"/>
                <w:szCs w:val="20"/>
                <w:color w:val="auto"/>
              </w:rPr>
            </w:pPr>
            <w:r>
              <w:rPr>
                <w:rFonts w:ascii="Arial" w:cs="Arial" w:eastAsia="Arial" w:hAnsi="Arial"/>
                <w:sz w:val="16"/>
                <w:szCs w:val="16"/>
                <w:color w:val="auto"/>
              </w:rPr>
              <w:t xml:space="preserve">All other fees </w:t>
            </w:r>
            <w:r>
              <w:rPr>
                <w:rFonts w:ascii="Arial" w:cs="Arial" w:eastAsia="Arial" w:hAnsi="Arial"/>
                <w:sz w:val="26"/>
                <w:szCs w:val="26"/>
                <w:color w:val="auto"/>
                <w:vertAlign w:val="superscript"/>
              </w:rPr>
              <w:t>(3)</w:t>
            </w: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409,000</w:t>
            </w: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425,000</w:t>
            </w:r>
          </w:p>
        </w:tc>
      </w:tr>
      <w:tr>
        <w:trPr>
          <w:trHeight w:val="20"/>
        </w:trPr>
        <w:tc>
          <w:tcPr>
            <w:tcW w:w="1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18"/>
        </w:trPr>
        <w:tc>
          <w:tcPr>
            <w:tcW w:w="1720" w:type="dxa"/>
            <w:vAlign w:val="bottom"/>
          </w:tcPr>
          <w:p>
            <w:pPr>
              <w:ind w:left="180"/>
              <w:spacing w:after="0"/>
              <w:rPr>
                <w:sz w:val="20"/>
                <w:szCs w:val="20"/>
                <w:color w:val="auto"/>
              </w:rPr>
            </w:pPr>
            <w:r>
              <w:rPr>
                <w:rFonts w:ascii="Arial" w:cs="Arial" w:eastAsia="Arial" w:hAnsi="Arial"/>
                <w:sz w:val="18"/>
                <w:szCs w:val="18"/>
                <w:color w:val="auto"/>
              </w:rPr>
              <w:t>Total</w:t>
            </w:r>
          </w:p>
        </w:tc>
        <w:tc>
          <w:tcPr>
            <w:tcW w:w="1660" w:type="dxa"/>
            <w:vAlign w:val="bottom"/>
            <w:gridSpan w:val="3"/>
          </w:tcPr>
          <w:p>
            <w:pPr>
              <w:jc w:val="right"/>
              <w:ind w:right="440"/>
              <w:spacing w:after="0"/>
              <w:rPr>
                <w:sz w:val="20"/>
                <w:szCs w:val="20"/>
                <w:color w:val="auto"/>
              </w:rPr>
            </w:pPr>
            <w:r>
              <w:rPr>
                <w:rFonts w:ascii="Arial" w:cs="Arial" w:eastAsia="Arial" w:hAnsi="Arial"/>
                <w:sz w:val="18"/>
                <w:szCs w:val="18"/>
                <w:color w:val="auto"/>
              </w:rPr>
              <w:t>$9,961,000</w:t>
            </w: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$9,594,000</w:t>
            </w:r>
          </w:p>
        </w:tc>
      </w:tr>
    </w:tbl>
    <w:p>
      <w:pPr>
        <w:spacing w:after="0" w:line="94" w:lineRule="exact"/>
        <w:rPr>
          <w:sz w:val="20"/>
          <w:szCs w:val="20"/>
          <w:color w:val="auto"/>
        </w:rPr>
      </w:pPr>
    </w:p>
    <w:p>
      <w:pPr>
        <w:ind w:left="1800" w:right="240" w:hanging="352"/>
        <w:spacing w:after="0" w:line="263" w:lineRule="auto"/>
        <w:tabs>
          <w:tab w:leader="none" w:pos="1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These aggregate fees were for audits of the financial statements (including services incurred to render an opinion under Section 404 of the Sarbanes-Oxley Act of 2002), subsidiary insurance company audits, reviews of SEC filings, and quarterly reviews.</w:t>
      </w:r>
    </w:p>
    <w:p>
      <w:pPr>
        <w:spacing w:after="0" w:line="75" w:lineRule="exact"/>
        <w:rPr>
          <w:rFonts w:ascii="Arial" w:cs="Arial" w:eastAsia="Arial" w:hAnsi="Arial"/>
          <w:sz w:val="18"/>
          <w:szCs w:val="18"/>
          <w:color w:val="auto"/>
        </w:rPr>
      </w:pPr>
    </w:p>
    <w:p>
      <w:pPr>
        <w:ind w:left="1800" w:right="300" w:hanging="352"/>
        <w:spacing w:after="0" w:line="277" w:lineRule="auto"/>
        <w:tabs>
          <w:tab w:leader="none" w:pos="1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These fees relate primarily to tax compliance engagements for preparation and review of foreign tax returns and certain collateralized loan obligations, in addition to other tax advisory services.</w:t>
      </w:r>
    </w:p>
    <w:p>
      <w:pPr>
        <w:spacing w:after="0" w:line="62" w:lineRule="exact"/>
        <w:rPr>
          <w:rFonts w:ascii="Arial" w:cs="Arial" w:eastAsia="Arial" w:hAnsi="Arial"/>
          <w:sz w:val="18"/>
          <w:szCs w:val="18"/>
          <w:color w:val="auto"/>
        </w:rPr>
      </w:pPr>
    </w:p>
    <w:p>
      <w:pPr>
        <w:ind w:left="1800" w:right="620" w:hanging="352"/>
        <w:spacing w:after="0" w:line="277" w:lineRule="auto"/>
        <w:tabs>
          <w:tab w:leader="none" w:pos="1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These fees relate primarily to agreed-upon procedure engagements for certain collateralized loan obligation structures managed by AFG.</w:t>
      </w:r>
    </w:p>
    <w:p>
      <w:pPr>
        <w:spacing w:after="0" w:line="202" w:lineRule="exact"/>
        <w:rPr>
          <w:sz w:val="20"/>
          <w:szCs w:val="20"/>
          <w:color w:val="auto"/>
        </w:rPr>
      </w:pPr>
    </w:p>
    <w:p>
      <w:pPr>
        <w:ind w:left="1080"/>
        <w:spacing w:after="0"/>
        <w:rPr>
          <w:sz w:val="20"/>
          <w:szCs w:val="20"/>
          <w:color w:val="auto"/>
        </w:rPr>
      </w:pPr>
      <w:r>
        <w:rPr>
          <w:rFonts w:ascii="Arial" w:cs="Arial" w:eastAsia="Arial" w:hAnsi="Arial"/>
          <w:sz w:val="20"/>
          <w:szCs w:val="20"/>
          <w:b w:val="1"/>
          <w:bCs w:val="1"/>
          <w:color w:val="3F3F3F"/>
        </w:rPr>
        <w:t>Proposal No. 3 – Advisory Vote on Compensation of our Named Executive Officers</w:t>
      </w:r>
    </w:p>
    <w:p>
      <w:pPr>
        <w:sectPr>
          <w:pgSz w:w="11900" w:h="16838" w:orient="portrait"/>
          <w:cols w:equalWidth="0" w:num="1">
            <w:col w:w="10160"/>
          </w:cols>
          <w:pgMar w:left="320" w:top="265" w:right="1419" w:bottom="1150" w:gutter="0" w:footer="0" w:header="0"/>
          <w:type w:val="continuous"/>
        </w:sectPr>
      </w:pPr>
    </w:p>
    <w:p>
      <w:pPr>
        <w:spacing w:after="0" w:line="130" w:lineRule="exact"/>
        <w:rPr>
          <w:sz w:val="20"/>
          <w:szCs w:val="20"/>
          <w:color w:val="auto"/>
        </w:rPr>
      </w:pPr>
    </w:p>
    <w:p>
      <w:pPr>
        <w:ind w:left="1080" w:right="40"/>
        <w:spacing w:after="0" w:line="269" w:lineRule="auto"/>
        <w:rPr>
          <w:sz w:val="20"/>
          <w:szCs w:val="20"/>
          <w:color w:val="auto"/>
        </w:rPr>
      </w:pPr>
      <w:r>
        <w:rPr>
          <w:rFonts w:ascii="Arial" w:cs="Arial" w:eastAsia="Arial" w:hAnsi="Arial"/>
          <w:sz w:val="17"/>
          <w:szCs w:val="17"/>
          <w:color w:val="auto"/>
        </w:rPr>
        <w:t>The Dodd-Frank Wall Street Reform and Consumer Protection Act requires that we provide our shareholders with the opportunity to vote to approve, on a non-binding, advisory basis, the compensation of our named executive officers as disclosed in this proxy statement in accordance with the compensation disclosure rules of the SEC (commonly referred to as “Say-on-Pay”). Our practice, which our shareholders re-approved on an advisory basis by a vote of over 89% of votes cast at the 2017 annual meeting, is to conduct this non-binding vote on an annual basis.</w:t>
      </w:r>
    </w:p>
    <w:p>
      <w:pPr>
        <w:spacing w:after="0" w:line="74" w:lineRule="exact"/>
        <w:rPr>
          <w:sz w:val="20"/>
          <w:szCs w:val="20"/>
          <w:color w:val="auto"/>
        </w:rPr>
      </w:pPr>
    </w:p>
    <w:p>
      <w:pPr>
        <w:ind w:left="1080"/>
        <w:spacing w:after="0" w:line="290" w:lineRule="auto"/>
        <w:rPr>
          <w:rFonts w:ascii="Arial" w:cs="Arial" w:eastAsia="Arial" w:hAnsi="Arial"/>
          <w:sz w:val="16"/>
          <w:szCs w:val="16"/>
          <w:color w:val="auto"/>
        </w:rPr>
      </w:pPr>
      <w:r>
        <w:rPr>
          <w:rFonts w:ascii="Arial" w:cs="Arial" w:eastAsia="Arial" w:hAnsi="Arial"/>
          <w:sz w:val="16"/>
          <w:szCs w:val="16"/>
          <w:color w:val="auto"/>
        </w:rPr>
        <w:t xml:space="preserve">As described in detail below under the heading “Compensation Discussion and Analysis” beginning on page </w:t>
      </w:r>
      <w:hyperlink w:anchor="page30">
        <w:r>
          <w:rPr>
            <w:rFonts w:ascii="Arial" w:cs="Arial" w:eastAsia="Arial" w:hAnsi="Arial"/>
            <w:sz w:val="16"/>
            <w:szCs w:val="16"/>
            <w:u w:val="single" w:color="auto"/>
            <w:color w:val="0000EE"/>
          </w:rPr>
          <w:t>23</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this proxy statement, we seek to closely align the interests of our named executive officers with the interests of our shareholders. We structure our programs to discourage excessive risk-taking through a balanced use of compensation vehicles and metrics with an overall goal of delivering sustained long-term shareholder value while</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aligning our executives’ interests with those of our shareholders. Further, our programs require that a substantial portion of each named executive officer’s compensation be contingent on delivering performance results that benefit our shareholders. Our compensation programs are designed to reward our named executive officers for the achievement of short-term and long-term strategic and operational goals and the achievement of increased total shareholder return. Shareholders should note that, because the advisory vote on executive compensation occurs well after the beginning of the compensation year and because the different elements of our executive compensation programs are designed to operate in an integrated manner and to complement one another, in many cases it may not be appropriate or feasible to change our executive compensation programs in consideration of any one year’s advisory vote on executive compensation by the time of the following year’s annual meeting of shareholders.</w:t>
      </w:r>
    </w:p>
    <w:p>
      <w:pPr>
        <w:spacing w:after="0" w:line="330" w:lineRule="exact"/>
        <w:rPr>
          <w:sz w:val="20"/>
          <w:szCs w:val="20"/>
          <w:color w:val="auto"/>
        </w:rPr>
      </w:pPr>
    </w:p>
    <w:p>
      <w:pPr>
        <w:sectPr>
          <w:pgSz w:w="11900" w:h="16838" w:orient="portrait"/>
          <w:cols w:equalWidth="0" w:num="2">
            <w:col w:w="5320" w:space="520"/>
            <w:col w:w="4320"/>
          </w:cols>
          <w:pgMar w:left="320" w:top="265" w:right="1419" w:bottom="1150" w:gutter="0" w:footer="0" w:header="0"/>
          <w:type w:val="continuous"/>
        </w:sectPr>
      </w:pPr>
    </w:p>
    <w:p>
      <w:pPr>
        <w:spacing w:after="0" w:line="78" w:lineRule="exact"/>
        <w:rPr>
          <w:sz w:val="20"/>
          <w:szCs w:val="20"/>
          <w:color w:val="auto"/>
        </w:rPr>
      </w:pPr>
    </w:p>
    <w:p>
      <w:pPr>
        <w:ind w:left="1160"/>
        <w:spacing w:after="0"/>
        <w:tabs>
          <w:tab w:leader="none" w:pos="9960" w:val="left"/>
        </w:tabs>
        <w:rPr>
          <w:sz w:val="20"/>
          <w:szCs w:val="20"/>
          <w:color w:val="auto"/>
        </w:rPr>
      </w:pPr>
      <w:r>
        <w:rPr>
          <w:rFonts w:ascii="Arial" w:cs="Arial" w:eastAsia="Arial" w:hAnsi="Arial"/>
          <w:sz w:val="16"/>
          <w:szCs w:val="16"/>
          <w:color w:val="auto"/>
        </w:rPr>
        <w:t>2020 Proxy Statement | Proposals</w:t>
      </w:r>
      <w:r>
        <w:rPr>
          <w:sz w:val="20"/>
          <w:szCs w:val="20"/>
          <w:color w:val="auto"/>
        </w:rPr>
        <w:tab/>
      </w: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129540</wp:posOffset>
            </wp:positionV>
            <wp:extent cx="69951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160"/>
          </w:cols>
          <w:pgMar w:left="320" w:top="265" w:right="1419" w:bottom="1150" w:gutter="0" w:footer="0" w:header="0"/>
          <w:type w:val="continuous"/>
        </w:sectPr>
      </w:pPr>
    </w:p>
    <w:bookmarkStart w:id="17" w:name="page18"/>
    <w:bookmarkEnd w:id="17"/>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6515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651510"/>
                    </a:xfrm>
                    <a:prstGeom prst="rect">
                      <a:avLst/>
                    </a:prstGeom>
                    <a:noFill/>
                  </pic:spPr>
                </pic:pic>
              </a:graphicData>
            </a:graphic>
          </wp:anchor>
        </w:drawing>
      </w:r>
    </w:p>
    <w:p>
      <w:pPr>
        <w:sectPr>
          <w:pgSz w:w="11900" w:h="16838" w:orient="portrait"/>
          <w:cols w:equalWidth="0" w:num="1">
            <w:col w:w="10140"/>
          </w:cols>
          <w:pgMar w:left="320" w:top="265" w:right="1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080"/>
        <w:spacing w:after="0" w:line="269" w:lineRule="auto"/>
        <w:rPr>
          <w:sz w:val="20"/>
          <w:szCs w:val="20"/>
          <w:color w:val="auto"/>
        </w:rPr>
      </w:pPr>
      <w:r>
        <w:rPr>
          <w:rFonts w:ascii="Arial" w:cs="Arial" w:eastAsia="Arial" w:hAnsi="Arial"/>
          <w:sz w:val="17"/>
          <w:szCs w:val="17"/>
          <w:color w:val="auto"/>
        </w:rPr>
        <w:t>The vote on this matter is not intended to address any specific element of compensation; rather, the vote relates to the compensation of our named executive officers, as described in this proxy statement in accordance with the compensation disclosure rules of the SEC. The vote is advisory, which means that the vote is not binding on the Company, our Board of Directors or the Compensation Committee. The Board and the Compensation Committee will review and consider the voting results when making future decisions regarding our executive compensation program.</w:t>
      </w:r>
    </w:p>
    <w:p>
      <w:pPr>
        <w:spacing w:after="0" w:line="200" w:lineRule="exact"/>
        <w:rPr>
          <w:sz w:val="20"/>
          <w:szCs w:val="20"/>
          <w:color w:val="auto"/>
        </w:rPr>
      </w:pPr>
    </w:p>
    <w:p>
      <w:pPr>
        <w:spacing w:after="0" w:line="364"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2020 Proxy Statement | Proposals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Accordingly, we ask our shareholders to approve, on an advisory basis, the compensation of the named executive officers, as disclosed in this proxy statement pursuant to the compensation disclosure rules of the SEC, including the Compensation Discussion and Analysis, the Summary Compensation Table and the other related tables and disclosure.</w:t>
      </w:r>
    </w:p>
    <w:p>
      <w:pPr>
        <w:spacing w:after="0" w:line="169" w:lineRule="exact"/>
        <w:rPr>
          <w:sz w:val="20"/>
          <w:szCs w:val="20"/>
          <w:color w:val="auto"/>
        </w:rPr>
      </w:pPr>
    </w:p>
    <w:p>
      <w:pPr>
        <w:ind w:right="220"/>
        <w:spacing w:after="0" w:line="265" w:lineRule="auto"/>
        <w:rPr>
          <w:sz w:val="20"/>
          <w:szCs w:val="20"/>
          <w:color w:val="auto"/>
        </w:rPr>
      </w:pPr>
      <w:r>
        <w:rPr>
          <w:rFonts w:ascii="Arial" w:cs="Arial" w:eastAsia="Arial" w:hAnsi="Arial"/>
          <w:sz w:val="19"/>
          <w:szCs w:val="19"/>
          <w:b w:val="1"/>
          <w:bCs w:val="1"/>
          <w:color w:val="3F3F3F"/>
        </w:rPr>
        <w:t>The Board of Directors recommends that shareholders vote FOR the approval of the compensation of our named executive officers as disclosed in this proxy statement.</w:t>
      </w:r>
    </w:p>
    <w:p>
      <w:pPr>
        <w:spacing w:after="0" w:line="290" w:lineRule="exact"/>
        <w:rPr>
          <w:sz w:val="20"/>
          <w:szCs w:val="20"/>
          <w:color w:val="auto"/>
        </w:rPr>
      </w:pPr>
    </w:p>
    <w:p>
      <w:pPr>
        <w:ind w:left="4140"/>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-3634105</wp:posOffset>
            </wp:positionH>
            <wp:positionV relativeFrom="paragraph">
              <wp:posOffset>152400</wp:posOffset>
            </wp:positionV>
            <wp:extent cx="69951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5380" w:space="460"/>
            <w:col w:w="4300"/>
          </w:cols>
          <w:pgMar w:left="320" w:top="265" w:right="1439" w:bottom="1440" w:gutter="0" w:footer="0" w:header="0"/>
          <w:type w:val="continuous"/>
        </w:sectPr>
      </w:pPr>
    </w:p>
    <w:bookmarkStart w:id="18" w:name="page19"/>
    <w:bookmarkEnd w:id="18"/>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6515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080"/>
        <w:spacing w:after="0"/>
        <w:rPr>
          <w:sz w:val="20"/>
          <w:szCs w:val="20"/>
          <w:color w:val="auto"/>
        </w:rPr>
      </w:pPr>
      <w:r>
        <w:rPr>
          <w:rFonts w:ascii="Arial" w:cs="Arial" w:eastAsia="Arial" w:hAnsi="Arial"/>
          <w:sz w:val="31"/>
          <w:szCs w:val="31"/>
          <w:b w:val="1"/>
          <w:bCs w:val="1"/>
          <w:color w:val="002875"/>
        </w:rPr>
        <w:t>Company Information</w:t>
      </w:r>
    </w:p>
    <w:p>
      <w:pPr>
        <w:spacing w:after="0" w:line="184" w:lineRule="exact"/>
        <w:rPr>
          <w:sz w:val="20"/>
          <w:szCs w:val="20"/>
          <w:color w:val="auto"/>
        </w:rPr>
      </w:pPr>
    </w:p>
    <w:p>
      <w:pPr>
        <w:ind w:left="1080"/>
        <w:spacing w:after="0"/>
        <w:rPr>
          <w:sz w:val="20"/>
          <w:szCs w:val="20"/>
          <w:color w:val="auto"/>
        </w:rPr>
      </w:pPr>
      <w:r>
        <w:rPr>
          <w:rFonts w:ascii="Arial" w:cs="Arial" w:eastAsia="Arial" w:hAnsi="Arial"/>
          <w:sz w:val="20"/>
          <w:szCs w:val="20"/>
          <w:b w:val="1"/>
          <w:bCs w:val="1"/>
          <w:color w:val="3F3F3F"/>
        </w:rPr>
        <w:t>Management</w:t>
      </w:r>
    </w:p>
    <w:p>
      <w:pPr>
        <w:spacing w:after="0" w:line="13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directors, nominees for director and executive officers of the Company are as follows.</w:t>
      </w:r>
    </w:p>
    <w:p>
      <w:pPr>
        <w:spacing w:after="0" w:line="226" w:lineRule="exact"/>
        <w:rPr>
          <w:sz w:val="20"/>
          <w:szCs w:val="20"/>
          <w:color w:val="auto"/>
        </w:rPr>
      </w:pPr>
    </w:p>
    <w:tbl>
      <w:tblPr>
        <w:tblLayout w:type="fixed"/>
        <w:tblInd w:w="1080" w:type="dxa"/>
        <w:tblCellMar>
          <w:top w:w="0" w:type="dxa"/>
          <w:left w:w="0" w:type="dxa"/>
          <w:bottom w:w="0" w:type="dxa"/>
          <w:right w:w="0" w:type="dxa"/>
        </w:tblCellMar>
      </w:tblPr>
      <w:tr>
        <w:trPr>
          <w:trHeight w:val="306"/>
        </w:trPr>
        <w:tc>
          <w:tcPr>
            <w:tcW w:w="2280" w:type="dxa"/>
            <w:vAlign w:val="bottom"/>
            <w:shd w:val="clear" w:color="auto" w:fill="BFBFBF"/>
          </w:tcPr>
          <w:p>
            <w:pPr>
              <w:spacing w:after="0"/>
              <w:rPr>
                <w:sz w:val="24"/>
                <w:szCs w:val="24"/>
                <w:color w:val="auto"/>
              </w:rPr>
            </w:pPr>
          </w:p>
        </w:tc>
        <w:tc>
          <w:tcPr>
            <w:tcW w:w="780" w:type="dxa"/>
            <w:vAlign w:val="bottom"/>
            <w:shd w:val="clear" w:color="auto" w:fill="BFBFBF"/>
          </w:tcPr>
          <w:p>
            <w:pPr>
              <w:spacing w:after="0"/>
              <w:rPr>
                <w:sz w:val="24"/>
                <w:szCs w:val="24"/>
                <w:color w:val="auto"/>
              </w:rPr>
            </w:pPr>
          </w:p>
        </w:tc>
        <w:tc>
          <w:tcPr>
            <w:tcW w:w="4920" w:type="dxa"/>
            <w:vAlign w:val="bottom"/>
            <w:shd w:val="clear" w:color="auto" w:fill="BFBFBF"/>
          </w:tcPr>
          <w:p>
            <w:pPr>
              <w:spacing w:after="0"/>
              <w:rPr>
                <w:sz w:val="24"/>
                <w:szCs w:val="24"/>
                <w:color w:val="auto"/>
              </w:rPr>
            </w:pPr>
          </w:p>
        </w:tc>
        <w:tc>
          <w:tcPr>
            <w:tcW w:w="1100" w:type="dxa"/>
            <w:vAlign w:val="bottom"/>
            <w:shd w:val="clear" w:color="auto" w:fill="BFBFBF"/>
          </w:tcPr>
          <w:p>
            <w:pPr>
              <w:jc w:val="center"/>
              <w:ind w:left="70"/>
              <w:spacing w:after="0"/>
              <w:rPr>
                <w:sz w:val="20"/>
                <w:szCs w:val="20"/>
                <w:color w:val="auto"/>
              </w:rPr>
            </w:pPr>
            <w:r>
              <w:rPr>
                <w:rFonts w:ascii="Arial" w:cs="Arial" w:eastAsia="Arial" w:hAnsi="Arial"/>
                <w:sz w:val="18"/>
                <w:szCs w:val="18"/>
                <w:b w:val="1"/>
                <w:bCs w:val="1"/>
                <w:color w:val="auto"/>
                <w:w w:val="93"/>
              </w:rPr>
              <w:t>Director or</w:t>
            </w:r>
          </w:p>
        </w:tc>
      </w:tr>
      <w:tr>
        <w:trPr>
          <w:trHeight w:val="216"/>
        </w:trPr>
        <w:tc>
          <w:tcPr>
            <w:tcW w:w="2280" w:type="dxa"/>
            <w:vAlign w:val="bottom"/>
            <w:shd w:val="clear" w:color="auto" w:fill="BFBFBF"/>
          </w:tcPr>
          <w:p>
            <w:pPr>
              <w:spacing w:after="0"/>
              <w:rPr>
                <w:sz w:val="18"/>
                <w:szCs w:val="18"/>
                <w:color w:val="auto"/>
              </w:rPr>
            </w:pPr>
          </w:p>
        </w:tc>
        <w:tc>
          <w:tcPr>
            <w:tcW w:w="780" w:type="dxa"/>
            <w:vAlign w:val="bottom"/>
            <w:shd w:val="clear" w:color="auto" w:fill="BFBFBF"/>
          </w:tcPr>
          <w:p>
            <w:pPr>
              <w:spacing w:after="0"/>
              <w:rPr>
                <w:sz w:val="18"/>
                <w:szCs w:val="18"/>
                <w:color w:val="auto"/>
              </w:rPr>
            </w:pPr>
          </w:p>
        </w:tc>
        <w:tc>
          <w:tcPr>
            <w:tcW w:w="4920" w:type="dxa"/>
            <w:vAlign w:val="bottom"/>
            <w:shd w:val="clear" w:color="auto" w:fill="BFBFBF"/>
          </w:tcPr>
          <w:p>
            <w:pPr>
              <w:spacing w:after="0"/>
              <w:rPr>
                <w:sz w:val="18"/>
                <w:szCs w:val="18"/>
                <w:color w:val="auto"/>
              </w:rPr>
            </w:pPr>
          </w:p>
        </w:tc>
        <w:tc>
          <w:tcPr>
            <w:tcW w:w="1100" w:type="dxa"/>
            <w:vAlign w:val="bottom"/>
            <w:shd w:val="clear" w:color="auto" w:fill="BFBFBF"/>
          </w:tcPr>
          <w:p>
            <w:pPr>
              <w:ind w:left="240"/>
              <w:spacing w:after="0"/>
              <w:rPr>
                <w:sz w:val="20"/>
                <w:szCs w:val="20"/>
                <w:color w:val="auto"/>
              </w:rPr>
            </w:pPr>
            <w:r>
              <w:rPr>
                <w:rFonts w:ascii="Arial" w:cs="Arial" w:eastAsia="Arial" w:hAnsi="Arial"/>
                <w:sz w:val="18"/>
                <w:szCs w:val="18"/>
                <w:b w:val="1"/>
                <w:bCs w:val="1"/>
                <w:color w:val="auto"/>
                <w:w w:val="99"/>
              </w:rPr>
              <w:t>Executive</w:t>
            </w:r>
          </w:p>
        </w:tc>
      </w:tr>
      <w:tr>
        <w:trPr>
          <w:trHeight w:val="255"/>
        </w:trPr>
        <w:tc>
          <w:tcPr>
            <w:tcW w:w="2280" w:type="dxa"/>
            <w:vAlign w:val="bottom"/>
            <w:tcBorders>
              <w:bottom w:val="single" w:sz="8" w:color="BFBFBF"/>
            </w:tcBorders>
            <w:shd w:val="clear" w:color="auto" w:fill="BFBFBF"/>
          </w:tcPr>
          <w:p>
            <w:pPr>
              <w:spacing w:after="0"/>
              <w:rPr>
                <w:sz w:val="22"/>
                <w:szCs w:val="22"/>
                <w:color w:val="auto"/>
              </w:rPr>
            </w:pPr>
          </w:p>
        </w:tc>
        <w:tc>
          <w:tcPr>
            <w:tcW w:w="780" w:type="dxa"/>
            <w:vAlign w:val="bottom"/>
            <w:tcBorders>
              <w:bottom w:val="single" w:sz="8" w:color="BFBFBF"/>
            </w:tcBorders>
            <w:shd w:val="clear" w:color="auto" w:fill="BFBFBF"/>
          </w:tcPr>
          <w:p>
            <w:pPr>
              <w:jc w:val="center"/>
              <w:ind w:left="70"/>
              <w:spacing w:after="0"/>
              <w:rPr>
                <w:sz w:val="20"/>
                <w:szCs w:val="20"/>
                <w:color w:val="auto"/>
              </w:rPr>
            </w:pPr>
            <w:r>
              <w:rPr>
                <w:rFonts w:ascii="Arial" w:cs="Arial" w:eastAsia="Arial" w:hAnsi="Arial"/>
                <w:sz w:val="18"/>
                <w:szCs w:val="18"/>
                <w:b w:val="1"/>
                <w:bCs w:val="1"/>
                <w:color w:val="auto"/>
                <w:w w:val="88"/>
              </w:rPr>
              <w:t>Age</w:t>
            </w:r>
          </w:p>
        </w:tc>
        <w:tc>
          <w:tcPr>
            <w:tcW w:w="4920" w:type="dxa"/>
            <w:vAlign w:val="bottom"/>
            <w:tcBorders>
              <w:bottom w:val="single" w:sz="8" w:color="BFBFBF"/>
            </w:tcBorders>
            <w:shd w:val="clear" w:color="auto" w:fill="BFBFBF"/>
          </w:tcPr>
          <w:p>
            <w:pPr>
              <w:ind w:left="160"/>
              <w:spacing w:after="0"/>
              <w:rPr>
                <w:sz w:val="20"/>
                <w:szCs w:val="20"/>
                <w:color w:val="auto"/>
              </w:rPr>
            </w:pPr>
            <w:r>
              <w:rPr>
                <w:rFonts w:ascii="Arial" w:cs="Arial" w:eastAsia="Arial" w:hAnsi="Arial"/>
                <w:sz w:val="18"/>
                <w:szCs w:val="18"/>
                <w:b w:val="1"/>
                <w:bCs w:val="1"/>
                <w:color w:val="auto"/>
              </w:rPr>
              <w:t>Position</w:t>
            </w:r>
          </w:p>
        </w:tc>
        <w:tc>
          <w:tcPr>
            <w:tcW w:w="1100" w:type="dxa"/>
            <w:vAlign w:val="bottom"/>
            <w:tcBorders>
              <w:bottom w:val="single" w:sz="8" w:color="BFBFBF"/>
            </w:tcBorders>
            <w:shd w:val="clear" w:color="auto" w:fill="BFBFBF"/>
          </w:tcPr>
          <w:p>
            <w:pPr>
              <w:jc w:val="center"/>
              <w:ind w:left="70"/>
              <w:spacing w:after="0"/>
              <w:rPr>
                <w:sz w:val="20"/>
                <w:szCs w:val="20"/>
                <w:color w:val="auto"/>
              </w:rPr>
            </w:pPr>
            <w:r>
              <w:rPr>
                <w:rFonts w:ascii="Arial" w:cs="Arial" w:eastAsia="Arial" w:hAnsi="Arial"/>
                <w:sz w:val="18"/>
                <w:szCs w:val="18"/>
                <w:b w:val="1"/>
                <w:bCs w:val="1"/>
                <w:color w:val="auto"/>
                <w:w w:val="87"/>
              </w:rPr>
              <w:t>Since</w:t>
            </w:r>
          </w:p>
        </w:tc>
      </w:tr>
      <w:tr>
        <w:trPr>
          <w:trHeight w:val="378"/>
        </w:trPr>
        <w:tc>
          <w:tcPr>
            <w:tcW w:w="2280" w:type="dxa"/>
            <w:vAlign w:val="bottom"/>
          </w:tcPr>
          <w:p>
            <w:pPr>
              <w:ind w:left="80"/>
              <w:spacing w:after="0"/>
              <w:rPr>
                <w:sz w:val="20"/>
                <w:szCs w:val="20"/>
                <w:color w:val="auto"/>
              </w:rPr>
            </w:pPr>
            <w:r>
              <w:rPr>
                <w:rFonts w:ascii="Arial" w:cs="Arial" w:eastAsia="Arial" w:hAnsi="Arial"/>
                <w:sz w:val="18"/>
                <w:szCs w:val="18"/>
                <w:color w:val="auto"/>
              </w:rPr>
              <w:t>Carl H. Lindner III</w:t>
            </w:r>
          </w:p>
        </w:tc>
        <w:tc>
          <w:tcPr>
            <w:tcW w:w="780" w:type="dxa"/>
            <w:vAlign w:val="bottom"/>
          </w:tcPr>
          <w:p>
            <w:pPr>
              <w:jc w:val="center"/>
              <w:ind w:left="70"/>
              <w:spacing w:after="0"/>
              <w:rPr>
                <w:sz w:val="20"/>
                <w:szCs w:val="20"/>
                <w:color w:val="auto"/>
              </w:rPr>
            </w:pPr>
            <w:r>
              <w:rPr>
                <w:rFonts w:ascii="Arial" w:cs="Arial" w:eastAsia="Arial" w:hAnsi="Arial"/>
                <w:sz w:val="18"/>
                <w:szCs w:val="18"/>
                <w:color w:val="auto"/>
                <w:w w:val="89"/>
              </w:rPr>
              <w:t>66</w:t>
            </w:r>
          </w:p>
        </w:tc>
        <w:tc>
          <w:tcPr>
            <w:tcW w:w="4920" w:type="dxa"/>
            <w:vAlign w:val="bottom"/>
          </w:tcPr>
          <w:p>
            <w:pPr>
              <w:ind w:left="160"/>
              <w:spacing w:after="0"/>
              <w:rPr>
                <w:sz w:val="20"/>
                <w:szCs w:val="20"/>
                <w:color w:val="auto"/>
              </w:rPr>
            </w:pPr>
            <w:r>
              <w:rPr>
                <w:rFonts w:ascii="Arial" w:cs="Arial" w:eastAsia="Arial" w:hAnsi="Arial"/>
                <w:sz w:val="18"/>
                <w:szCs w:val="18"/>
                <w:color w:val="auto"/>
              </w:rPr>
              <w:t>Co-Chief Executive Officer, Co-President and Director</w:t>
            </w:r>
          </w:p>
        </w:tc>
        <w:tc>
          <w:tcPr>
            <w:tcW w:w="1100" w:type="dxa"/>
            <w:vAlign w:val="bottom"/>
          </w:tcPr>
          <w:p>
            <w:pPr>
              <w:jc w:val="center"/>
              <w:ind w:left="90"/>
              <w:spacing w:after="0"/>
              <w:rPr>
                <w:sz w:val="20"/>
                <w:szCs w:val="20"/>
                <w:color w:val="auto"/>
              </w:rPr>
            </w:pPr>
            <w:r>
              <w:rPr>
                <w:rFonts w:ascii="Arial" w:cs="Arial" w:eastAsia="Arial" w:hAnsi="Arial"/>
                <w:sz w:val="18"/>
                <w:szCs w:val="18"/>
                <w:color w:val="auto"/>
                <w:w w:val="89"/>
              </w:rPr>
              <w:t>1979</w:t>
            </w:r>
          </w:p>
        </w:tc>
      </w:tr>
      <w:tr>
        <w:trPr>
          <w:trHeight w:val="297"/>
        </w:trPr>
        <w:tc>
          <w:tcPr>
            <w:tcW w:w="2280" w:type="dxa"/>
            <w:vAlign w:val="bottom"/>
          </w:tcPr>
          <w:p>
            <w:pPr>
              <w:ind w:left="80"/>
              <w:spacing w:after="0"/>
              <w:rPr>
                <w:sz w:val="20"/>
                <w:szCs w:val="20"/>
                <w:color w:val="auto"/>
              </w:rPr>
            </w:pPr>
            <w:r>
              <w:rPr>
                <w:rFonts w:ascii="Arial" w:cs="Arial" w:eastAsia="Arial" w:hAnsi="Arial"/>
                <w:sz w:val="18"/>
                <w:szCs w:val="18"/>
                <w:color w:val="auto"/>
              </w:rPr>
              <w:t>S. Craig Lindner</w:t>
            </w:r>
          </w:p>
        </w:tc>
        <w:tc>
          <w:tcPr>
            <w:tcW w:w="780" w:type="dxa"/>
            <w:vAlign w:val="bottom"/>
          </w:tcPr>
          <w:p>
            <w:pPr>
              <w:jc w:val="center"/>
              <w:ind w:left="70"/>
              <w:spacing w:after="0"/>
              <w:rPr>
                <w:sz w:val="20"/>
                <w:szCs w:val="20"/>
                <w:color w:val="auto"/>
              </w:rPr>
            </w:pPr>
            <w:r>
              <w:rPr>
                <w:rFonts w:ascii="Arial" w:cs="Arial" w:eastAsia="Arial" w:hAnsi="Arial"/>
                <w:sz w:val="18"/>
                <w:szCs w:val="18"/>
                <w:color w:val="auto"/>
                <w:w w:val="89"/>
              </w:rPr>
              <w:t>65</w:t>
            </w:r>
          </w:p>
        </w:tc>
        <w:tc>
          <w:tcPr>
            <w:tcW w:w="4920" w:type="dxa"/>
            <w:vAlign w:val="bottom"/>
          </w:tcPr>
          <w:p>
            <w:pPr>
              <w:ind w:left="160"/>
              <w:spacing w:after="0"/>
              <w:rPr>
                <w:sz w:val="20"/>
                <w:szCs w:val="20"/>
                <w:color w:val="auto"/>
              </w:rPr>
            </w:pPr>
            <w:r>
              <w:rPr>
                <w:rFonts w:ascii="Arial" w:cs="Arial" w:eastAsia="Arial" w:hAnsi="Arial"/>
                <w:sz w:val="18"/>
                <w:szCs w:val="18"/>
                <w:color w:val="auto"/>
              </w:rPr>
              <w:t>Co-Chief Executive Officer, Co-President and Director</w:t>
            </w:r>
          </w:p>
        </w:tc>
        <w:tc>
          <w:tcPr>
            <w:tcW w:w="1100" w:type="dxa"/>
            <w:vAlign w:val="bottom"/>
          </w:tcPr>
          <w:p>
            <w:pPr>
              <w:jc w:val="center"/>
              <w:ind w:left="90"/>
              <w:spacing w:after="0"/>
              <w:rPr>
                <w:sz w:val="20"/>
                <w:szCs w:val="20"/>
                <w:color w:val="auto"/>
              </w:rPr>
            </w:pPr>
            <w:r>
              <w:rPr>
                <w:rFonts w:ascii="Arial" w:cs="Arial" w:eastAsia="Arial" w:hAnsi="Arial"/>
                <w:sz w:val="18"/>
                <w:szCs w:val="18"/>
                <w:color w:val="auto"/>
                <w:w w:val="89"/>
              </w:rPr>
              <w:t>1980</w:t>
            </w:r>
          </w:p>
        </w:tc>
      </w:tr>
      <w:tr>
        <w:trPr>
          <w:trHeight w:val="297"/>
        </w:trPr>
        <w:tc>
          <w:tcPr>
            <w:tcW w:w="2280" w:type="dxa"/>
            <w:vAlign w:val="bottom"/>
          </w:tcPr>
          <w:p>
            <w:pPr>
              <w:ind w:left="80"/>
              <w:spacing w:after="0"/>
              <w:rPr>
                <w:sz w:val="20"/>
                <w:szCs w:val="20"/>
                <w:color w:val="auto"/>
              </w:rPr>
            </w:pPr>
            <w:r>
              <w:rPr>
                <w:rFonts w:ascii="Arial" w:cs="Arial" w:eastAsia="Arial" w:hAnsi="Arial"/>
                <w:sz w:val="18"/>
                <w:szCs w:val="18"/>
                <w:color w:val="auto"/>
              </w:rPr>
              <w:t>Kenneth C. Ambrecht</w:t>
            </w:r>
          </w:p>
        </w:tc>
        <w:tc>
          <w:tcPr>
            <w:tcW w:w="780" w:type="dxa"/>
            <w:vAlign w:val="bottom"/>
          </w:tcPr>
          <w:p>
            <w:pPr>
              <w:jc w:val="center"/>
              <w:ind w:left="70"/>
              <w:spacing w:after="0"/>
              <w:rPr>
                <w:sz w:val="20"/>
                <w:szCs w:val="20"/>
                <w:color w:val="auto"/>
              </w:rPr>
            </w:pPr>
            <w:r>
              <w:rPr>
                <w:rFonts w:ascii="Arial" w:cs="Arial" w:eastAsia="Arial" w:hAnsi="Arial"/>
                <w:sz w:val="18"/>
                <w:szCs w:val="18"/>
                <w:color w:val="auto"/>
                <w:w w:val="89"/>
              </w:rPr>
              <w:t>74</w:t>
            </w:r>
          </w:p>
        </w:tc>
        <w:tc>
          <w:tcPr>
            <w:tcW w:w="4920" w:type="dxa"/>
            <w:vAlign w:val="bottom"/>
          </w:tcPr>
          <w:p>
            <w:pPr>
              <w:ind w:left="160"/>
              <w:spacing w:after="0"/>
              <w:rPr>
                <w:sz w:val="20"/>
                <w:szCs w:val="20"/>
                <w:color w:val="auto"/>
              </w:rPr>
            </w:pPr>
            <w:r>
              <w:rPr>
                <w:rFonts w:ascii="Arial" w:cs="Arial" w:eastAsia="Arial" w:hAnsi="Arial"/>
                <w:sz w:val="18"/>
                <w:szCs w:val="18"/>
                <w:color w:val="auto"/>
              </w:rPr>
              <w:t>Director</w:t>
            </w:r>
          </w:p>
        </w:tc>
        <w:tc>
          <w:tcPr>
            <w:tcW w:w="1100" w:type="dxa"/>
            <w:vAlign w:val="bottom"/>
          </w:tcPr>
          <w:p>
            <w:pPr>
              <w:jc w:val="center"/>
              <w:ind w:left="90"/>
              <w:spacing w:after="0"/>
              <w:rPr>
                <w:sz w:val="20"/>
                <w:szCs w:val="20"/>
                <w:color w:val="auto"/>
              </w:rPr>
            </w:pPr>
            <w:r>
              <w:rPr>
                <w:rFonts w:ascii="Arial" w:cs="Arial" w:eastAsia="Arial" w:hAnsi="Arial"/>
                <w:sz w:val="18"/>
                <w:szCs w:val="18"/>
                <w:color w:val="auto"/>
                <w:w w:val="89"/>
              </w:rPr>
              <w:t>2005</w:t>
            </w:r>
          </w:p>
        </w:tc>
      </w:tr>
      <w:tr>
        <w:trPr>
          <w:trHeight w:val="283"/>
        </w:trPr>
        <w:tc>
          <w:tcPr>
            <w:tcW w:w="2280" w:type="dxa"/>
            <w:vAlign w:val="bottom"/>
          </w:tcPr>
          <w:p>
            <w:pPr>
              <w:ind w:left="80"/>
              <w:spacing w:after="0"/>
              <w:rPr>
                <w:sz w:val="20"/>
                <w:szCs w:val="20"/>
                <w:color w:val="auto"/>
              </w:rPr>
            </w:pPr>
            <w:r>
              <w:rPr>
                <w:rFonts w:ascii="Arial" w:cs="Arial" w:eastAsia="Arial" w:hAnsi="Arial"/>
                <w:sz w:val="18"/>
                <w:szCs w:val="18"/>
                <w:color w:val="auto"/>
              </w:rPr>
              <w:t>John B. Berding</w:t>
            </w:r>
          </w:p>
        </w:tc>
        <w:tc>
          <w:tcPr>
            <w:tcW w:w="780" w:type="dxa"/>
            <w:vAlign w:val="bottom"/>
          </w:tcPr>
          <w:p>
            <w:pPr>
              <w:jc w:val="center"/>
              <w:ind w:left="70"/>
              <w:spacing w:after="0"/>
              <w:rPr>
                <w:sz w:val="20"/>
                <w:szCs w:val="20"/>
                <w:color w:val="auto"/>
              </w:rPr>
            </w:pPr>
            <w:r>
              <w:rPr>
                <w:rFonts w:ascii="Arial" w:cs="Arial" w:eastAsia="Arial" w:hAnsi="Arial"/>
                <w:sz w:val="18"/>
                <w:szCs w:val="18"/>
                <w:color w:val="auto"/>
                <w:w w:val="89"/>
              </w:rPr>
              <w:t>57</w:t>
            </w:r>
          </w:p>
        </w:tc>
        <w:tc>
          <w:tcPr>
            <w:tcW w:w="4920" w:type="dxa"/>
            <w:vAlign w:val="bottom"/>
          </w:tcPr>
          <w:p>
            <w:pPr>
              <w:ind w:left="160"/>
              <w:spacing w:after="0"/>
              <w:rPr>
                <w:sz w:val="20"/>
                <w:szCs w:val="20"/>
                <w:color w:val="auto"/>
              </w:rPr>
            </w:pPr>
            <w:r>
              <w:rPr>
                <w:rFonts w:ascii="Arial" w:cs="Arial" w:eastAsia="Arial" w:hAnsi="Arial"/>
                <w:sz w:val="18"/>
                <w:szCs w:val="18"/>
                <w:color w:val="auto"/>
                <w:w w:val="98"/>
              </w:rPr>
              <w:t>President of American Money Management Corporation and</w:t>
            </w:r>
          </w:p>
        </w:tc>
        <w:tc>
          <w:tcPr>
            <w:tcW w:w="1100" w:type="dxa"/>
            <w:vAlign w:val="bottom"/>
          </w:tcPr>
          <w:p>
            <w:pPr>
              <w:jc w:val="center"/>
              <w:ind w:left="90"/>
              <w:spacing w:after="0"/>
              <w:rPr>
                <w:sz w:val="20"/>
                <w:szCs w:val="20"/>
                <w:color w:val="auto"/>
              </w:rPr>
            </w:pPr>
            <w:r>
              <w:rPr>
                <w:rFonts w:ascii="Arial" w:cs="Arial" w:eastAsia="Arial" w:hAnsi="Arial"/>
                <w:sz w:val="18"/>
                <w:szCs w:val="18"/>
                <w:color w:val="auto"/>
                <w:w w:val="89"/>
              </w:rPr>
              <w:t>2012</w:t>
            </w:r>
          </w:p>
        </w:tc>
      </w:tr>
      <w:tr>
        <w:trPr>
          <w:trHeight w:val="230"/>
        </w:trPr>
        <w:tc>
          <w:tcPr>
            <w:tcW w:w="2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920" w:type="dxa"/>
            <w:vAlign w:val="bottom"/>
          </w:tcPr>
          <w:p>
            <w:pPr>
              <w:ind w:left="160"/>
              <w:spacing w:after="0"/>
              <w:rPr>
                <w:sz w:val="20"/>
                <w:szCs w:val="20"/>
                <w:color w:val="auto"/>
              </w:rPr>
            </w:pPr>
            <w:r>
              <w:rPr>
                <w:rFonts w:ascii="Arial" w:cs="Arial" w:eastAsia="Arial" w:hAnsi="Arial"/>
                <w:sz w:val="18"/>
                <w:szCs w:val="18"/>
                <w:color w:val="auto"/>
              </w:rPr>
              <w:t>Director</w:t>
            </w:r>
          </w:p>
        </w:tc>
        <w:tc>
          <w:tcPr>
            <w:tcW w:w="1100" w:type="dxa"/>
            <w:vAlign w:val="bottom"/>
          </w:tcPr>
          <w:p>
            <w:pPr>
              <w:spacing w:after="0"/>
              <w:rPr>
                <w:sz w:val="20"/>
                <w:szCs w:val="20"/>
                <w:color w:val="auto"/>
              </w:rPr>
            </w:pPr>
          </w:p>
        </w:tc>
      </w:tr>
      <w:tr>
        <w:trPr>
          <w:trHeight w:val="283"/>
        </w:trPr>
        <w:tc>
          <w:tcPr>
            <w:tcW w:w="2280" w:type="dxa"/>
            <w:vAlign w:val="bottom"/>
          </w:tcPr>
          <w:p>
            <w:pPr>
              <w:ind w:left="80"/>
              <w:spacing w:after="0"/>
              <w:rPr>
                <w:sz w:val="20"/>
                <w:szCs w:val="20"/>
                <w:color w:val="auto"/>
              </w:rPr>
            </w:pPr>
            <w:r>
              <w:rPr>
                <w:rFonts w:ascii="Arial" w:cs="Arial" w:eastAsia="Arial" w:hAnsi="Arial"/>
                <w:sz w:val="18"/>
                <w:szCs w:val="18"/>
                <w:color w:val="auto"/>
              </w:rPr>
              <w:t>Joseph E. (Jeff) Consolino</w:t>
            </w:r>
          </w:p>
        </w:tc>
        <w:tc>
          <w:tcPr>
            <w:tcW w:w="780" w:type="dxa"/>
            <w:vAlign w:val="bottom"/>
          </w:tcPr>
          <w:p>
            <w:pPr>
              <w:jc w:val="center"/>
              <w:ind w:left="70"/>
              <w:spacing w:after="0"/>
              <w:rPr>
                <w:sz w:val="20"/>
                <w:szCs w:val="20"/>
                <w:color w:val="auto"/>
              </w:rPr>
            </w:pPr>
            <w:r>
              <w:rPr>
                <w:rFonts w:ascii="Arial" w:cs="Arial" w:eastAsia="Arial" w:hAnsi="Arial"/>
                <w:sz w:val="18"/>
                <w:szCs w:val="18"/>
                <w:color w:val="auto"/>
                <w:w w:val="89"/>
              </w:rPr>
              <w:t>53</w:t>
            </w:r>
          </w:p>
        </w:tc>
        <w:tc>
          <w:tcPr>
            <w:tcW w:w="4920" w:type="dxa"/>
            <w:vAlign w:val="bottom"/>
          </w:tcPr>
          <w:p>
            <w:pPr>
              <w:ind w:left="160"/>
              <w:spacing w:after="0"/>
              <w:rPr>
                <w:sz w:val="20"/>
                <w:szCs w:val="20"/>
                <w:color w:val="auto"/>
              </w:rPr>
            </w:pPr>
            <w:r>
              <w:rPr>
                <w:rFonts w:ascii="Arial" w:cs="Arial" w:eastAsia="Arial" w:hAnsi="Arial"/>
                <w:sz w:val="18"/>
                <w:szCs w:val="18"/>
                <w:color w:val="auto"/>
                <w:w w:val="95"/>
              </w:rPr>
              <w:t>Executive Vice President, Chief Financial Officer, Chairman of</w:t>
            </w:r>
          </w:p>
        </w:tc>
        <w:tc>
          <w:tcPr>
            <w:tcW w:w="1100" w:type="dxa"/>
            <w:vAlign w:val="bottom"/>
          </w:tcPr>
          <w:p>
            <w:pPr>
              <w:jc w:val="center"/>
              <w:ind w:left="90"/>
              <w:spacing w:after="0"/>
              <w:rPr>
                <w:sz w:val="20"/>
                <w:szCs w:val="20"/>
                <w:color w:val="auto"/>
              </w:rPr>
            </w:pPr>
            <w:r>
              <w:rPr>
                <w:rFonts w:ascii="Arial" w:cs="Arial" w:eastAsia="Arial" w:hAnsi="Arial"/>
                <w:sz w:val="18"/>
                <w:szCs w:val="18"/>
                <w:color w:val="auto"/>
                <w:w w:val="89"/>
              </w:rPr>
              <w:t>2012</w:t>
            </w:r>
          </w:p>
        </w:tc>
      </w:tr>
      <w:tr>
        <w:trPr>
          <w:trHeight w:val="230"/>
        </w:trPr>
        <w:tc>
          <w:tcPr>
            <w:tcW w:w="2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920" w:type="dxa"/>
            <w:vAlign w:val="bottom"/>
          </w:tcPr>
          <w:p>
            <w:pPr>
              <w:ind w:left="160"/>
              <w:spacing w:after="0"/>
              <w:rPr>
                <w:sz w:val="20"/>
                <w:szCs w:val="20"/>
                <w:color w:val="auto"/>
              </w:rPr>
            </w:pPr>
            <w:r>
              <w:rPr>
                <w:rFonts w:ascii="Arial" w:cs="Arial" w:eastAsia="Arial" w:hAnsi="Arial"/>
                <w:sz w:val="18"/>
                <w:szCs w:val="18"/>
                <w:color w:val="auto"/>
              </w:rPr>
              <w:t>the Board of Neon Capital Limited and Director</w:t>
            </w:r>
          </w:p>
        </w:tc>
        <w:tc>
          <w:tcPr>
            <w:tcW w:w="1100" w:type="dxa"/>
            <w:vAlign w:val="bottom"/>
          </w:tcPr>
          <w:p>
            <w:pPr>
              <w:spacing w:after="0"/>
              <w:rPr>
                <w:sz w:val="20"/>
                <w:szCs w:val="20"/>
                <w:color w:val="auto"/>
              </w:rPr>
            </w:pPr>
          </w:p>
        </w:tc>
      </w:tr>
      <w:tr>
        <w:trPr>
          <w:trHeight w:val="297"/>
        </w:trPr>
        <w:tc>
          <w:tcPr>
            <w:tcW w:w="2280" w:type="dxa"/>
            <w:vAlign w:val="bottom"/>
          </w:tcPr>
          <w:p>
            <w:pPr>
              <w:ind w:left="80"/>
              <w:spacing w:after="0"/>
              <w:rPr>
                <w:sz w:val="20"/>
                <w:szCs w:val="20"/>
                <w:color w:val="auto"/>
              </w:rPr>
            </w:pPr>
            <w:r>
              <w:rPr>
                <w:rFonts w:ascii="Arial" w:cs="Arial" w:eastAsia="Arial" w:hAnsi="Arial"/>
                <w:sz w:val="18"/>
                <w:szCs w:val="18"/>
                <w:color w:val="auto"/>
              </w:rPr>
              <w:t>Gregory G. Joseph</w:t>
            </w:r>
          </w:p>
        </w:tc>
        <w:tc>
          <w:tcPr>
            <w:tcW w:w="780" w:type="dxa"/>
            <w:vAlign w:val="bottom"/>
          </w:tcPr>
          <w:p>
            <w:pPr>
              <w:jc w:val="center"/>
              <w:ind w:left="70"/>
              <w:spacing w:after="0"/>
              <w:rPr>
                <w:sz w:val="20"/>
                <w:szCs w:val="20"/>
                <w:color w:val="auto"/>
              </w:rPr>
            </w:pPr>
            <w:r>
              <w:rPr>
                <w:rFonts w:ascii="Arial" w:cs="Arial" w:eastAsia="Arial" w:hAnsi="Arial"/>
                <w:sz w:val="18"/>
                <w:szCs w:val="18"/>
                <w:color w:val="auto"/>
                <w:w w:val="89"/>
              </w:rPr>
              <w:t>57</w:t>
            </w:r>
          </w:p>
        </w:tc>
        <w:tc>
          <w:tcPr>
            <w:tcW w:w="4920" w:type="dxa"/>
            <w:vAlign w:val="bottom"/>
          </w:tcPr>
          <w:p>
            <w:pPr>
              <w:ind w:left="160"/>
              <w:spacing w:after="0"/>
              <w:rPr>
                <w:sz w:val="20"/>
                <w:szCs w:val="20"/>
                <w:color w:val="auto"/>
              </w:rPr>
            </w:pPr>
            <w:r>
              <w:rPr>
                <w:rFonts w:ascii="Arial" w:cs="Arial" w:eastAsia="Arial" w:hAnsi="Arial"/>
                <w:sz w:val="18"/>
                <w:szCs w:val="18"/>
                <w:color w:val="auto"/>
              </w:rPr>
              <w:t>Lead Independent Director</w:t>
            </w:r>
          </w:p>
        </w:tc>
        <w:tc>
          <w:tcPr>
            <w:tcW w:w="1100" w:type="dxa"/>
            <w:vAlign w:val="bottom"/>
          </w:tcPr>
          <w:p>
            <w:pPr>
              <w:jc w:val="center"/>
              <w:ind w:left="90"/>
              <w:spacing w:after="0"/>
              <w:rPr>
                <w:sz w:val="20"/>
                <w:szCs w:val="20"/>
                <w:color w:val="auto"/>
              </w:rPr>
            </w:pPr>
            <w:r>
              <w:rPr>
                <w:rFonts w:ascii="Arial" w:cs="Arial" w:eastAsia="Arial" w:hAnsi="Arial"/>
                <w:sz w:val="18"/>
                <w:szCs w:val="18"/>
                <w:color w:val="auto"/>
                <w:w w:val="89"/>
              </w:rPr>
              <w:t>2008</w:t>
            </w:r>
          </w:p>
        </w:tc>
      </w:tr>
      <w:tr>
        <w:trPr>
          <w:trHeight w:val="297"/>
        </w:trPr>
        <w:tc>
          <w:tcPr>
            <w:tcW w:w="2280" w:type="dxa"/>
            <w:vAlign w:val="bottom"/>
          </w:tcPr>
          <w:p>
            <w:pPr>
              <w:ind w:left="80"/>
              <w:spacing w:after="0"/>
              <w:rPr>
                <w:sz w:val="20"/>
                <w:szCs w:val="20"/>
                <w:color w:val="auto"/>
              </w:rPr>
            </w:pPr>
            <w:r>
              <w:rPr>
                <w:rFonts w:ascii="Arial" w:cs="Arial" w:eastAsia="Arial" w:hAnsi="Arial"/>
                <w:sz w:val="18"/>
                <w:szCs w:val="18"/>
                <w:color w:val="auto"/>
              </w:rPr>
              <w:t>Virginia “Gina” C. Drosos</w:t>
            </w:r>
          </w:p>
        </w:tc>
        <w:tc>
          <w:tcPr>
            <w:tcW w:w="780" w:type="dxa"/>
            <w:vAlign w:val="bottom"/>
          </w:tcPr>
          <w:p>
            <w:pPr>
              <w:jc w:val="center"/>
              <w:ind w:left="70"/>
              <w:spacing w:after="0"/>
              <w:rPr>
                <w:sz w:val="20"/>
                <w:szCs w:val="20"/>
                <w:color w:val="auto"/>
              </w:rPr>
            </w:pPr>
            <w:r>
              <w:rPr>
                <w:rFonts w:ascii="Arial" w:cs="Arial" w:eastAsia="Arial" w:hAnsi="Arial"/>
                <w:sz w:val="18"/>
                <w:szCs w:val="18"/>
                <w:color w:val="auto"/>
                <w:w w:val="89"/>
              </w:rPr>
              <w:t>57</w:t>
            </w:r>
          </w:p>
        </w:tc>
        <w:tc>
          <w:tcPr>
            <w:tcW w:w="4920" w:type="dxa"/>
            <w:vAlign w:val="bottom"/>
          </w:tcPr>
          <w:p>
            <w:pPr>
              <w:ind w:left="160"/>
              <w:spacing w:after="0"/>
              <w:rPr>
                <w:sz w:val="20"/>
                <w:szCs w:val="20"/>
                <w:color w:val="auto"/>
              </w:rPr>
            </w:pPr>
            <w:r>
              <w:rPr>
                <w:rFonts w:ascii="Arial" w:cs="Arial" w:eastAsia="Arial" w:hAnsi="Arial"/>
                <w:sz w:val="18"/>
                <w:szCs w:val="18"/>
                <w:color w:val="auto"/>
              </w:rPr>
              <w:t>Director</w:t>
            </w:r>
          </w:p>
        </w:tc>
        <w:tc>
          <w:tcPr>
            <w:tcW w:w="1100" w:type="dxa"/>
            <w:vAlign w:val="bottom"/>
          </w:tcPr>
          <w:p>
            <w:pPr>
              <w:jc w:val="center"/>
              <w:ind w:left="90"/>
              <w:spacing w:after="0"/>
              <w:rPr>
                <w:sz w:val="20"/>
                <w:szCs w:val="20"/>
                <w:color w:val="auto"/>
              </w:rPr>
            </w:pPr>
            <w:r>
              <w:rPr>
                <w:rFonts w:ascii="Arial" w:cs="Arial" w:eastAsia="Arial" w:hAnsi="Arial"/>
                <w:sz w:val="18"/>
                <w:szCs w:val="18"/>
                <w:color w:val="auto"/>
                <w:w w:val="89"/>
              </w:rPr>
              <w:t>2013</w:t>
            </w:r>
          </w:p>
        </w:tc>
      </w:tr>
      <w:tr>
        <w:trPr>
          <w:trHeight w:val="297"/>
        </w:trPr>
        <w:tc>
          <w:tcPr>
            <w:tcW w:w="2280" w:type="dxa"/>
            <w:vAlign w:val="bottom"/>
          </w:tcPr>
          <w:p>
            <w:pPr>
              <w:ind w:left="80"/>
              <w:spacing w:after="0"/>
              <w:rPr>
                <w:sz w:val="20"/>
                <w:szCs w:val="20"/>
                <w:color w:val="auto"/>
              </w:rPr>
            </w:pPr>
            <w:r>
              <w:rPr>
                <w:rFonts w:ascii="Arial" w:cs="Arial" w:eastAsia="Arial" w:hAnsi="Arial"/>
                <w:sz w:val="18"/>
                <w:szCs w:val="18"/>
                <w:color w:val="auto"/>
              </w:rPr>
              <w:t>James E. Evans</w:t>
            </w:r>
          </w:p>
        </w:tc>
        <w:tc>
          <w:tcPr>
            <w:tcW w:w="780" w:type="dxa"/>
            <w:vAlign w:val="bottom"/>
          </w:tcPr>
          <w:p>
            <w:pPr>
              <w:jc w:val="center"/>
              <w:ind w:left="70"/>
              <w:spacing w:after="0"/>
              <w:rPr>
                <w:sz w:val="20"/>
                <w:szCs w:val="20"/>
                <w:color w:val="auto"/>
              </w:rPr>
            </w:pPr>
            <w:r>
              <w:rPr>
                <w:rFonts w:ascii="Arial" w:cs="Arial" w:eastAsia="Arial" w:hAnsi="Arial"/>
                <w:sz w:val="18"/>
                <w:szCs w:val="18"/>
                <w:color w:val="auto"/>
                <w:w w:val="89"/>
              </w:rPr>
              <w:t>74</w:t>
            </w:r>
          </w:p>
        </w:tc>
        <w:tc>
          <w:tcPr>
            <w:tcW w:w="4920" w:type="dxa"/>
            <w:vAlign w:val="bottom"/>
          </w:tcPr>
          <w:p>
            <w:pPr>
              <w:ind w:left="160"/>
              <w:spacing w:after="0"/>
              <w:rPr>
                <w:sz w:val="20"/>
                <w:szCs w:val="20"/>
                <w:color w:val="auto"/>
              </w:rPr>
            </w:pPr>
            <w:r>
              <w:rPr>
                <w:rFonts w:ascii="Arial" w:cs="Arial" w:eastAsia="Arial" w:hAnsi="Arial"/>
                <w:sz w:val="18"/>
                <w:szCs w:val="18"/>
                <w:color w:val="auto"/>
              </w:rPr>
              <w:t>Director</w:t>
            </w:r>
          </w:p>
        </w:tc>
        <w:tc>
          <w:tcPr>
            <w:tcW w:w="1100" w:type="dxa"/>
            <w:vAlign w:val="bottom"/>
          </w:tcPr>
          <w:p>
            <w:pPr>
              <w:jc w:val="center"/>
              <w:ind w:left="90"/>
              <w:spacing w:after="0"/>
              <w:rPr>
                <w:sz w:val="20"/>
                <w:szCs w:val="20"/>
                <w:color w:val="auto"/>
              </w:rPr>
            </w:pPr>
            <w:r>
              <w:rPr>
                <w:rFonts w:ascii="Arial" w:cs="Arial" w:eastAsia="Arial" w:hAnsi="Arial"/>
                <w:sz w:val="18"/>
                <w:szCs w:val="18"/>
                <w:color w:val="auto"/>
                <w:w w:val="89"/>
              </w:rPr>
              <w:t>1976</w:t>
            </w:r>
          </w:p>
        </w:tc>
      </w:tr>
      <w:tr>
        <w:trPr>
          <w:trHeight w:val="297"/>
        </w:trPr>
        <w:tc>
          <w:tcPr>
            <w:tcW w:w="2280" w:type="dxa"/>
            <w:vAlign w:val="bottom"/>
          </w:tcPr>
          <w:p>
            <w:pPr>
              <w:ind w:left="80"/>
              <w:spacing w:after="0"/>
              <w:rPr>
                <w:sz w:val="20"/>
                <w:szCs w:val="20"/>
                <w:color w:val="auto"/>
              </w:rPr>
            </w:pPr>
            <w:r>
              <w:rPr>
                <w:rFonts w:ascii="Arial" w:cs="Arial" w:eastAsia="Arial" w:hAnsi="Arial"/>
                <w:sz w:val="18"/>
                <w:szCs w:val="18"/>
                <w:color w:val="auto"/>
              </w:rPr>
              <w:t>Terry S. Jacobs</w:t>
            </w:r>
          </w:p>
        </w:tc>
        <w:tc>
          <w:tcPr>
            <w:tcW w:w="780" w:type="dxa"/>
            <w:vAlign w:val="bottom"/>
          </w:tcPr>
          <w:p>
            <w:pPr>
              <w:jc w:val="center"/>
              <w:ind w:left="70"/>
              <w:spacing w:after="0"/>
              <w:rPr>
                <w:sz w:val="20"/>
                <w:szCs w:val="20"/>
                <w:color w:val="auto"/>
              </w:rPr>
            </w:pPr>
            <w:r>
              <w:rPr>
                <w:rFonts w:ascii="Arial" w:cs="Arial" w:eastAsia="Arial" w:hAnsi="Arial"/>
                <w:sz w:val="18"/>
                <w:szCs w:val="18"/>
                <w:color w:val="auto"/>
                <w:w w:val="89"/>
              </w:rPr>
              <w:t>77</w:t>
            </w:r>
          </w:p>
        </w:tc>
        <w:tc>
          <w:tcPr>
            <w:tcW w:w="4920" w:type="dxa"/>
            <w:vAlign w:val="bottom"/>
          </w:tcPr>
          <w:p>
            <w:pPr>
              <w:ind w:left="160"/>
              <w:spacing w:after="0"/>
              <w:rPr>
                <w:sz w:val="20"/>
                <w:szCs w:val="20"/>
                <w:color w:val="auto"/>
              </w:rPr>
            </w:pPr>
            <w:r>
              <w:rPr>
                <w:rFonts w:ascii="Arial" w:cs="Arial" w:eastAsia="Arial" w:hAnsi="Arial"/>
                <w:sz w:val="18"/>
                <w:szCs w:val="18"/>
                <w:color w:val="auto"/>
              </w:rPr>
              <w:t>Director</w:t>
            </w:r>
          </w:p>
        </w:tc>
        <w:tc>
          <w:tcPr>
            <w:tcW w:w="1100" w:type="dxa"/>
            <w:vAlign w:val="bottom"/>
          </w:tcPr>
          <w:p>
            <w:pPr>
              <w:jc w:val="center"/>
              <w:ind w:left="90"/>
              <w:spacing w:after="0"/>
              <w:rPr>
                <w:sz w:val="20"/>
                <w:szCs w:val="20"/>
                <w:color w:val="auto"/>
              </w:rPr>
            </w:pPr>
            <w:r>
              <w:rPr>
                <w:rFonts w:ascii="Arial" w:cs="Arial" w:eastAsia="Arial" w:hAnsi="Arial"/>
                <w:sz w:val="18"/>
                <w:szCs w:val="18"/>
                <w:color w:val="auto"/>
                <w:w w:val="89"/>
              </w:rPr>
              <w:t>2003</w:t>
            </w:r>
          </w:p>
        </w:tc>
      </w:tr>
      <w:tr>
        <w:trPr>
          <w:trHeight w:val="297"/>
        </w:trPr>
        <w:tc>
          <w:tcPr>
            <w:tcW w:w="2280" w:type="dxa"/>
            <w:vAlign w:val="bottom"/>
          </w:tcPr>
          <w:p>
            <w:pPr>
              <w:ind w:left="80"/>
              <w:spacing w:after="0"/>
              <w:rPr>
                <w:sz w:val="20"/>
                <w:szCs w:val="20"/>
                <w:color w:val="auto"/>
              </w:rPr>
            </w:pPr>
            <w:r>
              <w:rPr>
                <w:rFonts w:ascii="Arial" w:cs="Arial" w:eastAsia="Arial" w:hAnsi="Arial"/>
                <w:sz w:val="18"/>
                <w:szCs w:val="18"/>
                <w:color w:val="auto"/>
              </w:rPr>
              <w:t>Mary Beth Martin</w:t>
            </w:r>
          </w:p>
        </w:tc>
        <w:tc>
          <w:tcPr>
            <w:tcW w:w="780" w:type="dxa"/>
            <w:vAlign w:val="bottom"/>
          </w:tcPr>
          <w:p>
            <w:pPr>
              <w:jc w:val="center"/>
              <w:ind w:left="70"/>
              <w:spacing w:after="0"/>
              <w:rPr>
                <w:sz w:val="20"/>
                <w:szCs w:val="20"/>
                <w:color w:val="auto"/>
              </w:rPr>
            </w:pPr>
            <w:r>
              <w:rPr>
                <w:rFonts w:ascii="Arial" w:cs="Arial" w:eastAsia="Arial" w:hAnsi="Arial"/>
                <w:sz w:val="18"/>
                <w:szCs w:val="18"/>
                <w:color w:val="auto"/>
                <w:w w:val="89"/>
              </w:rPr>
              <w:t>57</w:t>
            </w:r>
          </w:p>
        </w:tc>
        <w:tc>
          <w:tcPr>
            <w:tcW w:w="4920" w:type="dxa"/>
            <w:vAlign w:val="bottom"/>
          </w:tcPr>
          <w:p>
            <w:pPr>
              <w:ind w:left="160"/>
              <w:spacing w:after="0"/>
              <w:rPr>
                <w:sz w:val="20"/>
                <w:szCs w:val="20"/>
                <w:color w:val="auto"/>
              </w:rPr>
            </w:pPr>
            <w:r>
              <w:rPr>
                <w:rFonts w:ascii="Arial" w:cs="Arial" w:eastAsia="Arial" w:hAnsi="Arial"/>
                <w:sz w:val="18"/>
                <w:szCs w:val="18"/>
                <w:color w:val="auto"/>
              </w:rPr>
              <w:t>Director</w:t>
            </w:r>
          </w:p>
        </w:tc>
        <w:tc>
          <w:tcPr>
            <w:tcW w:w="1100" w:type="dxa"/>
            <w:vAlign w:val="bottom"/>
          </w:tcPr>
          <w:p>
            <w:pPr>
              <w:jc w:val="center"/>
              <w:ind w:left="90"/>
              <w:spacing w:after="0"/>
              <w:rPr>
                <w:sz w:val="20"/>
                <w:szCs w:val="20"/>
                <w:color w:val="auto"/>
              </w:rPr>
            </w:pPr>
            <w:r>
              <w:rPr>
                <w:rFonts w:ascii="Arial" w:cs="Arial" w:eastAsia="Arial" w:hAnsi="Arial"/>
                <w:sz w:val="18"/>
                <w:szCs w:val="18"/>
                <w:color w:val="auto"/>
                <w:w w:val="89"/>
              </w:rPr>
              <w:t>2019</w:t>
            </w:r>
          </w:p>
        </w:tc>
      </w:tr>
      <w:tr>
        <w:trPr>
          <w:trHeight w:val="297"/>
        </w:trPr>
        <w:tc>
          <w:tcPr>
            <w:tcW w:w="2280" w:type="dxa"/>
            <w:vAlign w:val="bottom"/>
          </w:tcPr>
          <w:p>
            <w:pPr>
              <w:ind w:left="80"/>
              <w:spacing w:after="0"/>
              <w:rPr>
                <w:sz w:val="20"/>
                <w:szCs w:val="20"/>
                <w:color w:val="auto"/>
              </w:rPr>
            </w:pPr>
            <w:r>
              <w:rPr>
                <w:rFonts w:ascii="Arial" w:cs="Arial" w:eastAsia="Arial" w:hAnsi="Arial"/>
                <w:sz w:val="18"/>
                <w:szCs w:val="18"/>
                <w:color w:val="auto"/>
              </w:rPr>
              <w:t>William W. Verity</w:t>
            </w:r>
          </w:p>
        </w:tc>
        <w:tc>
          <w:tcPr>
            <w:tcW w:w="780" w:type="dxa"/>
            <w:vAlign w:val="bottom"/>
          </w:tcPr>
          <w:p>
            <w:pPr>
              <w:jc w:val="center"/>
              <w:ind w:left="70"/>
              <w:spacing w:after="0"/>
              <w:rPr>
                <w:sz w:val="20"/>
                <w:szCs w:val="20"/>
                <w:color w:val="auto"/>
              </w:rPr>
            </w:pPr>
            <w:r>
              <w:rPr>
                <w:rFonts w:ascii="Arial" w:cs="Arial" w:eastAsia="Arial" w:hAnsi="Arial"/>
                <w:sz w:val="18"/>
                <w:szCs w:val="18"/>
                <w:color w:val="auto"/>
                <w:w w:val="89"/>
              </w:rPr>
              <w:t>61</w:t>
            </w:r>
          </w:p>
        </w:tc>
        <w:tc>
          <w:tcPr>
            <w:tcW w:w="4920" w:type="dxa"/>
            <w:vAlign w:val="bottom"/>
          </w:tcPr>
          <w:p>
            <w:pPr>
              <w:ind w:left="160"/>
              <w:spacing w:after="0"/>
              <w:rPr>
                <w:sz w:val="20"/>
                <w:szCs w:val="20"/>
                <w:color w:val="auto"/>
              </w:rPr>
            </w:pPr>
            <w:r>
              <w:rPr>
                <w:rFonts w:ascii="Arial" w:cs="Arial" w:eastAsia="Arial" w:hAnsi="Arial"/>
                <w:sz w:val="18"/>
                <w:szCs w:val="18"/>
                <w:color w:val="auto"/>
              </w:rPr>
              <w:t>Director</w:t>
            </w:r>
          </w:p>
        </w:tc>
        <w:tc>
          <w:tcPr>
            <w:tcW w:w="1100" w:type="dxa"/>
            <w:vAlign w:val="bottom"/>
          </w:tcPr>
          <w:p>
            <w:pPr>
              <w:jc w:val="center"/>
              <w:ind w:left="90"/>
              <w:spacing w:after="0"/>
              <w:rPr>
                <w:sz w:val="20"/>
                <w:szCs w:val="20"/>
                <w:color w:val="auto"/>
              </w:rPr>
            </w:pPr>
            <w:r>
              <w:rPr>
                <w:rFonts w:ascii="Arial" w:cs="Arial" w:eastAsia="Arial" w:hAnsi="Arial"/>
                <w:sz w:val="18"/>
                <w:szCs w:val="18"/>
                <w:color w:val="auto"/>
                <w:w w:val="89"/>
              </w:rPr>
              <w:t>2002</w:t>
            </w:r>
          </w:p>
        </w:tc>
      </w:tr>
      <w:tr>
        <w:trPr>
          <w:trHeight w:val="297"/>
        </w:trPr>
        <w:tc>
          <w:tcPr>
            <w:tcW w:w="2280" w:type="dxa"/>
            <w:vAlign w:val="bottom"/>
          </w:tcPr>
          <w:p>
            <w:pPr>
              <w:ind w:left="80"/>
              <w:spacing w:after="0"/>
              <w:rPr>
                <w:sz w:val="20"/>
                <w:szCs w:val="20"/>
                <w:color w:val="auto"/>
              </w:rPr>
            </w:pPr>
            <w:r>
              <w:rPr>
                <w:rFonts w:ascii="Arial" w:cs="Arial" w:eastAsia="Arial" w:hAnsi="Arial"/>
                <w:sz w:val="18"/>
                <w:szCs w:val="18"/>
                <w:color w:val="auto"/>
              </w:rPr>
              <w:t>John I. Von Lehman</w:t>
            </w:r>
          </w:p>
        </w:tc>
        <w:tc>
          <w:tcPr>
            <w:tcW w:w="780" w:type="dxa"/>
            <w:vAlign w:val="bottom"/>
          </w:tcPr>
          <w:p>
            <w:pPr>
              <w:jc w:val="center"/>
              <w:ind w:left="70"/>
              <w:spacing w:after="0"/>
              <w:rPr>
                <w:sz w:val="20"/>
                <w:szCs w:val="20"/>
                <w:color w:val="auto"/>
              </w:rPr>
            </w:pPr>
            <w:r>
              <w:rPr>
                <w:rFonts w:ascii="Arial" w:cs="Arial" w:eastAsia="Arial" w:hAnsi="Arial"/>
                <w:sz w:val="18"/>
                <w:szCs w:val="18"/>
                <w:color w:val="auto"/>
                <w:w w:val="89"/>
              </w:rPr>
              <w:t>67</w:t>
            </w:r>
          </w:p>
        </w:tc>
        <w:tc>
          <w:tcPr>
            <w:tcW w:w="4920" w:type="dxa"/>
            <w:vAlign w:val="bottom"/>
          </w:tcPr>
          <w:p>
            <w:pPr>
              <w:ind w:left="160"/>
              <w:spacing w:after="0"/>
              <w:rPr>
                <w:sz w:val="20"/>
                <w:szCs w:val="20"/>
                <w:color w:val="auto"/>
              </w:rPr>
            </w:pPr>
            <w:r>
              <w:rPr>
                <w:rFonts w:ascii="Arial" w:cs="Arial" w:eastAsia="Arial" w:hAnsi="Arial"/>
                <w:sz w:val="18"/>
                <w:szCs w:val="18"/>
                <w:color w:val="auto"/>
              </w:rPr>
              <w:t>Director</w:t>
            </w:r>
          </w:p>
        </w:tc>
        <w:tc>
          <w:tcPr>
            <w:tcW w:w="1100" w:type="dxa"/>
            <w:vAlign w:val="bottom"/>
          </w:tcPr>
          <w:p>
            <w:pPr>
              <w:jc w:val="center"/>
              <w:ind w:left="90"/>
              <w:spacing w:after="0"/>
              <w:rPr>
                <w:sz w:val="20"/>
                <w:szCs w:val="20"/>
                <w:color w:val="auto"/>
              </w:rPr>
            </w:pPr>
            <w:r>
              <w:rPr>
                <w:rFonts w:ascii="Arial" w:cs="Arial" w:eastAsia="Arial" w:hAnsi="Arial"/>
                <w:sz w:val="18"/>
                <w:szCs w:val="18"/>
                <w:color w:val="auto"/>
                <w:w w:val="89"/>
              </w:rPr>
              <w:t>2008</w:t>
            </w:r>
          </w:p>
        </w:tc>
      </w:tr>
      <w:tr>
        <w:trPr>
          <w:trHeight w:val="297"/>
        </w:trPr>
        <w:tc>
          <w:tcPr>
            <w:tcW w:w="2280" w:type="dxa"/>
            <w:vAlign w:val="bottom"/>
          </w:tcPr>
          <w:p>
            <w:pPr>
              <w:ind w:left="80"/>
              <w:spacing w:after="0"/>
              <w:rPr>
                <w:sz w:val="20"/>
                <w:szCs w:val="20"/>
                <w:color w:val="auto"/>
              </w:rPr>
            </w:pPr>
            <w:r>
              <w:rPr>
                <w:rFonts w:ascii="Arial" w:cs="Arial" w:eastAsia="Arial" w:hAnsi="Arial"/>
                <w:sz w:val="18"/>
                <w:szCs w:val="18"/>
                <w:color w:val="auto"/>
              </w:rPr>
              <w:t>Michelle A. Gillis</w:t>
            </w:r>
          </w:p>
        </w:tc>
        <w:tc>
          <w:tcPr>
            <w:tcW w:w="780" w:type="dxa"/>
            <w:vAlign w:val="bottom"/>
          </w:tcPr>
          <w:p>
            <w:pPr>
              <w:jc w:val="center"/>
              <w:ind w:left="70"/>
              <w:spacing w:after="0"/>
              <w:rPr>
                <w:sz w:val="20"/>
                <w:szCs w:val="20"/>
                <w:color w:val="auto"/>
              </w:rPr>
            </w:pPr>
            <w:r>
              <w:rPr>
                <w:rFonts w:ascii="Arial" w:cs="Arial" w:eastAsia="Arial" w:hAnsi="Arial"/>
                <w:sz w:val="18"/>
                <w:szCs w:val="18"/>
                <w:color w:val="auto"/>
                <w:w w:val="89"/>
              </w:rPr>
              <w:t>51</w:t>
            </w:r>
          </w:p>
        </w:tc>
        <w:tc>
          <w:tcPr>
            <w:tcW w:w="4920" w:type="dxa"/>
            <w:vAlign w:val="bottom"/>
          </w:tcPr>
          <w:p>
            <w:pPr>
              <w:ind w:left="160"/>
              <w:spacing w:after="0"/>
              <w:rPr>
                <w:sz w:val="20"/>
                <w:szCs w:val="20"/>
                <w:color w:val="auto"/>
              </w:rPr>
            </w:pPr>
            <w:r>
              <w:rPr>
                <w:rFonts w:ascii="Arial" w:cs="Arial" w:eastAsia="Arial" w:hAnsi="Arial"/>
                <w:sz w:val="18"/>
                <w:szCs w:val="18"/>
                <w:color w:val="auto"/>
              </w:rPr>
              <w:t>Senior Vice President and Chief Administrative Officer</w:t>
            </w:r>
          </w:p>
        </w:tc>
        <w:tc>
          <w:tcPr>
            <w:tcW w:w="1100" w:type="dxa"/>
            <w:vAlign w:val="bottom"/>
          </w:tcPr>
          <w:p>
            <w:pPr>
              <w:jc w:val="center"/>
              <w:ind w:left="90"/>
              <w:spacing w:after="0"/>
              <w:rPr>
                <w:sz w:val="20"/>
                <w:szCs w:val="20"/>
                <w:color w:val="auto"/>
              </w:rPr>
            </w:pPr>
            <w:r>
              <w:rPr>
                <w:rFonts w:ascii="Arial" w:cs="Arial" w:eastAsia="Arial" w:hAnsi="Arial"/>
                <w:sz w:val="18"/>
                <w:szCs w:val="18"/>
                <w:color w:val="auto"/>
                <w:w w:val="89"/>
              </w:rPr>
              <w:t>2013</w:t>
            </w:r>
          </w:p>
        </w:tc>
      </w:tr>
      <w:tr>
        <w:trPr>
          <w:trHeight w:val="297"/>
        </w:trPr>
        <w:tc>
          <w:tcPr>
            <w:tcW w:w="2280" w:type="dxa"/>
            <w:vAlign w:val="bottom"/>
          </w:tcPr>
          <w:p>
            <w:pPr>
              <w:ind w:left="80"/>
              <w:spacing w:after="0"/>
              <w:rPr>
                <w:sz w:val="20"/>
                <w:szCs w:val="20"/>
                <w:color w:val="auto"/>
              </w:rPr>
            </w:pPr>
            <w:r>
              <w:rPr>
                <w:rFonts w:ascii="Arial" w:cs="Arial" w:eastAsia="Arial" w:hAnsi="Arial"/>
                <w:sz w:val="18"/>
                <w:szCs w:val="18"/>
                <w:color w:val="auto"/>
              </w:rPr>
              <w:t>Vito C. Peraino</w:t>
            </w:r>
          </w:p>
        </w:tc>
        <w:tc>
          <w:tcPr>
            <w:tcW w:w="780" w:type="dxa"/>
            <w:vAlign w:val="bottom"/>
          </w:tcPr>
          <w:p>
            <w:pPr>
              <w:jc w:val="center"/>
              <w:ind w:left="70"/>
              <w:spacing w:after="0"/>
              <w:rPr>
                <w:sz w:val="20"/>
                <w:szCs w:val="20"/>
                <w:color w:val="auto"/>
              </w:rPr>
            </w:pPr>
            <w:r>
              <w:rPr>
                <w:rFonts w:ascii="Arial" w:cs="Arial" w:eastAsia="Arial" w:hAnsi="Arial"/>
                <w:sz w:val="18"/>
                <w:szCs w:val="18"/>
                <w:color w:val="auto"/>
                <w:w w:val="89"/>
              </w:rPr>
              <w:t>64</w:t>
            </w:r>
          </w:p>
        </w:tc>
        <w:tc>
          <w:tcPr>
            <w:tcW w:w="4920" w:type="dxa"/>
            <w:vAlign w:val="bottom"/>
          </w:tcPr>
          <w:p>
            <w:pPr>
              <w:ind w:left="160"/>
              <w:spacing w:after="0"/>
              <w:rPr>
                <w:sz w:val="20"/>
                <w:szCs w:val="20"/>
                <w:color w:val="auto"/>
              </w:rPr>
            </w:pPr>
            <w:r>
              <w:rPr>
                <w:rFonts w:ascii="Arial" w:cs="Arial" w:eastAsia="Arial" w:hAnsi="Arial"/>
                <w:sz w:val="18"/>
                <w:szCs w:val="18"/>
                <w:color w:val="auto"/>
              </w:rPr>
              <w:t>Senior Vice President and General Counsel</w:t>
            </w:r>
          </w:p>
        </w:tc>
        <w:tc>
          <w:tcPr>
            <w:tcW w:w="1100" w:type="dxa"/>
            <w:vAlign w:val="bottom"/>
          </w:tcPr>
          <w:p>
            <w:pPr>
              <w:jc w:val="center"/>
              <w:ind w:left="90"/>
              <w:spacing w:after="0"/>
              <w:rPr>
                <w:sz w:val="20"/>
                <w:szCs w:val="20"/>
                <w:color w:val="auto"/>
              </w:rPr>
            </w:pPr>
            <w:r>
              <w:rPr>
                <w:rFonts w:ascii="Arial" w:cs="Arial" w:eastAsia="Arial" w:hAnsi="Arial"/>
                <w:sz w:val="18"/>
                <w:szCs w:val="18"/>
                <w:color w:val="auto"/>
                <w:w w:val="89"/>
              </w:rPr>
              <w:t>2012</w:t>
            </w:r>
          </w:p>
        </w:tc>
      </w:tr>
    </w:tbl>
    <w:p>
      <w:pPr>
        <w:spacing w:after="0" w:line="103" w:lineRule="exact"/>
        <w:rPr>
          <w:sz w:val="20"/>
          <w:szCs w:val="20"/>
          <w:color w:val="auto"/>
        </w:rPr>
      </w:pPr>
    </w:p>
    <w:p>
      <w:pPr>
        <w:sectPr>
          <w:pgSz w:w="11900" w:h="16838" w:orient="portrait"/>
          <w:cols w:equalWidth="0" w:num="1">
            <w:col w:w="11140"/>
          </w:cols>
          <w:pgMar w:left="320" w:top="265" w:right="439" w:bottom="1440" w:gutter="0" w:footer="0" w:header="0"/>
        </w:sectPr>
      </w:pPr>
    </w:p>
    <w:p>
      <w:pPr>
        <w:ind w:left="1080"/>
        <w:spacing w:after="0" w:line="284" w:lineRule="auto"/>
        <w:rPr>
          <w:sz w:val="20"/>
          <w:szCs w:val="20"/>
          <w:color w:val="auto"/>
        </w:rPr>
      </w:pPr>
      <w:r>
        <w:rPr>
          <w:rFonts w:ascii="Arial" w:cs="Arial" w:eastAsia="Arial" w:hAnsi="Arial"/>
          <w:sz w:val="16"/>
          <w:szCs w:val="16"/>
          <w:b w:val="1"/>
          <w:bCs w:val="1"/>
          <w:color w:val="auto"/>
        </w:rPr>
        <w:t xml:space="preserve">Michelle A. Gillis </w:t>
      </w:r>
      <w:r>
        <w:rPr>
          <w:rFonts w:ascii="Arial" w:cs="Arial" w:eastAsia="Arial" w:hAnsi="Arial"/>
          <w:sz w:val="16"/>
          <w:szCs w:val="16"/>
          <w:color w:val="auto"/>
        </w:rPr>
        <w:t>was elected Senior Vice President and</w:t>
      </w:r>
      <w:r>
        <w:rPr>
          <w:rFonts w:ascii="Arial" w:cs="Arial" w:eastAsia="Arial" w:hAnsi="Arial"/>
          <w:sz w:val="16"/>
          <w:szCs w:val="16"/>
          <w:b w:val="1"/>
          <w:bCs w:val="1"/>
          <w:color w:val="auto"/>
        </w:rPr>
        <w:t xml:space="preserve"> </w:t>
      </w:r>
      <w:r>
        <w:rPr>
          <w:rFonts w:ascii="Arial" w:cs="Arial" w:eastAsia="Arial" w:hAnsi="Arial"/>
          <w:sz w:val="16"/>
          <w:szCs w:val="16"/>
          <w:color w:val="auto"/>
        </w:rPr>
        <w:t>Chief Administrative Officer of the Company in March 2013 after serving as Vice President of the Company since 2011. In her current roles, Ms. Gillis has responsibilities for Human Resources, Corporate Communications, Real Estate and various shared service areas. She also serves on the Board of Directors of Great American Insurance Company. Since joining the Company in 2004 through 2011,</w:t>
      </w:r>
    </w:p>
    <w:p>
      <w:pPr>
        <w:spacing w:after="0" w:line="5" w:lineRule="exact"/>
        <w:rPr>
          <w:sz w:val="20"/>
          <w:szCs w:val="20"/>
          <w:color w:val="auto"/>
        </w:rPr>
      </w:pPr>
    </w:p>
    <w:p>
      <w:pPr>
        <w:ind w:left="1080" w:right="80"/>
        <w:spacing w:after="0" w:line="268" w:lineRule="auto"/>
        <w:rPr>
          <w:sz w:val="20"/>
          <w:szCs w:val="20"/>
          <w:color w:val="auto"/>
        </w:rPr>
      </w:pPr>
      <w:r>
        <w:rPr>
          <w:rFonts w:ascii="Arial" w:cs="Arial" w:eastAsia="Arial" w:hAnsi="Arial"/>
          <w:sz w:val="17"/>
          <w:szCs w:val="17"/>
          <w:color w:val="auto"/>
        </w:rPr>
        <w:t>Ms. Gillis has held various senior human resource management positions with the Company, most recently as Vice President of Great American Insurance Company. Previously, Ms. Gillis spent several years in senior human resources roles in the financial services sector. Ms. Gillis holds an active accreditation as Senior Professional in Human Resources (SPHR) from the Human Resources Certification Institute.</w:t>
      </w:r>
    </w:p>
    <w:p>
      <w:pPr>
        <w:spacing w:after="0" w:line="20" w:lineRule="exact"/>
        <w:rPr>
          <w:sz w:val="20"/>
          <w:szCs w:val="20"/>
          <w:color w:val="auto"/>
        </w:rPr>
      </w:pPr>
      <w:r>
        <w:rPr>
          <w:sz w:val="20"/>
          <w:szCs w:val="20"/>
          <w:color w:val="auto"/>
        </w:rPr>
        <w:br w:type="column"/>
      </w:r>
    </w:p>
    <w:p>
      <w:pPr>
        <w:ind w:right="1320"/>
        <w:spacing w:after="0" w:line="293" w:lineRule="auto"/>
        <w:rPr>
          <w:sz w:val="20"/>
          <w:szCs w:val="20"/>
          <w:color w:val="auto"/>
        </w:rPr>
      </w:pPr>
      <w:r>
        <w:rPr>
          <w:rFonts w:ascii="Arial" w:cs="Arial" w:eastAsia="Arial" w:hAnsi="Arial"/>
          <w:sz w:val="16"/>
          <w:szCs w:val="16"/>
          <w:b w:val="1"/>
          <w:bCs w:val="1"/>
          <w:color w:val="auto"/>
        </w:rPr>
        <w:t xml:space="preserve">Vito C. Peraino </w:t>
      </w:r>
      <w:r>
        <w:rPr>
          <w:rFonts w:ascii="Arial" w:cs="Arial" w:eastAsia="Arial" w:hAnsi="Arial"/>
          <w:sz w:val="16"/>
          <w:szCs w:val="16"/>
          <w:color w:val="auto"/>
        </w:rPr>
        <w:t>was elected Senior Vice President and</w:t>
      </w:r>
      <w:r>
        <w:rPr>
          <w:rFonts w:ascii="Arial" w:cs="Arial" w:eastAsia="Arial" w:hAnsi="Arial"/>
          <w:sz w:val="16"/>
          <w:szCs w:val="16"/>
          <w:b w:val="1"/>
          <w:bCs w:val="1"/>
          <w:color w:val="auto"/>
        </w:rPr>
        <w:t xml:space="preserve"> </w:t>
      </w:r>
      <w:r>
        <w:rPr>
          <w:rFonts w:ascii="Arial" w:cs="Arial" w:eastAsia="Arial" w:hAnsi="Arial"/>
          <w:sz w:val="16"/>
          <w:szCs w:val="16"/>
          <w:color w:val="auto"/>
        </w:rPr>
        <w:t>General Counsel of the Company in March 2012.</w:t>
      </w:r>
    </w:p>
    <w:p>
      <w:pPr>
        <w:spacing w:after="0" w:line="1" w:lineRule="exact"/>
        <w:rPr>
          <w:sz w:val="20"/>
          <w:szCs w:val="20"/>
          <w:color w:val="auto"/>
        </w:rPr>
      </w:pPr>
    </w:p>
    <w:p>
      <w:pPr>
        <w:ind w:right="1000"/>
        <w:spacing w:after="0" w:line="281" w:lineRule="auto"/>
        <w:rPr>
          <w:sz w:val="20"/>
          <w:szCs w:val="20"/>
          <w:color w:val="auto"/>
        </w:rPr>
      </w:pPr>
      <w:r>
        <w:rPr>
          <w:rFonts w:ascii="Arial" w:cs="Arial" w:eastAsia="Arial" w:hAnsi="Arial"/>
          <w:sz w:val="16"/>
          <w:szCs w:val="16"/>
          <w:color w:val="auto"/>
        </w:rPr>
        <w:t>He previously served as Senior Vice President of Great American Insurance Company since 2002 and Assistant General Counsel of Great American Insurance Company since 2004. Through September 2014, he also served on the Board of Directors of the Company’s subsidiary, National Interstate Corporation. Since joining Great American Insurance Company in 1999, Mr. Peraino has held various executive claims management positions. Previously,</w:t>
      </w:r>
    </w:p>
    <w:p>
      <w:pPr>
        <w:spacing w:after="0" w:line="5" w:lineRule="exact"/>
        <w:rPr>
          <w:sz w:val="20"/>
          <w:szCs w:val="20"/>
          <w:color w:val="auto"/>
        </w:rPr>
      </w:pPr>
    </w:p>
    <w:p>
      <w:pPr>
        <w:ind w:right="1120"/>
        <w:spacing w:after="0" w:line="255" w:lineRule="auto"/>
        <w:rPr>
          <w:sz w:val="20"/>
          <w:szCs w:val="20"/>
          <w:color w:val="auto"/>
        </w:rPr>
      </w:pPr>
      <w:r>
        <w:rPr>
          <w:rFonts w:ascii="Arial" w:cs="Arial" w:eastAsia="Arial" w:hAnsi="Arial"/>
          <w:sz w:val="18"/>
          <w:szCs w:val="18"/>
          <w:color w:val="auto"/>
        </w:rPr>
        <w:t>Mr. Peraino spent several years in private practice and has represented various insurance industry entities as an attorney since 1981.</w:t>
      </w:r>
    </w:p>
    <w:p>
      <w:pPr>
        <w:spacing w:after="0" w:line="82" w:lineRule="exact"/>
        <w:rPr>
          <w:sz w:val="20"/>
          <w:szCs w:val="20"/>
          <w:color w:val="auto"/>
        </w:rPr>
      </w:pPr>
    </w:p>
    <w:p>
      <w:pPr>
        <w:ind w:right="1480"/>
        <w:spacing w:after="0" w:line="311" w:lineRule="auto"/>
        <w:rPr>
          <w:rFonts w:ascii="Arial" w:cs="Arial" w:eastAsia="Arial" w:hAnsi="Arial"/>
          <w:sz w:val="16"/>
          <w:szCs w:val="16"/>
          <w:color w:val="auto"/>
        </w:rPr>
      </w:pPr>
      <w:r>
        <w:rPr>
          <w:rFonts w:ascii="Arial" w:cs="Arial" w:eastAsia="Arial" w:hAnsi="Arial"/>
          <w:sz w:val="16"/>
          <w:szCs w:val="16"/>
          <w:color w:val="auto"/>
        </w:rPr>
        <w:t xml:space="preserve">Information regarding all nominees for director and directors is set forth beginning on page </w:t>
      </w:r>
      <w:hyperlink w:anchor="page12">
        <w:r>
          <w:rPr>
            <w:rFonts w:ascii="Arial" w:cs="Arial" w:eastAsia="Arial" w:hAnsi="Arial"/>
            <w:sz w:val="16"/>
            <w:szCs w:val="16"/>
            <w:u w:val="single" w:color="auto"/>
            <w:color w:val="0000EE"/>
          </w:rPr>
          <w:t>5</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under “Proposals — Proposal No. 1 — Elect 12 Directors.”</w:t>
      </w:r>
    </w:p>
    <w:p>
      <w:pPr>
        <w:spacing w:after="0" w:line="200" w:lineRule="exact"/>
        <w:rPr>
          <w:sz w:val="20"/>
          <w:szCs w:val="20"/>
          <w:color w:val="auto"/>
        </w:rPr>
      </w:pPr>
    </w:p>
    <w:p>
      <w:pPr>
        <w:sectPr>
          <w:pgSz w:w="11900" w:h="16838" w:orient="portrait"/>
          <w:cols w:equalWidth="0" w:num="2">
            <w:col w:w="5400" w:space="440"/>
            <w:col w:w="5300"/>
          </w:cols>
          <w:pgMar w:left="320" w:top="265" w:right="439" w:bottom="1440" w:gutter="0" w:footer="0" w:header="0"/>
          <w:type w:val="continuous"/>
        </w:sectPr>
      </w:pPr>
    </w:p>
    <w:p>
      <w:pPr>
        <w:spacing w:after="0" w:line="61" w:lineRule="exact"/>
        <w:rPr>
          <w:sz w:val="20"/>
          <w:szCs w:val="20"/>
          <w:color w:val="auto"/>
        </w:rPr>
      </w:pPr>
    </w:p>
    <w:tbl>
      <w:tblPr>
        <w:tblLayout w:type="fixed"/>
        <w:tblInd w:w="120" w:type="dxa"/>
        <w:tblCellMar>
          <w:top w:w="0" w:type="dxa"/>
          <w:left w:w="0" w:type="dxa"/>
          <w:bottom w:w="0" w:type="dxa"/>
          <w:right w:w="0" w:type="dxa"/>
        </w:tblCellMar>
      </w:tblPr>
      <w:tr>
        <w:trPr>
          <w:trHeight w:val="206"/>
        </w:trPr>
        <w:tc>
          <w:tcPr>
            <w:tcW w:w="6940" w:type="dxa"/>
            <w:vAlign w:val="bottom"/>
          </w:tcPr>
          <w:p>
            <w:pPr>
              <w:ind w:left="1040"/>
              <w:spacing w:after="0"/>
              <w:rPr>
                <w:sz w:val="20"/>
                <w:szCs w:val="20"/>
                <w:color w:val="auto"/>
              </w:rPr>
            </w:pPr>
            <w:r>
              <w:rPr>
                <w:rFonts w:ascii="Arial" w:cs="Arial" w:eastAsia="Arial" w:hAnsi="Arial"/>
                <w:sz w:val="16"/>
                <w:szCs w:val="16"/>
                <w:color w:val="auto"/>
              </w:rPr>
              <w:t>2020 Proxy Statement | Company Information</w:t>
            </w:r>
          </w:p>
        </w:tc>
        <w:tc>
          <w:tcPr>
            <w:tcW w:w="4080" w:type="dxa"/>
            <w:vAlign w:val="bottom"/>
          </w:tcPr>
          <w:p>
            <w:pPr>
              <w:jc w:val="right"/>
              <w:ind w:right="919"/>
              <w:spacing w:after="0"/>
              <w:rPr>
                <w:sz w:val="20"/>
                <w:szCs w:val="20"/>
                <w:color w:val="auto"/>
              </w:rPr>
            </w:pPr>
            <w:r>
              <w:rPr>
                <w:rFonts w:ascii="Arial" w:cs="Arial" w:eastAsia="Arial" w:hAnsi="Arial"/>
                <w:sz w:val="16"/>
                <w:szCs w:val="16"/>
                <w:color w:val="auto"/>
              </w:rPr>
              <w:t>12</w:t>
            </w:r>
          </w:p>
        </w:tc>
      </w:tr>
      <w:tr>
        <w:trPr>
          <w:trHeight w:val="202"/>
        </w:trPr>
        <w:tc>
          <w:tcPr>
            <w:tcW w:w="6940" w:type="dxa"/>
            <w:vAlign w:val="bottom"/>
            <w:tcBorders>
              <w:bottom w:val="single" w:sz="8" w:color="auto"/>
            </w:tcBorders>
          </w:tcPr>
          <w:p>
            <w:pPr>
              <w:spacing w:after="0"/>
              <w:rPr>
                <w:sz w:val="17"/>
                <w:szCs w:val="17"/>
                <w:color w:val="auto"/>
              </w:rPr>
            </w:pPr>
          </w:p>
        </w:tc>
        <w:tc>
          <w:tcPr>
            <w:tcW w:w="4080" w:type="dxa"/>
            <w:vAlign w:val="bottom"/>
            <w:tcBorders>
              <w:bottom w:val="single" w:sz="8" w:color="auto"/>
            </w:tcBorders>
          </w:tcPr>
          <w:p>
            <w:pPr>
              <w:spacing w:after="0"/>
              <w:rPr>
                <w:sz w:val="17"/>
                <w:szCs w:val="17"/>
                <w:color w:val="auto"/>
              </w:rPr>
            </w:pPr>
          </w:p>
        </w:tc>
      </w:tr>
    </w:tbl>
    <w:p>
      <w:pPr>
        <w:sectPr>
          <w:pgSz w:w="11900" w:h="16838" w:orient="portrait"/>
          <w:cols w:equalWidth="0" w:num="1">
            <w:col w:w="11140"/>
          </w:cols>
          <w:pgMar w:left="320" w:top="265" w:right="439" w:bottom="1440" w:gutter="0" w:footer="0" w:header="0"/>
          <w:type w:val="continuous"/>
        </w:sectPr>
      </w:pPr>
    </w:p>
    <w:bookmarkStart w:id="19" w:name="page20"/>
    <w:bookmarkEnd w:id="19"/>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6515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1080"/>
        <w:spacing w:after="0"/>
        <w:rPr>
          <w:sz w:val="20"/>
          <w:szCs w:val="20"/>
          <w:color w:val="auto"/>
        </w:rPr>
      </w:pPr>
      <w:r>
        <w:rPr>
          <w:rFonts w:ascii="Arial" w:cs="Arial" w:eastAsia="Arial" w:hAnsi="Arial"/>
          <w:sz w:val="20"/>
          <w:szCs w:val="20"/>
          <w:b w:val="1"/>
          <w:bCs w:val="1"/>
          <w:color w:val="3F3F3F"/>
        </w:rPr>
        <w:t>Security Ownership of Certain Beneficial Owners and Management</w:t>
      </w:r>
    </w:p>
    <w:p>
      <w:pPr>
        <w:spacing w:after="0" w:line="116" w:lineRule="exact"/>
        <w:rPr>
          <w:sz w:val="20"/>
          <w:szCs w:val="20"/>
          <w:color w:val="auto"/>
        </w:rPr>
      </w:pPr>
    </w:p>
    <w:p>
      <w:pPr>
        <w:ind w:left="1080" w:right="40"/>
        <w:spacing w:after="0" w:line="255" w:lineRule="auto"/>
        <w:rPr>
          <w:sz w:val="20"/>
          <w:szCs w:val="20"/>
          <w:color w:val="auto"/>
        </w:rPr>
      </w:pPr>
      <w:r>
        <w:rPr>
          <w:rFonts w:ascii="Arial" w:cs="Arial" w:eastAsia="Arial" w:hAnsi="Arial"/>
          <w:sz w:val="18"/>
          <w:szCs w:val="18"/>
          <w:color w:val="auto"/>
        </w:rPr>
        <w:t>The following table sets forth certain information regarding beneficial ownership of common shares by each of the Company’s directors and the named executive officers and by all directors and executive officers of the Company as a group. The table also includes those who are known by the Company to own beneficially more than 5% of the issued and outstanding common shares. Except as otherwise provided below, information in the table is as of March 27, 2020 and, to the Company’s knowledge all common shares are beneficially owned, and investment and voting power is held solely by the persons named as owners.</w:t>
      </w:r>
    </w:p>
    <w:p>
      <w:pPr>
        <w:spacing w:after="0" w:line="173" w:lineRule="exact"/>
        <w:rPr>
          <w:sz w:val="20"/>
          <w:szCs w:val="20"/>
          <w:color w:val="auto"/>
        </w:rPr>
      </w:pPr>
    </w:p>
    <w:tbl>
      <w:tblPr>
        <w:tblLayout w:type="fixed"/>
        <w:tblInd w:w="1090" w:type="dxa"/>
        <w:tblCellMar>
          <w:top w:w="0" w:type="dxa"/>
          <w:left w:w="0" w:type="dxa"/>
          <w:bottom w:w="0" w:type="dxa"/>
          <w:right w:w="0" w:type="dxa"/>
        </w:tblCellMar>
      </w:tblPr>
      <w:tr>
        <w:trPr>
          <w:trHeight w:val="310"/>
        </w:trPr>
        <w:tc>
          <w:tcPr>
            <w:tcW w:w="5260" w:type="dxa"/>
            <w:vAlign w:val="bottom"/>
            <w:tcBorders>
              <w:top w:val="single" w:sz="8" w:color="auto"/>
              <w:left w:val="single" w:sz="8" w:color="auto"/>
              <w:right w:val="single" w:sz="8" w:color="auto"/>
            </w:tcBorders>
            <w:shd w:val="clear" w:color="auto" w:fill="BFBFBF"/>
          </w:tcPr>
          <w:p>
            <w:pPr>
              <w:spacing w:after="0"/>
              <w:rPr>
                <w:sz w:val="24"/>
                <w:szCs w:val="24"/>
                <w:color w:val="auto"/>
              </w:rPr>
            </w:pPr>
          </w:p>
        </w:tc>
        <w:tc>
          <w:tcPr>
            <w:tcW w:w="1980" w:type="dxa"/>
            <w:vAlign w:val="bottom"/>
            <w:tcBorders>
              <w:top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16"/>
                <w:szCs w:val="16"/>
                <w:b w:val="1"/>
                <w:bCs w:val="1"/>
                <w:color w:val="auto"/>
                <w:w w:val="89"/>
              </w:rPr>
              <w:t>Common Shares</w:t>
            </w:r>
          </w:p>
        </w:tc>
        <w:tc>
          <w:tcPr>
            <w:tcW w:w="1840" w:type="dxa"/>
            <w:vAlign w:val="bottom"/>
            <w:tcBorders>
              <w:top w:val="single" w:sz="8" w:color="auto"/>
              <w:right w:val="single" w:sz="8" w:color="auto"/>
            </w:tcBorders>
            <w:shd w:val="clear" w:color="auto" w:fill="BFBFBF"/>
          </w:tcPr>
          <w:p>
            <w:pPr>
              <w:spacing w:after="0"/>
              <w:rPr>
                <w:sz w:val="24"/>
                <w:szCs w:val="24"/>
                <w:color w:val="auto"/>
              </w:rPr>
            </w:pPr>
          </w:p>
        </w:tc>
      </w:tr>
      <w:tr>
        <w:trPr>
          <w:trHeight w:val="203"/>
        </w:trPr>
        <w:tc>
          <w:tcPr>
            <w:tcW w:w="5260" w:type="dxa"/>
            <w:vAlign w:val="bottom"/>
            <w:tcBorders>
              <w:left w:val="single" w:sz="8" w:color="auto"/>
              <w:right w:val="single" w:sz="8" w:color="auto"/>
            </w:tcBorders>
            <w:shd w:val="clear" w:color="auto" w:fill="BFBFBF"/>
          </w:tcPr>
          <w:p>
            <w:pPr>
              <w:spacing w:after="0"/>
              <w:rPr>
                <w:sz w:val="17"/>
                <w:szCs w:val="17"/>
                <w:color w:val="auto"/>
              </w:rPr>
            </w:pPr>
          </w:p>
        </w:tc>
        <w:tc>
          <w:tcPr>
            <w:tcW w:w="1980" w:type="dxa"/>
            <w:vAlign w:val="bottom"/>
            <w:tcBorders>
              <w:right w:val="single" w:sz="8" w:color="auto"/>
            </w:tcBorders>
            <w:shd w:val="clear" w:color="auto" w:fill="BFBFBF"/>
          </w:tcPr>
          <w:p>
            <w:pPr>
              <w:jc w:val="center"/>
              <w:spacing w:after="0"/>
              <w:rPr>
                <w:sz w:val="20"/>
                <w:szCs w:val="20"/>
                <w:color w:val="auto"/>
              </w:rPr>
            </w:pPr>
            <w:r>
              <w:rPr>
                <w:rFonts w:ascii="Arial" w:cs="Arial" w:eastAsia="Arial" w:hAnsi="Arial"/>
                <w:sz w:val="16"/>
                <w:szCs w:val="16"/>
                <w:b w:val="1"/>
                <w:bCs w:val="1"/>
                <w:color w:val="auto"/>
                <w:w w:val="91"/>
              </w:rPr>
              <w:t>Beneficially Owned</w:t>
            </w:r>
          </w:p>
        </w:tc>
        <w:tc>
          <w:tcPr>
            <w:tcW w:w="1840" w:type="dxa"/>
            <w:vAlign w:val="bottom"/>
            <w:tcBorders>
              <w:right w:val="single" w:sz="8" w:color="auto"/>
            </w:tcBorders>
            <w:shd w:val="clear" w:color="auto" w:fill="BFBFBF"/>
          </w:tcPr>
          <w:p>
            <w:pPr>
              <w:jc w:val="right"/>
              <w:ind w:right="239"/>
              <w:spacing w:after="0"/>
              <w:rPr>
                <w:sz w:val="20"/>
                <w:szCs w:val="20"/>
                <w:color w:val="auto"/>
              </w:rPr>
            </w:pPr>
            <w:r>
              <w:rPr>
                <w:rFonts w:ascii="Arial" w:cs="Arial" w:eastAsia="Arial" w:hAnsi="Arial"/>
                <w:sz w:val="16"/>
                <w:szCs w:val="16"/>
                <w:b w:val="1"/>
                <w:bCs w:val="1"/>
                <w:color w:val="auto"/>
              </w:rPr>
              <w:t>Percent of Class</w:t>
            </w:r>
          </w:p>
        </w:tc>
      </w:tr>
      <w:tr>
        <w:trPr>
          <w:trHeight w:val="210"/>
        </w:trPr>
        <w:tc>
          <w:tcPr>
            <w:tcW w:w="5260" w:type="dxa"/>
            <w:vAlign w:val="bottom"/>
            <w:tcBorders>
              <w:left w:val="single" w:sz="8" w:color="auto"/>
              <w:right w:val="single" w:sz="8" w:color="auto"/>
            </w:tcBorders>
            <w:shd w:val="clear" w:color="auto" w:fill="BFBFBF"/>
          </w:tcPr>
          <w:p>
            <w:pPr>
              <w:ind w:left="80"/>
              <w:spacing w:after="0"/>
              <w:rPr>
                <w:sz w:val="20"/>
                <w:szCs w:val="20"/>
                <w:color w:val="auto"/>
              </w:rPr>
            </w:pPr>
            <w:r>
              <w:rPr>
                <w:rFonts w:ascii="Arial" w:cs="Arial" w:eastAsia="Arial" w:hAnsi="Arial"/>
                <w:sz w:val="16"/>
                <w:szCs w:val="16"/>
                <w:b w:val="1"/>
                <w:bCs w:val="1"/>
                <w:color w:val="auto"/>
              </w:rPr>
              <w:t>Name of Beneficial Owner/Group</w:t>
            </w:r>
          </w:p>
        </w:tc>
        <w:tc>
          <w:tcPr>
            <w:tcW w:w="1980" w:type="dxa"/>
            <w:vAlign w:val="bottom"/>
            <w:tcBorders>
              <w:right w:val="single" w:sz="8" w:color="auto"/>
            </w:tcBorders>
            <w:shd w:val="clear" w:color="auto" w:fill="BFBFBF"/>
          </w:tcPr>
          <w:p>
            <w:pPr>
              <w:jc w:val="center"/>
              <w:spacing w:after="0"/>
              <w:rPr>
                <w:sz w:val="20"/>
                <w:szCs w:val="20"/>
                <w:color w:val="auto"/>
              </w:rPr>
            </w:pPr>
            <w:r>
              <w:rPr>
                <w:rFonts w:ascii="Arial" w:cs="Arial" w:eastAsia="Arial" w:hAnsi="Arial"/>
                <w:sz w:val="16"/>
                <w:szCs w:val="16"/>
                <w:b w:val="1"/>
                <w:bCs w:val="1"/>
                <w:color w:val="auto"/>
                <w:w w:val="91"/>
              </w:rPr>
              <w:t>(1)</w:t>
            </w:r>
          </w:p>
        </w:tc>
        <w:tc>
          <w:tcPr>
            <w:tcW w:w="1840" w:type="dxa"/>
            <w:vAlign w:val="bottom"/>
            <w:tcBorders>
              <w:right w:val="single" w:sz="8" w:color="auto"/>
            </w:tcBorders>
            <w:shd w:val="clear" w:color="auto" w:fill="BFBFBF"/>
          </w:tcPr>
          <w:p>
            <w:pPr>
              <w:jc w:val="right"/>
              <w:spacing w:after="0"/>
              <w:rPr>
                <w:sz w:val="20"/>
                <w:szCs w:val="20"/>
                <w:color w:val="auto"/>
              </w:rPr>
            </w:pPr>
            <w:r>
              <w:rPr>
                <w:rFonts w:ascii="Arial" w:cs="Arial" w:eastAsia="Arial" w:hAnsi="Arial"/>
                <w:sz w:val="16"/>
                <w:szCs w:val="16"/>
                <w:b w:val="1"/>
                <w:bCs w:val="1"/>
                <w:color w:val="auto"/>
              </w:rPr>
              <w:t>(* means less than 1%)</w:t>
            </w:r>
          </w:p>
        </w:tc>
      </w:tr>
      <w:tr>
        <w:trPr>
          <w:trHeight w:val="100"/>
        </w:trPr>
        <w:tc>
          <w:tcPr>
            <w:tcW w:w="5260" w:type="dxa"/>
            <w:vAlign w:val="bottom"/>
            <w:tcBorders>
              <w:left w:val="single" w:sz="8" w:color="auto"/>
              <w:bottom w:val="single" w:sz="8" w:color="auto"/>
              <w:right w:val="single" w:sz="8" w:color="auto"/>
            </w:tcBorders>
            <w:shd w:val="clear" w:color="auto" w:fill="BFBFBF"/>
          </w:tcPr>
          <w:p>
            <w:pPr>
              <w:spacing w:after="0"/>
              <w:rPr>
                <w:sz w:val="8"/>
                <w:szCs w:val="8"/>
                <w:color w:val="auto"/>
              </w:rPr>
            </w:pPr>
          </w:p>
        </w:tc>
        <w:tc>
          <w:tcPr>
            <w:tcW w:w="1980" w:type="dxa"/>
            <w:vAlign w:val="bottom"/>
            <w:tcBorders>
              <w:bottom w:val="single" w:sz="8" w:color="auto"/>
              <w:right w:val="single" w:sz="8" w:color="auto"/>
            </w:tcBorders>
            <w:shd w:val="clear" w:color="auto" w:fill="BFBFBF"/>
          </w:tcPr>
          <w:p>
            <w:pPr>
              <w:spacing w:after="0"/>
              <w:rPr>
                <w:sz w:val="8"/>
                <w:szCs w:val="8"/>
                <w:color w:val="auto"/>
              </w:rPr>
            </w:pPr>
          </w:p>
        </w:tc>
        <w:tc>
          <w:tcPr>
            <w:tcW w:w="1840" w:type="dxa"/>
            <w:vAlign w:val="bottom"/>
            <w:tcBorders>
              <w:bottom w:val="single" w:sz="8" w:color="auto"/>
              <w:right w:val="single" w:sz="8" w:color="auto"/>
            </w:tcBorders>
            <w:shd w:val="clear" w:color="auto" w:fill="BFBFBF"/>
          </w:tcPr>
          <w:p>
            <w:pPr>
              <w:spacing w:after="0"/>
              <w:rPr>
                <w:sz w:val="8"/>
                <w:szCs w:val="8"/>
                <w:color w:val="auto"/>
              </w:rPr>
            </w:pPr>
          </w:p>
        </w:tc>
      </w:tr>
      <w:tr>
        <w:trPr>
          <w:trHeight w:val="285"/>
        </w:trPr>
        <w:tc>
          <w:tcPr>
            <w:tcW w:w="5260" w:type="dxa"/>
            <w:vAlign w:val="bottom"/>
            <w:tcBorders>
              <w:left w:val="single" w:sz="8" w:color="auto"/>
              <w:right w:val="single" w:sz="8" w:color="auto"/>
            </w:tcBorders>
            <w:shd w:val="clear" w:color="auto" w:fill="D9D9D9"/>
          </w:tcPr>
          <w:p>
            <w:pPr>
              <w:ind w:left="80"/>
              <w:spacing w:after="0"/>
              <w:rPr>
                <w:sz w:val="20"/>
                <w:szCs w:val="20"/>
                <w:color w:val="auto"/>
              </w:rPr>
            </w:pPr>
            <w:r>
              <w:rPr>
                <w:rFonts w:ascii="Arial" w:cs="Arial" w:eastAsia="Arial" w:hAnsi="Arial"/>
                <w:sz w:val="16"/>
                <w:szCs w:val="16"/>
                <w:b w:val="1"/>
                <w:bCs w:val="1"/>
                <w:i w:val="1"/>
                <w:iCs w:val="1"/>
                <w:color w:val="auto"/>
              </w:rPr>
              <w:t>Directors and Named Executive Officers</w:t>
            </w:r>
          </w:p>
        </w:tc>
        <w:tc>
          <w:tcPr>
            <w:tcW w:w="1980" w:type="dxa"/>
            <w:vAlign w:val="bottom"/>
            <w:tcBorders>
              <w:right w:val="single" w:sz="8" w:color="auto"/>
            </w:tcBorders>
            <w:shd w:val="clear" w:color="auto" w:fill="D9D9D9"/>
          </w:tcPr>
          <w:p>
            <w:pPr>
              <w:spacing w:after="0"/>
              <w:rPr>
                <w:sz w:val="24"/>
                <w:szCs w:val="24"/>
                <w:color w:val="auto"/>
              </w:rPr>
            </w:pPr>
          </w:p>
        </w:tc>
        <w:tc>
          <w:tcPr>
            <w:tcW w:w="1840" w:type="dxa"/>
            <w:vAlign w:val="bottom"/>
            <w:tcBorders>
              <w:right w:val="single" w:sz="8" w:color="auto"/>
            </w:tcBorders>
            <w:shd w:val="clear" w:color="auto" w:fill="D9D9D9"/>
          </w:tcPr>
          <w:p>
            <w:pPr>
              <w:spacing w:after="0"/>
              <w:rPr>
                <w:sz w:val="24"/>
                <w:szCs w:val="24"/>
                <w:color w:val="auto"/>
              </w:rPr>
            </w:pPr>
          </w:p>
        </w:tc>
      </w:tr>
      <w:tr>
        <w:trPr>
          <w:trHeight w:val="100"/>
        </w:trPr>
        <w:tc>
          <w:tcPr>
            <w:tcW w:w="5260" w:type="dxa"/>
            <w:vAlign w:val="bottom"/>
            <w:tcBorders>
              <w:left w:val="single" w:sz="8" w:color="auto"/>
              <w:bottom w:val="single" w:sz="8" w:color="auto"/>
              <w:right w:val="single" w:sz="8" w:color="auto"/>
            </w:tcBorders>
            <w:shd w:val="clear" w:color="auto" w:fill="D9D9D9"/>
          </w:tcPr>
          <w:p>
            <w:pPr>
              <w:spacing w:after="0"/>
              <w:rPr>
                <w:sz w:val="8"/>
                <w:szCs w:val="8"/>
                <w:color w:val="auto"/>
              </w:rPr>
            </w:pPr>
          </w:p>
        </w:tc>
        <w:tc>
          <w:tcPr>
            <w:tcW w:w="1980" w:type="dxa"/>
            <w:vAlign w:val="bottom"/>
            <w:tcBorders>
              <w:bottom w:val="single" w:sz="8" w:color="auto"/>
              <w:right w:val="single" w:sz="8" w:color="auto"/>
            </w:tcBorders>
            <w:shd w:val="clear" w:color="auto" w:fill="D9D9D9"/>
          </w:tcPr>
          <w:p>
            <w:pPr>
              <w:spacing w:after="0"/>
              <w:rPr>
                <w:sz w:val="8"/>
                <w:szCs w:val="8"/>
                <w:color w:val="auto"/>
              </w:rPr>
            </w:pPr>
          </w:p>
        </w:tc>
        <w:tc>
          <w:tcPr>
            <w:tcW w:w="1840" w:type="dxa"/>
            <w:vAlign w:val="bottom"/>
            <w:tcBorders>
              <w:bottom w:val="single" w:sz="8" w:color="auto"/>
              <w:right w:val="single" w:sz="8" w:color="auto"/>
            </w:tcBorders>
            <w:shd w:val="clear" w:color="auto" w:fill="D9D9D9"/>
          </w:tcPr>
          <w:p>
            <w:pPr>
              <w:spacing w:after="0"/>
              <w:rPr>
                <w:sz w:val="8"/>
                <w:szCs w:val="8"/>
                <w:color w:val="auto"/>
              </w:rPr>
            </w:pPr>
          </w:p>
        </w:tc>
      </w:tr>
      <w:tr>
        <w:trPr>
          <w:trHeight w:val="285"/>
        </w:trPr>
        <w:tc>
          <w:tcPr>
            <w:tcW w:w="52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Carl H. Lindner III (2)</w:t>
            </w:r>
          </w:p>
        </w:tc>
        <w:tc>
          <w:tcPr>
            <w:tcW w:w="1980" w:type="dxa"/>
            <w:vAlign w:val="bottom"/>
            <w:tcBorders>
              <w:right w:val="single" w:sz="8" w:color="auto"/>
            </w:tcBorders>
          </w:tcPr>
          <w:p>
            <w:pPr>
              <w:jc w:val="right"/>
              <w:ind w:right="559"/>
              <w:spacing w:after="0"/>
              <w:rPr>
                <w:sz w:val="20"/>
                <w:szCs w:val="20"/>
                <w:color w:val="auto"/>
              </w:rPr>
            </w:pPr>
            <w:r>
              <w:rPr>
                <w:rFonts w:ascii="Arial" w:cs="Arial" w:eastAsia="Arial" w:hAnsi="Arial"/>
                <w:sz w:val="16"/>
                <w:szCs w:val="16"/>
                <w:color w:val="auto"/>
              </w:rPr>
              <w:t>5,450,844</w:t>
            </w:r>
          </w:p>
        </w:tc>
        <w:tc>
          <w:tcPr>
            <w:tcW w:w="1840" w:type="dxa"/>
            <w:vAlign w:val="bottom"/>
            <w:tcBorders>
              <w:right w:val="single" w:sz="8" w:color="auto"/>
            </w:tcBorders>
          </w:tcPr>
          <w:p>
            <w:pPr>
              <w:jc w:val="right"/>
              <w:ind w:right="499"/>
              <w:spacing w:after="0"/>
              <w:rPr>
                <w:sz w:val="20"/>
                <w:szCs w:val="20"/>
                <w:color w:val="auto"/>
              </w:rPr>
            </w:pPr>
            <w:r>
              <w:rPr>
                <w:rFonts w:ascii="Arial" w:cs="Arial" w:eastAsia="Arial" w:hAnsi="Arial"/>
                <w:sz w:val="16"/>
                <w:szCs w:val="16"/>
                <w:color w:val="auto"/>
              </w:rPr>
              <w:t>6.1%</w:t>
            </w:r>
          </w:p>
        </w:tc>
      </w:tr>
      <w:tr>
        <w:trPr>
          <w:trHeight w:val="100"/>
        </w:trPr>
        <w:tc>
          <w:tcPr>
            <w:tcW w:w="5260" w:type="dxa"/>
            <w:vAlign w:val="bottom"/>
            <w:tcBorders>
              <w:left w:val="single" w:sz="8" w:color="auto"/>
              <w:bottom w:val="single" w:sz="8" w:color="auto"/>
              <w:right w:val="single" w:sz="8" w:color="auto"/>
            </w:tcBorders>
          </w:tcPr>
          <w:p>
            <w:pPr>
              <w:spacing w:after="0"/>
              <w:rPr>
                <w:sz w:val="8"/>
                <w:szCs w:val="8"/>
                <w:color w:val="auto"/>
              </w:rPr>
            </w:pPr>
          </w:p>
        </w:tc>
        <w:tc>
          <w:tcPr>
            <w:tcW w:w="1980" w:type="dxa"/>
            <w:vAlign w:val="bottom"/>
            <w:tcBorders>
              <w:bottom w:val="single" w:sz="8" w:color="auto"/>
              <w:right w:val="single" w:sz="8" w:color="auto"/>
            </w:tcBorders>
          </w:tcPr>
          <w:p>
            <w:pPr>
              <w:spacing w:after="0"/>
              <w:rPr>
                <w:sz w:val="8"/>
                <w:szCs w:val="8"/>
                <w:color w:val="auto"/>
              </w:rPr>
            </w:pPr>
          </w:p>
        </w:tc>
        <w:tc>
          <w:tcPr>
            <w:tcW w:w="1840" w:type="dxa"/>
            <w:vAlign w:val="bottom"/>
            <w:tcBorders>
              <w:bottom w:val="single" w:sz="8" w:color="auto"/>
              <w:right w:val="single" w:sz="8" w:color="auto"/>
            </w:tcBorders>
          </w:tcPr>
          <w:p>
            <w:pPr>
              <w:spacing w:after="0"/>
              <w:rPr>
                <w:sz w:val="8"/>
                <w:szCs w:val="8"/>
                <w:color w:val="auto"/>
              </w:rPr>
            </w:pPr>
          </w:p>
        </w:tc>
      </w:tr>
      <w:tr>
        <w:trPr>
          <w:trHeight w:val="285"/>
        </w:trPr>
        <w:tc>
          <w:tcPr>
            <w:tcW w:w="52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S. Craig Lindner (3)</w:t>
            </w:r>
          </w:p>
        </w:tc>
        <w:tc>
          <w:tcPr>
            <w:tcW w:w="1980" w:type="dxa"/>
            <w:vAlign w:val="bottom"/>
            <w:tcBorders>
              <w:right w:val="single" w:sz="8" w:color="auto"/>
            </w:tcBorders>
          </w:tcPr>
          <w:p>
            <w:pPr>
              <w:jc w:val="right"/>
              <w:ind w:right="559"/>
              <w:spacing w:after="0"/>
              <w:rPr>
                <w:sz w:val="20"/>
                <w:szCs w:val="20"/>
                <w:color w:val="auto"/>
              </w:rPr>
            </w:pPr>
            <w:r>
              <w:rPr>
                <w:rFonts w:ascii="Arial" w:cs="Arial" w:eastAsia="Arial" w:hAnsi="Arial"/>
                <w:sz w:val="16"/>
                <w:szCs w:val="16"/>
                <w:color w:val="auto"/>
              </w:rPr>
              <w:t>4,919,427</w:t>
            </w:r>
          </w:p>
        </w:tc>
        <w:tc>
          <w:tcPr>
            <w:tcW w:w="1840" w:type="dxa"/>
            <w:vAlign w:val="bottom"/>
            <w:tcBorders>
              <w:right w:val="single" w:sz="8" w:color="auto"/>
            </w:tcBorders>
          </w:tcPr>
          <w:p>
            <w:pPr>
              <w:jc w:val="right"/>
              <w:ind w:right="499"/>
              <w:spacing w:after="0"/>
              <w:rPr>
                <w:sz w:val="20"/>
                <w:szCs w:val="20"/>
                <w:color w:val="auto"/>
              </w:rPr>
            </w:pPr>
            <w:r>
              <w:rPr>
                <w:rFonts w:ascii="Arial" w:cs="Arial" w:eastAsia="Arial" w:hAnsi="Arial"/>
                <w:sz w:val="16"/>
                <w:szCs w:val="16"/>
                <w:color w:val="auto"/>
              </w:rPr>
              <w:t>5.5%</w:t>
            </w:r>
          </w:p>
        </w:tc>
      </w:tr>
      <w:tr>
        <w:trPr>
          <w:trHeight w:val="100"/>
        </w:trPr>
        <w:tc>
          <w:tcPr>
            <w:tcW w:w="5260" w:type="dxa"/>
            <w:vAlign w:val="bottom"/>
            <w:tcBorders>
              <w:left w:val="single" w:sz="8" w:color="auto"/>
              <w:bottom w:val="single" w:sz="8" w:color="auto"/>
              <w:right w:val="single" w:sz="8" w:color="auto"/>
            </w:tcBorders>
          </w:tcPr>
          <w:p>
            <w:pPr>
              <w:spacing w:after="0"/>
              <w:rPr>
                <w:sz w:val="8"/>
                <w:szCs w:val="8"/>
                <w:color w:val="auto"/>
              </w:rPr>
            </w:pPr>
          </w:p>
        </w:tc>
        <w:tc>
          <w:tcPr>
            <w:tcW w:w="1980" w:type="dxa"/>
            <w:vAlign w:val="bottom"/>
            <w:tcBorders>
              <w:bottom w:val="single" w:sz="8" w:color="auto"/>
              <w:right w:val="single" w:sz="8" w:color="auto"/>
            </w:tcBorders>
          </w:tcPr>
          <w:p>
            <w:pPr>
              <w:spacing w:after="0"/>
              <w:rPr>
                <w:sz w:val="8"/>
                <w:szCs w:val="8"/>
                <w:color w:val="auto"/>
              </w:rPr>
            </w:pPr>
          </w:p>
        </w:tc>
        <w:tc>
          <w:tcPr>
            <w:tcW w:w="1840" w:type="dxa"/>
            <w:vAlign w:val="bottom"/>
            <w:tcBorders>
              <w:bottom w:val="single" w:sz="8" w:color="auto"/>
              <w:right w:val="single" w:sz="8" w:color="auto"/>
            </w:tcBorders>
          </w:tcPr>
          <w:p>
            <w:pPr>
              <w:spacing w:after="0"/>
              <w:rPr>
                <w:sz w:val="8"/>
                <w:szCs w:val="8"/>
                <w:color w:val="auto"/>
              </w:rPr>
            </w:pPr>
          </w:p>
        </w:tc>
      </w:tr>
      <w:tr>
        <w:trPr>
          <w:trHeight w:val="285"/>
        </w:trPr>
        <w:tc>
          <w:tcPr>
            <w:tcW w:w="52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Kenneth C. Ambrecht</w:t>
            </w:r>
          </w:p>
        </w:tc>
        <w:tc>
          <w:tcPr>
            <w:tcW w:w="1980" w:type="dxa"/>
            <w:vAlign w:val="bottom"/>
            <w:tcBorders>
              <w:right w:val="single" w:sz="8" w:color="auto"/>
            </w:tcBorders>
          </w:tcPr>
          <w:p>
            <w:pPr>
              <w:jc w:val="right"/>
              <w:ind w:right="559"/>
              <w:spacing w:after="0"/>
              <w:rPr>
                <w:sz w:val="20"/>
                <w:szCs w:val="20"/>
                <w:color w:val="auto"/>
              </w:rPr>
            </w:pPr>
            <w:r>
              <w:rPr>
                <w:rFonts w:ascii="Arial" w:cs="Arial" w:eastAsia="Arial" w:hAnsi="Arial"/>
                <w:sz w:val="16"/>
                <w:szCs w:val="16"/>
                <w:color w:val="auto"/>
              </w:rPr>
              <w:t>37,157</w:t>
            </w:r>
          </w:p>
        </w:tc>
        <w:tc>
          <w:tcPr>
            <w:tcW w:w="1840" w:type="dxa"/>
            <w:vAlign w:val="bottom"/>
            <w:tcBorders>
              <w:right w:val="single" w:sz="8" w:color="auto"/>
            </w:tcBorders>
          </w:tcPr>
          <w:p>
            <w:pPr>
              <w:jc w:val="right"/>
              <w:ind w:right="559"/>
              <w:spacing w:after="0"/>
              <w:rPr>
                <w:sz w:val="20"/>
                <w:szCs w:val="20"/>
                <w:color w:val="auto"/>
              </w:rPr>
            </w:pPr>
            <w:r>
              <w:rPr>
                <w:rFonts w:ascii="Arial" w:cs="Arial" w:eastAsia="Arial" w:hAnsi="Arial"/>
                <w:sz w:val="16"/>
                <w:szCs w:val="16"/>
                <w:color w:val="auto"/>
              </w:rPr>
              <w:t>*</w:t>
            </w:r>
          </w:p>
        </w:tc>
      </w:tr>
      <w:tr>
        <w:trPr>
          <w:trHeight w:val="100"/>
        </w:trPr>
        <w:tc>
          <w:tcPr>
            <w:tcW w:w="5260" w:type="dxa"/>
            <w:vAlign w:val="bottom"/>
            <w:tcBorders>
              <w:left w:val="single" w:sz="8" w:color="auto"/>
              <w:bottom w:val="single" w:sz="8" w:color="auto"/>
              <w:right w:val="single" w:sz="8" w:color="auto"/>
            </w:tcBorders>
          </w:tcPr>
          <w:p>
            <w:pPr>
              <w:spacing w:after="0"/>
              <w:rPr>
                <w:sz w:val="8"/>
                <w:szCs w:val="8"/>
                <w:color w:val="auto"/>
              </w:rPr>
            </w:pPr>
          </w:p>
        </w:tc>
        <w:tc>
          <w:tcPr>
            <w:tcW w:w="1980" w:type="dxa"/>
            <w:vAlign w:val="bottom"/>
            <w:tcBorders>
              <w:bottom w:val="single" w:sz="8" w:color="auto"/>
              <w:right w:val="single" w:sz="8" w:color="auto"/>
            </w:tcBorders>
          </w:tcPr>
          <w:p>
            <w:pPr>
              <w:spacing w:after="0"/>
              <w:rPr>
                <w:sz w:val="8"/>
                <w:szCs w:val="8"/>
                <w:color w:val="auto"/>
              </w:rPr>
            </w:pPr>
          </w:p>
        </w:tc>
        <w:tc>
          <w:tcPr>
            <w:tcW w:w="1840" w:type="dxa"/>
            <w:vAlign w:val="bottom"/>
            <w:tcBorders>
              <w:bottom w:val="single" w:sz="8" w:color="auto"/>
              <w:right w:val="single" w:sz="8" w:color="auto"/>
            </w:tcBorders>
          </w:tcPr>
          <w:p>
            <w:pPr>
              <w:spacing w:after="0"/>
              <w:rPr>
                <w:sz w:val="8"/>
                <w:szCs w:val="8"/>
                <w:color w:val="auto"/>
              </w:rPr>
            </w:pPr>
          </w:p>
        </w:tc>
      </w:tr>
      <w:tr>
        <w:trPr>
          <w:trHeight w:val="284"/>
        </w:trPr>
        <w:tc>
          <w:tcPr>
            <w:tcW w:w="52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John B. Berding (4)</w:t>
            </w:r>
          </w:p>
        </w:tc>
        <w:tc>
          <w:tcPr>
            <w:tcW w:w="1980" w:type="dxa"/>
            <w:vAlign w:val="bottom"/>
            <w:tcBorders>
              <w:right w:val="single" w:sz="8" w:color="auto"/>
            </w:tcBorders>
          </w:tcPr>
          <w:p>
            <w:pPr>
              <w:jc w:val="right"/>
              <w:ind w:right="559"/>
              <w:spacing w:after="0"/>
              <w:rPr>
                <w:sz w:val="20"/>
                <w:szCs w:val="20"/>
                <w:color w:val="auto"/>
              </w:rPr>
            </w:pPr>
            <w:r>
              <w:rPr>
                <w:rFonts w:ascii="Arial" w:cs="Arial" w:eastAsia="Arial" w:hAnsi="Arial"/>
                <w:sz w:val="16"/>
                <w:szCs w:val="16"/>
                <w:color w:val="auto"/>
              </w:rPr>
              <w:t>170,007</w:t>
            </w:r>
          </w:p>
        </w:tc>
        <w:tc>
          <w:tcPr>
            <w:tcW w:w="1840" w:type="dxa"/>
            <w:vAlign w:val="bottom"/>
            <w:tcBorders>
              <w:right w:val="single" w:sz="8" w:color="auto"/>
            </w:tcBorders>
          </w:tcPr>
          <w:p>
            <w:pPr>
              <w:jc w:val="right"/>
              <w:ind w:right="559"/>
              <w:spacing w:after="0"/>
              <w:rPr>
                <w:sz w:val="20"/>
                <w:szCs w:val="20"/>
                <w:color w:val="auto"/>
              </w:rPr>
            </w:pPr>
            <w:r>
              <w:rPr>
                <w:rFonts w:ascii="Arial" w:cs="Arial" w:eastAsia="Arial" w:hAnsi="Arial"/>
                <w:sz w:val="16"/>
                <w:szCs w:val="16"/>
                <w:color w:val="auto"/>
              </w:rPr>
              <w:t>*</w:t>
            </w:r>
          </w:p>
        </w:tc>
      </w:tr>
      <w:tr>
        <w:trPr>
          <w:trHeight w:val="101"/>
        </w:trPr>
        <w:tc>
          <w:tcPr>
            <w:tcW w:w="5260" w:type="dxa"/>
            <w:vAlign w:val="bottom"/>
            <w:tcBorders>
              <w:left w:val="single" w:sz="8" w:color="auto"/>
              <w:bottom w:val="single" w:sz="8" w:color="auto"/>
              <w:right w:val="single" w:sz="8" w:color="auto"/>
            </w:tcBorders>
          </w:tcPr>
          <w:p>
            <w:pPr>
              <w:spacing w:after="0"/>
              <w:rPr>
                <w:sz w:val="8"/>
                <w:szCs w:val="8"/>
                <w:color w:val="auto"/>
              </w:rPr>
            </w:pPr>
          </w:p>
        </w:tc>
        <w:tc>
          <w:tcPr>
            <w:tcW w:w="1980" w:type="dxa"/>
            <w:vAlign w:val="bottom"/>
            <w:tcBorders>
              <w:bottom w:val="single" w:sz="8" w:color="auto"/>
              <w:right w:val="single" w:sz="8" w:color="auto"/>
            </w:tcBorders>
          </w:tcPr>
          <w:p>
            <w:pPr>
              <w:spacing w:after="0"/>
              <w:rPr>
                <w:sz w:val="8"/>
                <w:szCs w:val="8"/>
                <w:color w:val="auto"/>
              </w:rPr>
            </w:pPr>
          </w:p>
        </w:tc>
        <w:tc>
          <w:tcPr>
            <w:tcW w:w="1840" w:type="dxa"/>
            <w:vAlign w:val="bottom"/>
            <w:tcBorders>
              <w:bottom w:val="single" w:sz="8" w:color="auto"/>
              <w:right w:val="single" w:sz="8" w:color="auto"/>
            </w:tcBorders>
          </w:tcPr>
          <w:p>
            <w:pPr>
              <w:spacing w:after="0"/>
              <w:rPr>
                <w:sz w:val="8"/>
                <w:szCs w:val="8"/>
                <w:color w:val="auto"/>
              </w:rPr>
            </w:pPr>
          </w:p>
        </w:tc>
      </w:tr>
      <w:tr>
        <w:trPr>
          <w:trHeight w:val="284"/>
        </w:trPr>
        <w:tc>
          <w:tcPr>
            <w:tcW w:w="52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Joseph E. (Jeff) Consolino</w:t>
            </w:r>
          </w:p>
        </w:tc>
        <w:tc>
          <w:tcPr>
            <w:tcW w:w="1980" w:type="dxa"/>
            <w:vAlign w:val="bottom"/>
            <w:tcBorders>
              <w:right w:val="single" w:sz="8" w:color="auto"/>
            </w:tcBorders>
          </w:tcPr>
          <w:p>
            <w:pPr>
              <w:jc w:val="right"/>
              <w:ind w:right="559"/>
              <w:spacing w:after="0"/>
              <w:rPr>
                <w:sz w:val="20"/>
                <w:szCs w:val="20"/>
                <w:color w:val="auto"/>
              </w:rPr>
            </w:pPr>
            <w:r>
              <w:rPr>
                <w:rFonts w:ascii="Arial" w:cs="Arial" w:eastAsia="Arial" w:hAnsi="Arial"/>
                <w:sz w:val="16"/>
                <w:szCs w:val="16"/>
                <w:color w:val="auto"/>
              </w:rPr>
              <w:t>222,019</w:t>
            </w:r>
          </w:p>
        </w:tc>
        <w:tc>
          <w:tcPr>
            <w:tcW w:w="1840" w:type="dxa"/>
            <w:vAlign w:val="bottom"/>
            <w:tcBorders>
              <w:right w:val="single" w:sz="8" w:color="auto"/>
            </w:tcBorders>
          </w:tcPr>
          <w:p>
            <w:pPr>
              <w:jc w:val="right"/>
              <w:ind w:right="559"/>
              <w:spacing w:after="0"/>
              <w:rPr>
                <w:sz w:val="20"/>
                <w:szCs w:val="20"/>
                <w:color w:val="auto"/>
              </w:rPr>
            </w:pPr>
            <w:r>
              <w:rPr>
                <w:rFonts w:ascii="Arial" w:cs="Arial" w:eastAsia="Arial" w:hAnsi="Arial"/>
                <w:sz w:val="16"/>
                <w:szCs w:val="16"/>
                <w:color w:val="auto"/>
              </w:rPr>
              <w:t>*</w:t>
            </w:r>
          </w:p>
        </w:tc>
      </w:tr>
      <w:tr>
        <w:trPr>
          <w:trHeight w:val="100"/>
        </w:trPr>
        <w:tc>
          <w:tcPr>
            <w:tcW w:w="5260" w:type="dxa"/>
            <w:vAlign w:val="bottom"/>
            <w:tcBorders>
              <w:left w:val="single" w:sz="8" w:color="auto"/>
              <w:bottom w:val="single" w:sz="8" w:color="auto"/>
              <w:right w:val="single" w:sz="8" w:color="auto"/>
            </w:tcBorders>
          </w:tcPr>
          <w:p>
            <w:pPr>
              <w:spacing w:after="0"/>
              <w:rPr>
                <w:sz w:val="8"/>
                <w:szCs w:val="8"/>
                <w:color w:val="auto"/>
              </w:rPr>
            </w:pPr>
          </w:p>
        </w:tc>
        <w:tc>
          <w:tcPr>
            <w:tcW w:w="1980" w:type="dxa"/>
            <w:vAlign w:val="bottom"/>
            <w:tcBorders>
              <w:bottom w:val="single" w:sz="8" w:color="auto"/>
              <w:right w:val="single" w:sz="8" w:color="auto"/>
            </w:tcBorders>
          </w:tcPr>
          <w:p>
            <w:pPr>
              <w:spacing w:after="0"/>
              <w:rPr>
                <w:sz w:val="8"/>
                <w:szCs w:val="8"/>
                <w:color w:val="auto"/>
              </w:rPr>
            </w:pPr>
          </w:p>
        </w:tc>
        <w:tc>
          <w:tcPr>
            <w:tcW w:w="1840" w:type="dxa"/>
            <w:vAlign w:val="bottom"/>
            <w:tcBorders>
              <w:bottom w:val="single" w:sz="8" w:color="auto"/>
              <w:right w:val="single" w:sz="8" w:color="auto"/>
            </w:tcBorders>
          </w:tcPr>
          <w:p>
            <w:pPr>
              <w:spacing w:after="0"/>
              <w:rPr>
                <w:sz w:val="8"/>
                <w:szCs w:val="8"/>
                <w:color w:val="auto"/>
              </w:rPr>
            </w:pPr>
          </w:p>
        </w:tc>
      </w:tr>
      <w:tr>
        <w:trPr>
          <w:trHeight w:val="285"/>
        </w:trPr>
        <w:tc>
          <w:tcPr>
            <w:tcW w:w="52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Virginia “Gina” C. Drosos</w:t>
            </w:r>
          </w:p>
        </w:tc>
        <w:tc>
          <w:tcPr>
            <w:tcW w:w="1980" w:type="dxa"/>
            <w:vAlign w:val="bottom"/>
            <w:tcBorders>
              <w:right w:val="single" w:sz="8" w:color="auto"/>
            </w:tcBorders>
          </w:tcPr>
          <w:p>
            <w:pPr>
              <w:jc w:val="right"/>
              <w:ind w:right="559"/>
              <w:spacing w:after="0"/>
              <w:rPr>
                <w:sz w:val="20"/>
                <w:szCs w:val="20"/>
                <w:color w:val="auto"/>
              </w:rPr>
            </w:pPr>
            <w:r>
              <w:rPr>
                <w:rFonts w:ascii="Arial" w:cs="Arial" w:eastAsia="Arial" w:hAnsi="Arial"/>
                <w:sz w:val="16"/>
                <w:szCs w:val="16"/>
                <w:color w:val="auto"/>
              </w:rPr>
              <w:t>9,120</w:t>
            </w:r>
          </w:p>
        </w:tc>
        <w:tc>
          <w:tcPr>
            <w:tcW w:w="1840" w:type="dxa"/>
            <w:vAlign w:val="bottom"/>
            <w:tcBorders>
              <w:right w:val="single" w:sz="8" w:color="auto"/>
            </w:tcBorders>
          </w:tcPr>
          <w:p>
            <w:pPr>
              <w:jc w:val="right"/>
              <w:ind w:right="559"/>
              <w:spacing w:after="0"/>
              <w:rPr>
                <w:sz w:val="20"/>
                <w:szCs w:val="20"/>
                <w:color w:val="auto"/>
              </w:rPr>
            </w:pPr>
            <w:r>
              <w:rPr>
                <w:rFonts w:ascii="Arial" w:cs="Arial" w:eastAsia="Arial" w:hAnsi="Arial"/>
                <w:sz w:val="16"/>
                <w:szCs w:val="16"/>
                <w:color w:val="auto"/>
              </w:rPr>
              <w:t>*</w:t>
            </w:r>
          </w:p>
        </w:tc>
      </w:tr>
      <w:tr>
        <w:trPr>
          <w:trHeight w:val="100"/>
        </w:trPr>
        <w:tc>
          <w:tcPr>
            <w:tcW w:w="5260" w:type="dxa"/>
            <w:vAlign w:val="bottom"/>
            <w:tcBorders>
              <w:left w:val="single" w:sz="8" w:color="auto"/>
              <w:bottom w:val="single" w:sz="8" w:color="auto"/>
              <w:right w:val="single" w:sz="8" w:color="auto"/>
            </w:tcBorders>
          </w:tcPr>
          <w:p>
            <w:pPr>
              <w:spacing w:after="0"/>
              <w:rPr>
                <w:sz w:val="8"/>
                <w:szCs w:val="8"/>
                <w:color w:val="auto"/>
              </w:rPr>
            </w:pPr>
          </w:p>
        </w:tc>
        <w:tc>
          <w:tcPr>
            <w:tcW w:w="1980" w:type="dxa"/>
            <w:vAlign w:val="bottom"/>
            <w:tcBorders>
              <w:bottom w:val="single" w:sz="8" w:color="auto"/>
              <w:right w:val="single" w:sz="8" w:color="auto"/>
            </w:tcBorders>
          </w:tcPr>
          <w:p>
            <w:pPr>
              <w:spacing w:after="0"/>
              <w:rPr>
                <w:sz w:val="8"/>
                <w:szCs w:val="8"/>
                <w:color w:val="auto"/>
              </w:rPr>
            </w:pPr>
          </w:p>
        </w:tc>
        <w:tc>
          <w:tcPr>
            <w:tcW w:w="1840" w:type="dxa"/>
            <w:vAlign w:val="bottom"/>
            <w:tcBorders>
              <w:bottom w:val="single" w:sz="8" w:color="auto"/>
              <w:right w:val="single" w:sz="8" w:color="auto"/>
            </w:tcBorders>
          </w:tcPr>
          <w:p>
            <w:pPr>
              <w:spacing w:after="0"/>
              <w:rPr>
                <w:sz w:val="8"/>
                <w:szCs w:val="8"/>
                <w:color w:val="auto"/>
              </w:rPr>
            </w:pPr>
          </w:p>
        </w:tc>
      </w:tr>
      <w:tr>
        <w:trPr>
          <w:trHeight w:val="285"/>
        </w:trPr>
        <w:tc>
          <w:tcPr>
            <w:tcW w:w="52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James E. Evans</w:t>
            </w:r>
          </w:p>
        </w:tc>
        <w:tc>
          <w:tcPr>
            <w:tcW w:w="1980" w:type="dxa"/>
            <w:vAlign w:val="bottom"/>
            <w:tcBorders>
              <w:right w:val="single" w:sz="8" w:color="auto"/>
            </w:tcBorders>
          </w:tcPr>
          <w:p>
            <w:pPr>
              <w:jc w:val="right"/>
              <w:ind w:right="559"/>
              <w:spacing w:after="0"/>
              <w:rPr>
                <w:sz w:val="20"/>
                <w:szCs w:val="20"/>
                <w:color w:val="auto"/>
              </w:rPr>
            </w:pPr>
            <w:r>
              <w:rPr>
                <w:rFonts w:ascii="Arial" w:cs="Arial" w:eastAsia="Arial" w:hAnsi="Arial"/>
                <w:sz w:val="16"/>
                <w:szCs w:val="16"/>
                <w:color w:val="auto"/>
              </w:rPr>
              <w:t>122,233</w:t>
            </w:r>
          </w:p>
        </w:tc>
        <w:tc>
          <w:tcPr>
            <w:tcW w:w="1840" w:type="dxa"/>
            <w:vAlign w:val="bottom"/>
            <w:tcBorders>
              <w:right w:val="single" w:sz="8" w:color="auto"/>
            </w:tcBorders>
          </w:tcPr>
          <w:p>
            <w:pPr>
              <w:jc w:val="right"/>
              <w:ind w:right="559"/>
              <w:spacing w:after="0"/>
              <w:rPr>
                <w:sz w:val="20"/>
                <w:szCs w:val="20"/>
                <w:color w:val="auto"/>
              </w:rPr>
            </w:pPr>
            <w:r>
              <w:rPr>
                <w:rFonts w:ascii="Arial" w:cs="Arial" w:eastAsia="Arial" w:hAnsi="Arial"/>
                <w:sz w:val="16"/>
                <w:szCs w:val="16"/>
                <w:color w:val="auto"/>
              </w:rPr>
              <w:t>*</w:t>
            </w:r>
          </w:p>
        </w:tc>
      </w:tr>
      <w:tr>
        <w:trPr>
          <w:trHeight w:val="100"/>
        </w:trPr>
        <w:tc>
          <w:tcPr>
            <w:tcW w:w="5260" w:type="dxa"/>
            <w:vAlign w:val="bottom"/>
            <w:tcBorders>
              <w:left w:val="single" w:sz="8" w:color="auto"/>
              <w:bottom w:val="single" w:sz="8" w:color="auto"/>
              <w:right w:val="single" w:sz="8" w:color="auto"/>
            </w:tcBorders>
          </w:tcPr>
          <w:p>
            <w:pPr>
              <w:spacing w:after="0"/>
              <w:rPr>
                <w:sz w:val="8"/>
                <w:szCs w:val="8"/>
                <w:color w:val="auto"/>
              </w:rPr>
            </w:pPr>
          </w:p>
        </w:tc>
        <w:tc>
          <w:tcPr>
            <w:tcW w:w="1980" w:type="dxa"/>
            <w:vAlign w:val="bottom"/>
            <w:tcBorders>
              <w:bottom w:val="single" w:sz="8" w:color="auto"/>
              <w:right w:val="single" w:sz="8" w:color="auto"/>
            </w:tcBorders>
          </w:tcPr>
          <w:p>
            <w:pPr>
              <w:spacing w:after="0"/>
              <w:rPr>
                <w:sz w:val="8"/>
                <w:szCs w:val="8"/>
                <w:color w:val="auto"/>
              </w:rPr>
            </w:pPr>
          </w:p>
        </w:tc>
        <w:tc>
          <w:tcPr>
            <w:tcW w:w="1840" w:type="dxa"/>
            <w:vAlign w:val="bottom"/>
            <w:tcBorders>
              <w:bottom w:val="single" w:sz="8" w:color="auto"/>
              <w:right w:val="single" w:sz="8" w:color="auto"/>
            </w:tcBorders>
          </w:tcPr>
          <w:p>
            <w:pPr>
              <w:spacing w:after="0"/>
              <w:rPr>
                <w:sz w:val="8"/>
                <w:szCs w:val="8"/>
                <w:color w:val="auto"/>
              </w:rPr>
            </w:pPr>
          </w:p>
        </w:tc>
      </w:tr>
      <w:tr>
        <w:trPr>
          <w:trHeight w:val="285"/>
        </w:trPr>
        <w:tc>
          <w:tcPr>
            <w:tcW w:w="52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Terry S. Jacobs</w:t>
            </w:r>
          </w:p>
        </w:tc>
        <w:tc>
          <w:tcPr>
            <w:tcW w:w="1980" w:type="dxa"/>
            <w:vAlign w:val="bottom"/>
            <w:tcBorders>
              <w:right w:val="single" w:sz="8" w:color="auto"/>
            </w:tcBorders>
          </w:tcPr>
          <w:p>
            <w:pPr>
              <w:jc w:val="right"/>
              <w:ind w:right="559"/>
              <w:spacing w:after="0"/>
              <w:rPr>
                <w:sz w:val="20"/>
                <w:szCs w:val="20"/>
                <w:color w:val="auto"/>
              </w:rPr>
            </w:pPr>
            <w:r>
              <w:rPr>
                <w:rFonts w:ascii="Arial" w:cs="Arial" w:eastAsia="Arial" w:hAnsi="Arial"/>
                <w:sz w:val="16"/>
                <w:szCs w:val="16"/>
                <w:color w:val="auto"/>
              </w:rPr>
              <w:t>3,500</w:t>
            </w:r>
          </w:p>
        </w:tc>
        <w:tc>
          <w:tcPr>
            <w:tcW w:w="1840" w:type="dxa"/>
            <w:vAlign w:val="bottom"/>
            <w:tcBorders>
              <w:right w:val="single" w:sz="8" w:color="auto"/>
            </w:tcBorders>
          </w:tcPr>
          <w:p>
            <w:pPr>
              <w:jc w:val="right"/>
              <w:ind w:right="559"/>
              <w:spacing w:after="0"/>
              <w:rPr>
                <w:sz w:val="20"/>
                <w:szCs w:val="20"/>
                <w:color w:val="auto"/>
              </w:rPr>
            </w:pPr>
            <w:r>
              <w:rPr>
                <w:rFonts w:ascii="Arial" w:cs="Arial" w:eastAsia="Arial" w:hAnsi="Arial"/>
                <w:sz w:val="16"/>
                <w:szCs w:val="16"/>
                <w:color w:val="auto"/>
              </w:rPr>
              <w:t>*</w:t>
            </w:r>
          </w:p>
        </w:tc>
      </w:tr>
      <w:tr>
        <w:trPr>
          <w:trHeight w:val="100"/>
        </w:trPr>
        <w:tc>
          <w:tcPr>
            <w:tcW w:w="5260" w:type="dxa"/>
            <w:vAlign w:val="bottom"/>
            <w:tcBorders>
              <w:left w:val="single" w:sz="8" w:color="auto"/>
              <w:bottom w:val="single" w:sz="8" w:color="auto"/>
              <w:right w:val="single" w:sz="8" w:color="auto"/>
            </w:tcBorders>
          </w:tcPr>
          <w:p>
            <w:pPr>
              <w:spacing w:after="0"/>
              <w:rPr>
                <w:sz w:val="8"/>
                <w:szCs w:val="8"/>
                <w:color w:val="auto"/>
              </w:rPr>
            </w:pPr>
          </w:p>
        </w:tc>
        <w:tc>
          <w:tcPr>
            <w:tcW w:w="1980" w:type="dxa"/>
            <w:vAlign w:val="bottom"/>
            <w:tcBorders>
              <w:bottom w:val="single" w:sz="8" w:color="auto"/>
              <w:right w:val="single" w:sz="8" w:color="auto"/>
            </w:tcBorders>
          </w:tcPr>
          <w:p>
            <w:pPr>
              <w:spacing w:after="0"/>
              <w:rPr>
                <w:sz w:val="8"/>
                <w:szCs w:val="8"/>
                <w:color w:val="auto"/>
              </w:rPr>
            </w:pPr>
          </w:p>
        </w:tc>
        <w:tc>
          <w:tcPr>
            <w:tcW w:w="1840" w:type="dxa"/>
            <w:vAlign w:val="bottom"/>
            <w:tcBorders>
              <w:bottom w:val="single" w:sz="8" w:color="auto"/>
              <w:right w:val="single" w:sz="8" w:color="auto"/>
            </w:tcBorders>
          </w:tcPr>
          <w:p>
            <w:pPr>
              <w:spacing w:after="0"/>
              <w:rPr>
                <w:sz w:val="8"/>
                <w:szCs w:val="8"/>
                <w:color w:val="auto"/>
              </w:rPr>
            </w:pPr>
          </w:p>
        </w:tc>
      </w:tr>
      <w:tr>
        <w:trPr>
          <w:trHeight w:val="285"/>
        </w:trPr>
        <w:tc>
          <w:tcPr>
            <w:tcW w:w="52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Gregory G. Joseph (5)</w:t>
            </w:r>
          </w:p>
        </w:tc>
        <w:tc>
          <w:tcPr>
            <w:tcW w:w="1980" w:type="dxa"/>
            <w:vAlign w:val="bottom"/>
            <w:tcBorders>
              <w:right w:val="single" w:sz="8" w:color="auto"/>
            </w:tcBorders>
          </w:tcPr>
          <w:p>
            <w:pPr>
              <w:jc w:val="right"/>
              <w:ind w:right="559"/>
              <w:spacing w:after="0"/>
              <w:rPr>
                <w:sz w:val="20"/>
                <w:szCs w:val="20"/>
                <w:color w:val="auto"/>
              </w:rPr>
            </w:pPr>
            <w:r>
              <w:rPr>
                <w:rFonts w:ascii="Arial" w:cs="Arial" w:eastAsia="Arial" w:hAnsi="Arial"/>
                <w:sz w:val="16"/>
                <w:szCs w:val="16"/>
                <w:color w:val="auto"/>
              </w:rPr>
              <w:t>105,860</w:t>
            </w:r>
          </w:p>
        </w:tc>
        <w:tc>
          <w:tcPr>
            <w:tcW w:w="1840" w:type="dxa"/>
            <w:vAlign w:val="bottom"/>
            <w:tcBorders>
              <w:right w:val="single" w:sz="8" w:color="auto"/>
            </w:tcBorders>
          </w:tcPr>
          <w:p>
            <w:pPr>
              <w:jc w:val="right"/>
              <w:ind w:right="559"/>
              <w:spacing w:after="0"/>
              <w:rPr>
                <w:sz w:val="20"/>
                <w:szCs w:val="20"/>
                <w:color w:val="auto"/>
              </w:rPr>
            </w:pPr>
            <w:r>
              <w:rPr>
                <w:rFonts w:ascii="Arial" w:cs="Arial" w:eastAsia="Arial" w:hAnsi="Arial"/>
                <w:sz w:val="16"/>
                <w:szCs w:val="16"/>
                <w:color w:val="auto"/>
              </w:rPr>
              <w:t>*</w:t>
            </w:r>
          </w:p>
        </w:tc>
      </w:tr>
      <w:tr>
        <w:trPr>
          <w:trHeight w:val="100"/>
        </w:trPr>
        <w:tc>
          <w:tcPr>
            <w:tcW w:w="5260" w:type="dxa"/>
            <w:vAlign w:val="bottom"/>
            <w:tcBorders>
              <w:left w:val="single" w:sz="8" w:color="auto"/>
              <w:bottom w:val="single" w:sz="8" w:color="auto"/>
              <w:right w:val="single" w:sz="8" w:color="auto"/>
            </w:tcBorders>
          </w:tcPr>
          <w:p>
            <w:pPr>
              <w:spacing w:after="0"/>
              <w:rPr>
                <w:sz w:val="8"/>
                <w:szCs w:val="8"/>
                <w:color w:val="auto"/>
              </w:rPr>
            </w:pPr>
          </w:p>
        </w:tc>
        <w:tc>
          <w:tcPr>
            <w:tcW w:w="1980" w:type="dxa"/>
            <w:vAlign w:val="bottom"/>
            <w:tcBorders>
              <w:bottom w:val="single" w:sz="8" w:color="auto"/>
              <w:right w:val="single" w:sz="8" w:color="auto"/>
            </w:tcBorders>
          </w:tcPr>
          <w:p>
            <w:pPr>
              <w:spacing w:after="0"/>
              <w:rPr>
                <w:sz w:val="8"/>
                <w:szCs w:val="8"/>
                <w:color w:val="auto"/>
              </w:rPr>
            </w:pPr>
          </w:p>
        </w:tc>
        <w:tc>
          <w:tcPr>
            <w:tcW w:w="1840" w:type="dxa"/>
            <w:vAlign w:val="bottom"/>
            <w:tcBorders>
              <w:bottom w:val="single" w:sz="8" w:color="auto"/>
              <w:right w:val="single" w:sz="8" w:color="auto"/>
            </w:tcBorders>
          </w:tcPr>
          <w:p>
            <w:pPr>
              <w:spacing w:after="0"/>
              <w:rPr>
                <w:sz w:val="8"/>
                <w:szCs w:val="8"/>
                <w:color w:val="auto"/>
              </w:rPr>
            </w:pPr>
          </w:p>
        </w:tc>
      </w:tr>
      <w:tr>
        <w:trPr>
          <w:trHeight w:val="285"/>
        </w:trPr>
        <w:tc>
          <w:tcPr>
            <w:tcW w:w="52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Mary Beth Martin</w:t>
            </w:r>
          </w:p>
        </w:tc>
        <w:tc>
          <w:tcPr>
            <w:tcW w:w="1980" w:type="dxa"/>
            <w:vAlign w:val="bottom"/>
            <w:tcBorders>
              <w:right w:val="single" w:sz="8" w:color="auto"/>
            </w:tcBorders>
          </w:tcPr>
          <w:p>
            <w:pPr>
              <w:jc w:val="right"/>
              <w:ind w:right="559"/>
              <w:spacing w:after="0"/>
              <w:rPr>
                <w:sz w:val="20"/>
                <w:szCs w:val="20"/>
                <w:color w:val="auto"/>
              </w:rPr>
            </w:pPr>
            <w:r>
              <w:rPr>
                <w:rFonts w:ascii="Arial" w:cs="Arial" w:eastAsia="Arial" w:hAnsi="Arial"/>
                <w:sz w:val="16"/>
                <w:szCs w:val="16"/>
                <w:color w:val="auto"/>
              </w:rPr>
              <w:t>1,479</w:t>
            </w:r>
          </w:p>
        </w:tc>
        <w:tc>
          <w:tcPr>
            <w:tcW w:w="1840" w:type="dxa"/>
            <w:vAlign w:val="bottom"/>
            <w:tcBorders>
              <w:right w:val="single" w:sz="8" w:color="auto"/>
            </w:tcBorders>
          </w:tcPr>
          <w:p>
            <w:pPr>
              <w:jc w:val="right"/>
              <w:ind w:right="559"/>
              <w:spacing w:after="0"/>
              <w:rPr>
                <w:sz w:val="20"/>
                <w:szCs w:val="20"/>
                <w:color w:val="auto"/>
              </w:rPr>
            </w:pPr>
            <w:r>
              <w:rPr>
                <w:rFonts w:ascii="Arial" w:cs="Arial" w:eastAsia="Arial" w:hAnsi="Arial"/>
                <w:sz w:val="16"/>
                <w:szCs w:val="16"/>
                <w:color w:val="auto"/>
              </w:rPr>
              <w:t>*</w:t>
            </w:r>
          </w:p>
        </w:tc>
      </w:tr>
      <w:tr>
        <w:trPr>
          <w:trHeight w:val="100"/>
        </w:trPr>
        <w:tc>
          <w:tcPr>
            <w:tcW w:w="5260" w:type="dxa"/>
            <w:vAlign w:val="bottom"/>
            <w:tcBorders>
              <w:left w:val="single" w:sz="8" w:color="auto"/>
              <w:bottom w:val="single" w:sz="8" w:color="auto"/>
              <w:right w:val="single" w:sz="8" w:color="auto"/>
            </w:tcBorders>
          </w:tcPr>
          <w:p>
            <w:pPr>
              <w:spacing w:after="0"/>
              <w:rPr>
                <w:sz w:val="8"/>
                <w:szCs w:val="8"/>
                <w:color w:val="auto"/>
              </w:rPr>
            </w:pPr>
          </w:p>
        </w:tc>
        <w:tc>
          <w:tcPr>
            <w:tcW w:w="1980" w:type="dxa"/>
            <w:vAlign w:val="bottom"/>
            <w:tcBorders>
              <w:bottom w:val="single" w:sz="8" w:color="auto"/>
              <w:right w:val="single" w:sz="8" w:color="auto"/>
            </w:tcBorders>
          </w:tcPr>
          <w:p>
            <w:pPr>
              <w:spacing w:after="0"/>
              <w:rPr>
                <w:sz w:val="8"/>
                <w:szCs w:val="8"/>
                <w:color w:val="auto"/>
              </w:rPr>
            </w:pPr>
          </w:p>
        </w:tc>
        <w:tc>
          <w:tcPr>
            <w:tcW w:w="1840" w:type="dxa"/>
            <w:vAlign w:val="bottom"/>
            <w:tcBorders>
              <w:bottom w:val="single" w:sz="8" w:color="auto"/>
              <w:right w:val="single" w:sz="8" w:color="auto"/>
            </w:tcBorders>
          </w:tcPr>
          <w:p>
            <w:pPr>
              <w:spacing w:after="0"/>
              <w:rPr>
                <w:sz w:val="8"/>
                <w:szCs w:val="8"/>
                <w:color w:val="auto"/>
              </w:rPr>
            </w:pPr>
          </w:p>
        </w:tc>
      </w:tr>
      <w:tr>
        <w:trPr>
          <w:trHeight w:val="284"/>
        </w:trPr>
        <w:tc>
          <w:tcPr>
            <w:tcW w:w="52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William W. Verity</w:t>
            </w:r>
          </w:p>
        </w:tc>
        <w:tc>
          <w:tcPr>
            <w:tcW w:w="1980" w:type="dxa"/>
            <w:vAlign w:val="bottom"/>
            <w:tcBorders>
              <w:right w:val="single" w:sz="8" w:color="auto"/>
            </w:tcBorders>
          </w:tcPr>
          <w:p>
            <w:pPr>
              <w:jc w:val="right"/>
              <w:ind w:right="559"/>
              <w:spacing w:after="0"/>
              <w:rPr>
                <w:sz w:val="20"/>
                <w:szCs w:val="20"/>
                <w:color w:val="auto"/>
              </w:rPr>
            </w:pPr>
            <w:r>
              <w:rPr>
                <w:rFonts w:ascii="Arial" w:cs="Arial" w:eastAsia="Arial" w:hAnsi="Arial"/>
                <w:sz w:val="16"/>
                <w:szCs w:val="16"/>
                <w:color w:val="auto"/>
              </w:rPr>
              <w:t>6,678</w:t>
            </w:r>
          </w:p>
        </w:tc>
        <w:tc>
          <w:tcPr>
            <w:tcW w:w="1840" w:type="dxa"/>
            <w:vAlign w:val="bottom"/>
            <w:tcBorders>
              <w:right w:val="single" w:sz="8" w:color="auto"/>
            </w:tcBorders>
          </w:tcPr>
          <w:p>
            <w:pPr>
              <w:jc w:val="right"/>
              <w:ind w:right="559"/>
              <w:spacing w:after="0"/>
              <w:rPr>
                <w:sz w:val="20"/>
                <w:szCs w:val="20"/>
                <w:color w:val="auto"/>
              </w:rPr>
            </w:pPr>
            <w:r>
              <w:rPr>
                <w:rFonts w:ascii="Arial" w:cs="Arial" w:eastAsia="Arial" w:hAnsi="Arial"/>
                <w:sz w:val="16"/>
                <w:szCs w:val="16"/>
                <w:color w:val="auto"/>
              </w:rPr>
              <w:t>*</w:t>
            </w:r>
          </w:p>
        </w:tc>
      </w:tr>
      <w:tr>
        <w:trPr>
          <w:trHeight w:val="101"/>
        </w:trPr>
        <w:tc>
          <w:tcPr>
            <w:tcW w:w="5260" w:type="dxa"/>
            <w:vAlign w:val="bottom"/>
            <w:tcBorders>
              <w:left w:val="single" w:sz="8" w:color="auto"/>
              <w:bottom w:val="single" w:sz="8" w:color="auto"/>
              <w:right w:val="single" w:sz="8" w:color="auto"/>
            </w:tcBorders>
          </w:tcPr>
          <w:p>
            <w:pPr>
              <w:spacing w:after="0"/>
              <w:rPr>
                <w:sz w:val="8"/>
                <w:szCs w:val="8"/>
                <w:color w:val="auto"/>
              </w:rPr>
            </w:pPr>
          </w:p>
        </w:tc>
        <w:tc>
          <w:tcPr>
            <w:tcW w:w="1980" w:type="dxa"/>
            <w:vAlign w:val="bottom"/>
            <w:tcBorders>
              <w:bottom w:val="single" w:sz="8" w:color="auto"/>
              <w:right w:val="single" w:sz="8" w:color="auto"/>
            </w:tcBorders>
          </w:tcPr>
          <w:p>
            <w:pPr>
              <w:spacing w:after="0"/>
              <w:rPr>
                <w:sz w:val="8"/>
                <w:szCs w:val="8"/>
                <w:color w:val="auto"/>
              </w:rPr>
            </w:pPr>
          </w:p>
        </w:tc>
        <w:tc>
          <w:tcPr>
            <w:tcW w:w="1840" w:type="dxa"/>
            <w:vAlign w:val="bottom"/>
            <w:tcBorders>
              <w:bottom w:val="single" w:sz="8" w:color="auto"/>
              <w:right w:val="single" w:sz="8" w:color="auto"/>
            </w:tcBorders>
          </w:tcPr>
          <w:p>
            <w:pPr>
              <w:spacing w:after="0"/>
              <w:rPr>
                <w:sz w:val="8"/>
                <w:szCs w:val="8"/>
                <w:color w:val="auto"/>
              </w:rPr>
            </w:pPr>
          </w:p>
        </w:tc>
      </w:tr>
      <w:tr>
        <w:trPr>
          <w:trHeight w:val="284"/>
        </w:trPr>
        <w:tc>
          <w:tcPr>
            <w:tcW w:w="52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John I. Von Lehman</w:t>
            </w:r>
          </w:p>
        </w:tc>
        <w:tc>
          <w:tcPr>
            <w:tcW w:w="1980" w:type="dxa"/>
            <w:vAlign w:val="bottom"/>
            <w:tcBorders>
              <w:right w:val="single" w:sz="8" w:color="auto"/>
            </w:tcBorders>
          </w:tcPr>
          <w:p>
            <w:pPr>
              <w:jc w:val="right"/>
              <w:ind w:right="559"/>
              <w:spacing w:after="0"/>
              <w:rPr>
                <w:sz w:val="20"/>
                <w:szCs w:val="20"/>
                <w:color w:val="auto"/>
              </w:rPr>
            </w:pPr>
            <w:r>
              <w:rPr>
                <w:rFonts w:ascii="Arial" w:cs="Arial" w:eastAsia="Arial" w:hAnsi="Arial"/>
                <w:sz w:val="16"/>
                <w:szCs w:val="16"/>
                <w:color w:val="auto"/>
              </w:rPr>
              <w:t>10,806</w:t>
            </w:r>
          </w:p>
        </w:tc>
        <w:tc>
          <w:tcPr>
            <w:tcW w:w="1840" w:type="dxa"/>
            <w:vAlign w:val="bottom"/>
            <w:tcBorders>
              <w:right w:val="single" w:sz="8" w:color="auto"/>
            </w:tcBorders>
          </w:tcPr>
          <w:p>
            <w:pPr>
              <w:jc w:val="right"/>
              <w:ind w:right="559"/>
              <w:spacing w:after="0"/>
              <w:rPr>
                <w:sz w:val="20"/>
                <w:szCs w:val="20"/>
                <w:color w:val="auto"/>
              </w:rPr>
            </w:pPr>
            <w:r>
              <w:rPr>
                <w:rFonts w:ascii="Arial" w:cs="Arial" w:eastAsia="Arial" w:hAnsi="Arial"/>
                <w:sz w:val="16"/>
                <w:szCs w:val="16"/>
                <w:color w:val="auto"/>
              </w:rPr>
              <w:t>*</w:t>
            </w:r>
          </w:p>
        </w:tc>
      </w:tr>
      <w:tr>
        <w:trPr>
          <w:trHeight w:val="101"/>
        </w:trPr>
        <w:tc>
          <w:tcPr>
            <w:tcW w:w="5260" w:type="dxa"/>
            <w:vAlign w:val="bottom"/>
            <w:tcBorders>
              <w:left w:val="single" w:sz="8" w:color="auto"/>
              <w:bottom w:val="single" w:sz="8" w:color="auto"/>
              <w:right w:val="single" w:sz="8" w:color="auto"/>
            </w:tcBorders>
          </w:tcPr>
          <w:p>
            <w:pPr>
              <w:spacing w:after="0"/>
              <w:rPr>
                <w:sz w:val="8"/>
                <w:szCs w:val="8"/>
                <w:color w:val="auto"/>
              </w:rPr>
            </w:pPr>
          </w:p>
        </w:tc>
        <w:tc>
          <w:tcPr>
            <w:tcW w:w="1980" w:type="dxa"/>
            <w:vAlign w:val="bottom"/>
            <w:tcBorders>
              <w:bottom w:val="single" w:sz="8" w:color="auto"/>
              <w:right w:val="single" w:sz="8" w:color="auto"/>
            </w:tcBorders>
          </w:tcPr>
          <w:p>
            <w:pPr>
              <w:spacing w:after="0"/>
              <w:rPr>
                <w:sz w:val="8"/>
                <w:szCs w:val="8"/>
                <w:color w:val="auto"/>
              </w:rPr>
            </w:pPr>
          </w:p>
        </w:tc>
        <w:tc>
          <w:tcPr>
            <w:tcW w:w="1840" w:type="dxa"/>
            <w:vAlign w:val="bottom"/>
            <w:tcBorders>
              <w:bottom w:val="single" w:sz="8" w:color="auto"/>
              <w:right w:val="single" w:sz="8" w:color="auto"/>
            </w:tcBorders>
          </w:tcPr>
          <w:p>
            <w:pPr>
              <w:spacing w:after="0"/>
              <w:rPr>
                <w:sz w:val="8"/>
                <w:szCs w:val="8"/>
                <w:color w:val="auto"/>
              </w:rPr>
            </w:pPr>
          </w:p>
        </w:tc>
      </w:tr>
      <w:tr>
        <w:trPr>
          <w:trHeight w:val="284"/>
        </w:trPr>
        <w:tc>
          <w:tcPr>
            <w:tcW w:w="52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Michelle A. Gillis</w:t>
            </w:r>
          </w:p>
        </w:tc>
        <w:tc>
          <w:tcPr>
            <w:tcW w:w="1980" w:type="dxa"/>
            <w:vAlign w:val="bottom"/>
            <w:tcBorders>
              <w:right w:val="single" w:sz="8" w:color="auto"/>
            </w:tcBorders>
          </w:tcPr>
          <w:p>
            <w:pPr>
              <w:jc w:val="right"/>
              <w:ind w:right="559"/>
              <w:spacing w:after="0"/>
              <w:rPr>
                <w:sz w:val="20"/>
                <w:szCs w:val="20"/>
                <w:color w:val="auto"/>
              </w:rPr>
            </w:pPr>
            <w:r>
              <w:rPr>
                <w:rFonts w:ascii="Arial" w:cs="Arial" w:eastAsia="Arial" w:hAnsi="Arial"/>
                <w:sz w:val="16"/>
                <w:szCs w:val="16"/>
                <w:color w:val="auto"/>
              </w:rPr>
              <w:t>76,154</w:t>
            </w:r>
          </w:p>
        </w:tc>
        <w:tc>
          <w:tcPr>
            <w:tcW w:w="1840" w:type="dxa"/>
            <w:vAlign w:val="bottom"/>
            <w:tcBorders>
              <w:right w:val="single" w:sz="8" w:color="auto"/>
            </w:tcBorders>
          </w:tcPr>
          <w:p>
            <w:pPr>
              <w:jc w:val="right"/>
              <w:ind w:right="559"/>
              <w:spacing w:after="0"/>
              <w:rPr>
                <w:sz w:val="20"/>
                <w:szCs w:val="20"/>
                <w:color w:val="auto"/>
              </w:rPr>
            </w:pPr>
            <w:r>
              <w:rPr>
                <w:rFonts w:ascii="Arial" w:cs="Arial" w:eastAsia="Arial" w:hAnsi="Arial"/>
                <w:sz w:val="16"/>
                <w:szCs w:val="16"/>
                <w:color w:val="auto"/>
              </w:rPr>
              <w:t>*</w:t>
            </w:r>
          </w:p>
        </w:tc>
      </w:tr>
      <w:tr>
        <w:trPr>
          <w:trHeight w:val="101"/>
        </w:trPr>
        <w:tc>
          <w:tcPr>
            <w:tcW w:w="5260" w:type="dxa"/>
            <w:vAlign w:val="bottom"/>
            <w:tcBorders>
              <w:left w:val="single" w:sz="8" w:color="auto"/>
              <w:bottom w:val="single" w:sz="8" w:color="auto"/>
              <w:right w:val="single" w:sz="8" w:color="auto"/>
            </w:tcBorders>
          </w:tcPr>
          <w:p>
            <w:pPr>
              <w:spacing w:after="0"/>
              <w:rPr>
                <w:sz w:val="8"/>
                <w:szCs w:val="8"/>
                <w:color w:val="auto"/>
              </w:rPr>
            </w:pPr>
          </w:p>
        </w:tc>
        <w:tc>
          <w:tcPr>
            <w:tcW w:w="1980" w:type="dxa"/>
            <w:vAlign w:val="bottom"/>
            <w:tcBorders>
              <w:bottom w:val="single" w:sz="8" w:color="auto"/>
              <w:right w:val="single" w:sz="8" w:color="auto"/>
            </w:tcBorders>
          </w:tcPr>
          <w:p>
            <w:pPr>
              <w:spacing w:after="0"/>
              <w:rPr>
                <w:sz w:val="8"/>
                <w:szCs w:val="8"/>
                <w:color w:val="auto"/>
              </w:rPr>
            </w:pPr>
          </w:p>
        </w:tc>
        <w:tc>
          <w:tcPr>
            <w:tcW w:w="1840" w:type="dxa"/>
            <w:vAlign w:val="bottom"/>
            <w:tcBorders>
              <w:bottom w:val="single" w:sz="8" w:color="auto"/>
              <w:right w:val="single" w:sz="8" w:color="auto"/>
            </w:tcBorders>
          </w:tcPr>
          <w:p>
            <w:pPr>
              <w:spacing w:after="0"/>
              <w:rPr>
                <w:sz w:val="8"/>
                <w:szCs w:val="8"/>
                <w:color w:val="auto"/>
              </w:rPr>
            </w:pPr>
          </w:p>
        </w:tc>
      </w:tr>
      <w:tr>
        <w:trPr>
          <w:trHeight w:val="284"/>
        </w:trPr>
        <w:tc>
          <w:tcPr>
            <w:tcW w:w="52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Vito C. Peraino (6)</w:t>
            </w:r>
          </w:p>
        </w:tc>
        <w:tc>
          <w:tcPr>
            <w:tcW w:w="1980" w:type="dxa"/>
            <w:vAlign w:val="bottom"/>
            <w:tcBorders>
              <w:right w:val="single" w:sz="8" w:color="auto"/>
            </w:tcBorders>
          </w:tcPr>
          <w:p>
            <w:pPr>
              <w:jc w:val="right"/>
              <w:ind w:right="559"/>
              <w:spacing w:after="0"/>
              <w:rPr>
                <w:sz w:val="20"/>
                <w:szCs w:val="20"/>
                <w:color w:val="auto"/>
              </w:rPr>
            </w:pPr>
            <w:r>
              <w:rPr>
                <w:rFonts w:ascii="Arial" w:cs="Arial" w:eastAsia="Arial" w:hAnsi="Arial"/>
                <w:sz w:val="16"/>
                <w:szCs w:val="16"/>
                <w:color w:val="auto"/>
              </w:rPr>
              <w:t>98,947</w:t>
            </w:r>
          </w:p>
        </w:tc>
        <w:tc>
          <w:tcPr>
            <w:tcW w:w="1840" w:type="dxa"/>
            <w:vAlign w:val="bottom"/>
            <w:tcBorders>
              <w:right w:val="single" w:sz="8" w:color="auto"/>
            </w:tcBorders>
          </w:tcPr>
          <w:p>
            <w:pPr>
              <w:jc w:val="right"/>
              <w:ind w:right="559"/>
              <w:spacing w:after="0"/>
              <w:rPr>
                <w:sz w:val="20"/>
                <w:szCs w:val="20"/>
                <w:color w:val="auto"/>
              </w:rPr>
            </w:pPr>
            <w:r>
              <w:rPr>
                <w:rFonts w:ascii="Arial" w:cs="Arial" w:eastAsia="Arial" w:hAnsi="Arial"/>
                <w:sz w:val="16"/>
                <w:szCs w:val="16"/>
                <w:color w:val="auto"/>
              </w:rPr>
              <w:t>*</w:t>
            </w:r>
          </w:p>
        </w:tc>
      </w:tr>
      <w:tr>
        <w:trPr>
          <w:trHeight w:val="101"/>
        </w:trPr>
        <w:tc>
          <w:tcPr>
            <w:tcW w:w="5260" w:type="dxa"/>
            <w:vAlign w:val="bottom"/>
            <w:tcBorders>
              <w:left w:val="single" w:sz="8" w:color="auto"/>
              <w:bottom w:val="single" w:sz="8" w:color="auto"/>
              <w:right w:val="single" w:sz="8" w:color="auto"/>
            </w:tcBorders>
          </w:tcPr>
          <w:p>
            <w:pPr>
              <w:spacing w:after="0"/>
              <w:rPr>
                <w:sz w:val="8"/>
                <w:szCs w:val="8"/>
                <w:color w:val="auto"/>
              </w:rPr>
            </w:pPr>
          </w:p>
        </w:tc>
        <w:tc>
          <w:tcPr>
            <w:tcW w:w="1980" w:type="dxa"/>
            <w:vAlign w:val="bottom"/>
            <w:tcBorders>
              <w:bottom w:val="single" w:sz="8" w:color="auto"/>
              <w:right w:val="single" w:sz="8" w:color="auto"/>
            </w:tcBorders>
          </w:tcPr>
          <w:p>
            <w:pPr>
              <w:spacing w:after="0"/>
              <w:rPr>
                <w:sz w:val="8"/>
                <w:szCs w:val="8"/>
                <w:color w:val="auto"/>
              </w:rPr>
            </w:pPr>
          </w:p>
        </w:tc>
        <w:tc>
          <w:tcPr>
            <w:tcW w:w="1840" w:type="dxa"/>
            <w:vAlign w:val="bottom"/>
            <w:tcBorders>
              <w:bottom w:val="single" w:sz="8" w:color="auto"/>
              <w:right w:val="single" w:sz="8" w:color="auto"/>
            </w:tcBorders>
          </w:tcPr>
          <w:p>
            <w:pPr>
              <w:spacing w:after="0"/>
              <w:rPr>
                <w:sz w:val="8"/>
                <w:szCs w:val="8"/>
                <w:color w:val="auto"/>
              </w:rPr>
            </w:pPr>
          </w:p>
        </w:tc>
      </w:tr>
      <w:tr>
        <w:trPr>
          <w:trHeight w:val="284"/>
        </w:trPr>
        <w:tc>
          <w:tcPr>
            <w:tcW w:w="52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6"/>
                <w:szCs w:val="16"/>
                <w:b w:val="1"/>
                <w:bCs w:val="1"/>
                <w:color w:val="auto"/>
              </w:rPr>
              <w:t>All Directors and Executive Officers as a group (14 persons) (7)</w:t>
            </w:r>
          </w:p>
        </w:tc>
        <w:tc>
          <w:tcPr>
            <w:tcW w:w="1980" w:type="dxa"/>
            <w:vAlign w:val="bottom"/>
            <w:tcBorders>
              <w:right w:val="single" w:sz="8" w:color="auto"/>
            </w:tcBorders>
          </w:tcPr>
          <w:p>
            <w:pPr>
              <w:jc w:val="right"/>
              <w:ind w:right="559"/>
              <w:spacing w:after="0"/>
              <w:rPr>
                <w:sz w:val="20"/>
                <w:szCs w:val="20"/>
                <w:color w:val="auto"/>
              </w:rPr>
            </w:pPr>
            <w:r>
              <w:rPr>
                <w:rFonts w:ascii="Arial" w:cs="Arial" w:eastAsia="Arial" w:hAnsi="Arial"/>
                <w:sz w:val="16"/>
                <w:szCs w:val="16"/>
                <w:color w:val="auto"/>
              </w:rPr>
              <w:t>10,877,167</w:t>
            </w:r>
          </w:p>
        </w:tc>
        <w:tc>
          <w:tcPr>
            <w:tcW w:w="1840" w:type="dxa"/>
            <w:vAlign w:val="bottom"/>
            <w:tcBorders>
              <w:right w:val="single" w:sz="8" w:color="auto"/>
            </w:tcBorders>
          </w:tcPr>
          <w:p>
            <w:pPr>
              <w:jc w:val="right"/>
              <w:ind w:right="499"/>
              <w:spacing w:after="0"/>
              <w:rPr>
                <w:sz w:val="20"/>
                <w:szCs w:val="20"/>
                <w:color w:val="auto"/>
              </w:rPr>
            </w:pPr>
            <w:r>
              <w:rPr>
                <w:rFonts w:ascii="Arial" w:cs="Arial" w:eastAsia="Arial" w:hAnsi="Arial"/>
                <w:sz w:val="16"/>
                <w:szCs w:val="16"/>
                <w:color w:val="auto"/>
              </w:rPr>
              <w:t>12.1%</w:t>
            </w:r>
          </w:p>
        </w:tc>
      </w:tr>
      <w:tr>
        <w:trPr>
          <w:trHeight w:val="101"/>
        </w:trPr>
        <w:tc>
          <w:tcPr>
            <w:tcW w:w="5260" w:type="dxa"/>
            <w:vAlign w:val="bottom"/>
            <w:tcBorders>
              <w:left w:val="single" w:sz="8" w:color="auto"/>
              <w:bottom w:val="single" w:sz="8" w:color="auto"/>
              <w:right w:val="single" w:sz="8" w:color="auto"/>
            </w:tcBorders>
          </w:tcPr>
          <w:p>
            <w:pPr>
              <w:spacing w:after="0"/>
              <w:rPr>
                <w:sz w:val="8"/>
                <w:szCs w:val="8"/>
                <w:color w:val="auto"/>
              </w:rPr>
            </w:pPr>
          </w:p>
        </w:tc>
        <w:tc>
          <w:tcPr>
            <w:tcW w:w="1980" w:type="dxa"/>
            <w:vAlign w:val="bottom"/>
            <w:tcBorders>
              <w:bottom w:val="single" w:sz="8" w:color="auto"/>
              <w:right w:val="single" w:sz="8" w:color="auto"/>
            </w:tcBorders>
          </w:tcPr>
          <w:p>
            <w:pPr>
              <w:spacing w:after="0"/>
              <w:rPr>
                <w:sz w:val="8"/>
                <w:szCs w:val="8"/>
                <w:color w:val="auto"/>
              </w:rPr>
            </w:pPr>
          </w:p>
        </w:tc>
        <w:tc>
          <w:tcPr>
            <w:tcW w:w="1840" w:type="dxa"/>
            <w:vAlign w:val="bottom"/>
            <w:tcBorders>
              <w:bottom w:val="single" w:sz="8" w:color="auto"/>
              <w:right w:val="single" w:sz="8" w:color="auto"/>
            </w:tcBorders>
          </w:tcPr>
          <w:p>
            <w:pPr>
              <w:spacing w:after="0"/>
              <w:rPr>
                <w:sz w:val="8"/>
                <w:szCs w:val="8"/>
                <w:color w:val="auto"/>
              </w:rPr>
            </w:pPr>
          </w:p>
        </w:tc>
      </w:tr>
      <w:tr>
        <w:trPr>
          <w:trHeight w:val="284"/>
        </w:trPr>
        <w:tc>
          <w:tcPr>
            <w:tcW w:w="5260" w:type="dxa"/>
            <w:vAlign w:val="bottom"/>
            <w:tcBorders>
              <w:left w:val="single" w:sz="8" w:color="auto"/>
              <w:right w:val="single" w:sz="8" w:color="auto"/>
            </w:tcBorders>
            <w:shd w:val="clear" w:color="auto" w:fill="D9D9D9"/>
          </w:tcPr>
          <w:p>
            <w:pPr>
              <w:ind w:left="80"/>
              <w:spacing w:after="0"/>
              <w:rPr>
                <w:sz w:val="20"/>
                <w:szCs w:val="20"/>
                <w:color w:val="auto"/>
              </w:rPr>
            </w:pPr>
            <w:r>
              <w:rPr>
                <w:rFonts w:ascii="Arial" w:cs="Arial" w:eastAsia="Arial" w:hAnsi="Arial"/>
                <w:sz w:val="16"/>
                <w:szCs w:val="16"/>
                <w:b w:val="1"/>
                <w:bCs w:val="1"/>
                <w:i w:val="1"/>
                <w:iCs w:val="1"/>
                <w:color w:val="auto"/>
              </w:rPr>
              <w:t>Other Beneficial Owners of More than 5% of the Common Shares</w:t>
            </w:r>
          </w:p>
        </w:tc>
        <w:tc>
          <w:tcPr>
            <w:tcW w:w="1980" w:type="dxa"/>
            <w:vAlign w:val="bottom"/>
            <w:tcBorders>
              <w:right w:val="single" w:sz="8" w:color="auto"/>
            </w:tcBorders>
            <w:shd w:val="clear" w:color="auto" w:fill="D9D9D9"/>
          </w:tcPr>
          <w:p>
            <w:pPr>
              <w:spacing w:after="0"/>
              <w:rPr>
                <w:sz w:val="24"/>
                <w:szCs w:val="24"/>
                <w:color w:val="auto"/>
              </w:rPr>
            </w:pPr>
          </w:p>
        </w:tc>
        <w:tc>
          <w:tcPr>
            <w:tcW w:w="1840" w:type="dxa"/>
            <w:vAlign w:val="bottom"/>
            <w:tcBorders>
              <w:right w:val="single" w:sz="8" w:color="auto"/>
            </w:tcBorders>
            <w:shd w:val="clear" w:color="auto" w:fill="D9D9D9"/>
          </w:tcPr>
          <w:p>
            <w:pPr>
              <w:spacing w:after="0"/>
              <w:rPr>
                <w:sz w:val="24"/>
                <w:szCs w:val="24"/>
                <w:color w:val="auto"/>
              </w:rPr>
            </w:pPr>
          </w:p>
        </w:tc>
      </w:tr>
      <w:tr>
        <w:trPr>
          <w:trHeight w:val="100"/>
        </w:trPr>
        <w:tc>
          <w:tcPr>
            <w:tcW w:w="5260" w:type="dxa"/>
            <w:vAlign w:val="bottom"/>
            <w:tcBorders>
              <w:left w:val="single" w:sz="8" w:color="auto"/>
              <w:bottom w:val="single" w:sz="8" w:color="auto"/>
              <w:right w:val="single" w:sz="8" w:color="auto"/>
            </w:tcBorders>
            <w:shd w:val="clear" w:color="auto" w:fill="D9D9D9"/>
          </w:tcPr>
          <w:p>
            <w:pPr>
              <w:spacing w:after="0"/>
              <w:rPr>
                <w:sz w:val="8"/>
                <w:szCs w:val="8"/>
                <w:color w:val="auto"/>
              </w:rPr>
            </w:pPr>
          </w:p>
        </w:tc>
        <w:tc>
          <w:tcPr>
            <w:tcW w:w="1980" w:type="dxa"/>
            <w:vAlign w:val="bottom"/>
            <w:tcBorders>
              <w:bottom w:val="single" w:sz="8" w:color="auto"/>
              <w:right w:val="single" w:sz="8" w:color="auto"/>
            </w:tcBorders>
            <w:shd w:val="clear" w:color="auto" w:fill="D9D9D9"/>
          </w:tcPr>
          <w:p>
            <w:pPr>
              <w:spacing w:after="0"/>
              <w:rPr>
                <w:sz w:val="8"/>
                <w:szCs w:val="8"/>
                <w:color w:val="auto"/>
              </w:rPr>
            </w:pPr>
          </w:p>
        </w:tc>
        <w:tc>
          <w:tcPr>
            <w:tcW w:w="1840" w:type="dxa"/>
            <w:vAlign w:val="bottom"/>
            <w:tcBorders>
              <w:bottom w:val="single" w:sz="8" w:color="auto"/>
              <w:right w:val="single" w:sz="8" w:color="auto"/>
            </w:tcBorders>
            <w:shd w:val="clear" w:color="auto" w:fill="D9D9D9"/>
          </w:tcPr>
          <w:p>
            <w:pPr>
              <w:spacing w:after="0"/>
              <w:rPr>
                <w:sz w:val="8"/>
                <w:szCs w:val="8"/>
                <w:color w:val="auto"/>
              </w:rPr>
            </w:pPr>
          </w:p>
        </w:tc>
      </w:tr>
      <w:tr>
        <w:trPr>
          <w:trHeight w:val="285"/>
        </w:trPr>
        <w:tc>
          <w:tcPr>
            <w:tcW w:w="52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Edyth B. Lindner (8)</w:t>
            </w:r>
          </w:p>
        </w:tc>
        <w:tc>
          <w:tcPr>
            <w:tcW w:w="1980" w:type="dxa"/>
            <w:vAlign w:val="bottom"/>
            <w:tcBorders>
              <w:right w:val="single" w:sz="8" w:color="auto"/>
            </w:tcBorders>
          </w:tcPr>
          <w:p>
            <w:pPr>
              <w:jc w:val="right"/>
              <w:ind w:right="559"/>
              <w:spacing w:after="0"/>
              <w:rPr>
                <w:sz w:val="20"/>
                <w:szCs w:val="20"/>
                <w:color w:val="auto"/>
              </w:rPr>
            </w:pPr>
            <w:r>
              <w:rPr>
                <w:rFonts w:ascii="Arial" w:cs="Arial" w:eastAsia="Arial" w:hAnsi="Arial"/>
                <w:sz w:val="16"/>
                <w:szCs w:val="16"/>
                <w:color w:val="auto"/>
              </w:rPr>
              <w:t>5,865,909</w:t>
            </w:r>
          </w:p>
        </w:tc>
        <w:tc>
          <w:tcPr>
            <w:tcW w:w="1840" w:type="dxa"/>
            <w:vAlign w:val="bottom"/>
            <w:tcBorders>
              <w:right w:val="single" w:sz="8" w:color="auto"/>
            </w:tcBorders>
          </w:tcPr>
          <w:p>
            <w:pPr>
              <w:jc w:val="right"/>
              <w:ind w:right="499"/>
              <w:spacing w:after="0"/>
              <w:rPr>
                <w:sz w:val="20"/>
                <w:szCs w:val="20"/>
                <w:color w:val="auto"/>
              </w:rPr>
            </w:pPr>
            <w:r>
              <w:rPr>
                <w:rFonts w:ascii="Arial" w:cs="Arial" w:eastAsia="Arial" w:hAnsi="Arial"/>
                <w:sz w:val="16"/>
                <w:szCs w:val="16"/>
                <w:color w:val="auto"/>
              </w:rPr>
              <w:t>6.5%</w:t>
            </w:r>
          </w:p>
        </w:tc>
      </w:tr>
      <w:tr>
        <w:trPr>
          <w:trHeight w:val="101"/>
        </w:trPr>
        <w:tc>
          <w:tcPr>
            <w:tcW w:w="5260" w:type="dxa"/>
            <w:vAlign w:val="bottom"/>
            <w:tcBorders>
              <w:left w:val="single" w:sz="8" w:color="auto"/>
              <w:bottom w:val="single" w:sz="8" w:color="auto"/>
              <w:right w:val="single" w:sz="8" w:color="auto"/>
            </w:tcBorders>
          </w:tcPr>
          <w:p>
            <w:pPr>
              <w:spacing w:after="0"/>
              <w:rPr>
                <w:sz w:val="8"/>
                <w:szCs w:val="8"/>
                <w:color w:val="auto"/>
              </w:rPr>
            </w:pPr>
          </w:p>
        </w:tc>
        <w:tc>
          <w:tcPr>
            <w:tcW w:w="1980" w:type="dxa"/>
            <w:vAlign w:val="bottom"/>
            <w:tcBorders>
              <w:bottom w:val="single" w:sz="8" w:color="auto"/>
              <w:right w:val="single" w:sz="8" w:color="auto"/>
            </w:tcBorders>
          </w:tcPr>
          <w:p>
            <w:pPr>
              <w:spacing w:after="0"/>
              <w:rPr>
                <w:sz w:val="8"/>
                <w:szCs w:val="8"/>
                <w:color w:val="auto"/>
              </w:rPr>
            </w:pPr>
          </w:p>
        </w:tc>
        <w:tc>
          <w:tcPr>
            <w:tcW w:w="1840" w:type="dxa"/>
            <w:vAlign w:val="bottom"/>
            <w:tcBorders>
              <w:bottom w:val="single" w:sz="8" w:color="auto"/>
              <w:right w:val="single" w:sz="8" w:color="auto"/>
            </w:tcBorders>
          </w:tcPr>
          <w:p>
            <w:pPr>
              <w:spacing w:after="0"/>
              <w:rPr>
                <w:sz w:val="8"/>
                <w:szCs w:val="8"/>
                <w:color w:val="auto"/>
              </w:rPr>
            </w:pPr>
          </w:p>
        </w:tc>
      </w:tr>
      <w:tr>
        <w:trPr>
          <w:trHeight w:val="284"/>
        </w:trPr>
        <w:tc>
          <w:tcPr>
            <w:tcW w:w="52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BlackRock, Inc. (9)</w:t>
            </w:r>
          </w:p>
        </w:tc>
        <w:tc>
          <w:tcPr>
            <w:tcW w:w="1980" w:type="dxa"/>
            <w:vAlign w:val="bottom"/>
            <w:tcBorders>
              <w:right w:val="single" w:sz="8" w:color="auto"/>
            </w:tcBorders>
          </w:tcPr>
          <w:p>
            <w:pPr>
              <w:jc w:val="right"/>
              <w:ind w:right="559"/>
              <w:spacing w:after="0"/>
              <w:rPr>
                <w:sz w:val="20"/>
                <w:szCs w:val="20"/>
                <w:color w:val="auto"/>
              </w:rPr>
            </w:pPr>
            <w:r>
              <w:rPr>
                <w:rFonts w:ascii="Arial" w:cs="Arial" w:eastAsia="Arial" w:hAnsi="Arial"/>
                <w:sz w:val="16"/>
                <w:szCs w:val="16"/>
                <w:color w:val="auto"/>
              </w:rPr>
              <w:t>9,061,940</w:t>
            </w:r>
          </w:p>
        </w:tc>
        <w:tc>
          <w:tcPr>
            <w:tcW w:w="1840" w:type="dxa"/>
            <w:vAlign w:val="bottom"/>
            <w:tcBorders>
              <w:right w:val="single" w:sz="8" w:color="auto"/>
            </w:tcBorders>
          </w:tcPr>
          <w:p>
            <w:pPr>
              <w:jc w:val="right"/>
              <w:ind w:right="499"/>
              <w:spacing w:after="0"/>
              <w:rPr>
                <w:sz w:val="20"/>
                <w:szCs w:val="20"/>
                <w:color w:val="auto"/>
              </w:rPr>
            </w:pPr>
            <w:r>
              <w:rPr>
                <w:rFonts w:ascii="Arial" w:cs="Arial" w:eastAsia="Arial" w:hAnsi="Arial"/>
                <w:sz w:val="16"/>
                <w:szCs w:val="16"/>
                <w:color w:val="auto"/>
              </w:rPr>
              <w:t>10.1%</w:t>
            </w:r>
          </w:p>
        </w:tc>
      </w:tr>
      <w:tr>
        <w:trPr>
          <w:trHeight w:val="101"/>
        </w:trPr>
        <w:tc>
          <w:tcPr>
            <w:tcW w:w="5260" w:type="dxa"/>
            <w:vAlign w:val="bottom"/>
            <w:tcBorders>
              <w:left w:val="single" w:sz="8" w:color="auto"/>
              <w:bottom w:val="single" w:sz="8" w:color="auto"/>
              <w:right w:val="single" w:sz="8" w:color="auto"/>
            </w:tcBorders>
          </w:tcPr>
          <w:p>
            <w:pPr>
              <w:spacing w:after="0"/>
              <w:rPr>
                <w:sz w:val="8"/>
                <w:szCs w:val="8"/>
                <w:color w:val="auto"/>
              </w:rPr>
            </w:pPr>
          </w:p>
        </w:tc>
        <w:tc>
          <w:tcPr>
            <w:tcW w:w="1980" w:type="dxa"/>
            <w:vAlign w:val="bottom"/>
            <w:tcBorders>
              <w:bottom w:val="single" w:sz="8" w:color="auto"/>
              <w:right w:val="single" w:sz="8" w:color="auto"/>
            </w:tcBorders>
          </w:tcPr>
          <w:p>
            <w:pPr>
              <w:spacing w:after="0"/>
              <w:rPr>
                <w:sz w:val="8"/>
                <w:szCs w:val="8"/>
                <w:color w:val="auto"/>
              </w:rPr>
            </w:pPr>
          </w:p>
        </w:tc>
        <w:tc>
          <w:tcPr>
            <w:tcW w:w="1840" w:type="dxa"/>
            <w:vAlign w:val="bottom"/>
            <w:tcBorders>
              <w:bottom w:val="single" w:sz="8" w:color="auto"/>
              <w:right w:val="single" w:sz="8" w:color="auto"/>
            </w:tcBorders>
          </w:tcPr>
          <w:p>
            <w:pPr>
              <w:spacing w:after="0"/>
              <w:rPr>
                <w:sz w:val="8"/>
                <w:szCs w:val="8"/>
                <w:color w:val="auto"/>
              </w:rPr>
            </w:pPr>
          </w:p>
        </w:tc>
      </w:tr>
      <w:tr>
        <w:trPr>
          <w:trHeight w:val="287"/>
        </w:trPr>
        <w:tc>
          <w:tcPr>
            <w:tcW w:w="52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The Vanguard Group (10)</w:t>
            </w:r>
          </w:p>
        </w:tc>
        <w:tc>
          <w:tcPr>
            <w:tcW w:w="1980" w:type="dxa"/>
            <w:vAlign w:val="bottom"/>
            <w:tcBorders>
              <w:bottom w:val="single" w:sz="8" w:color="auto"/>
              <w:right w:val="single" w:sz="8" w:color="auto"/>
            </w:tcBorders>
          </w:tcPr>
          <w:p>
            <w:pPr>
              <w:jc w:val="right"/>
              <w:ind w:right="559"/>
              <w:spacing w:after="0"/>
              <w:rPr>
                <w:sz w:val="20"/>
                <w:szCs w:val="20"/>
                <w:color w:val="auto"/>
              </w:rPr>
            </w:pPr>
            <w:r>
              <w:rPr>
                <w:rFonts w:ascii="Arial" w:cs="Arial" w:eastAsia="Arial" w:hAnsi="Arial"/>
                <w:sz w:val="16"/>
                <w:szCs w:val="16"/>
                <w:color w:val="auto"/>
              </w:rPr>
              <w:t>7,628,304</w:t>
            </w:r>
          </w:p>
        </w:tc>
        <w:tc>
          <w:tcPr>
            <w:tcW w:w="1840" w:type="dxa"/>
            <w:vAlign w:val="bottom"/>
            <w:tcBorders>
              <w:bottom w:val="single" w:sz="8" w:color="auto"/>
              <w:right w:val="single" w:sz="8" w:color="auto"/>
            </w:tcBorders>
          </w:tcPr>
          <w:p>
            <w:pPr>
              <w:jc w:val="right"/>
              <w:ind w:right="499"/>
              <w:spacing w:after="0"/>
              <w:rPr>
                <w:sz w:val="20"/>
                <w:szCs w:val="20"/>
                <w:color w:val="auto"/>
              </w:rPr>
            </w:pPr>
            <w:r>
              <w:rPr>
                <w:rFonts w:ascii="Arial" w:cs="Arial" w:eastAsia="Arial" w:hAnsi="Arial"/>
                <w:sz w:val="16"/>
                <w:szCs w:val="16"/>
                <w:color w:val="auto"/>
              </w:rPr>
              <w:t>8.5%</w:t>
            </w:r>
          </w:p>
        </w:tc>
      </w:tr>
    </w:tbl>
    <w:p>
      <w:pPr>
        <w:spacing w:after="0" w:line="49" w:lineRule="exact"/>
        <w:rPr>
          <w:sz w:val="20"/>
          <w:szCs w:val="20"/>
          <w:color w:val="auto"/>
        </w:rPr>
      </w:pPr>
    </w:p>
    <w:p>
      <w:pPr>
        <w:ind w:left="1440" w:right="20" w:hanging="352"/>
        <w:spacing w:after="0" w:line="231" w:lineRule="auto"/>
        <w:tabs>
          <w:tab w:leader="none" w:pos="144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Includes the following numbers of shares that may be acquired within 60 days of March 1, 2020 through the exercise of options held by such person: Carl H. Lindner III – 150,000; S. Craig Lindner – 100,000; John B. Berding – 113,334; Joseph E. (Jeff) Consolino – 5,000; Michelle A. Gillis – 39,048 and Vito C. Peraino – 4,000. Shares held in the Company’s 401(k) Retirement and Savings Plan (RASP) and detailed in footnotes (3) and (4) are provided as of March 1, 2020. For Mr. Berding, shares owned excludes shares held in the RASP, for which each serves on the Administrative Plan Committee, other than those shares allocated to his personal RASP account.</w:t>
      </w:r>
    </w:p>
    <w:p>
      <w:pPr>
        <w:spacing w:after="0" w:line="1" w:lineRule="exact"/>
        <w:rPr>
          <w:rFonts w:ascii="Arial" w:cs="Arial" w:eastAsia="Arial" w:hAnsi="Arial"/>
          <w:sz w:val="14"/>
          <w:szCs w:val="14"/>
          <w:color w:val="auto"/>
        </w:rPr>
      </w:pPr>
    </w:p>
    <w:p>
      <w:pPr>
        <w:ind w:left="1440" w:right="40" w:hanging="352"/>
        <w:spacing w:after="0" w:line="244" w:lineRule="auto"/>
        <w:tabs>
          <w:tab w:leader="none" w:pos="1440" w:val="left"/>
        </w:tabs>
        <w:numPr>
          <w:ilvl w:val="0"/>
          <w:numId w:val="9"/>
        </w:numPr>
        <w:rPr>
          <w:rFonts w:ascii="Arial" w:cs="Arial" w:eastAsia="Arial" w:hAnsi="Arial"/>
          <w:sz w:val="13"/>
          <w:szCs w:val="13"/>
          <w:color w:val="auto"/>
        </w:rPr>
      </w:pPr>
      <w:r>
        <w:rPr>
          <w:rFonts w:ascii="Arial" w:cs="Arial" w:eastAsia="Arial" w:hAnsi="Arial"/>
          <w:sz w:val="13"/>
          <w:szCs w:val="13"/>
          <w:color w:val="auto"/>
        </w:rPr>
        <w:t>Includes 2,623,593 shares held in his trust over which he holds voting and dispositive power; 343,162 shares held by a trust over which his spouse has voting and dispositive power; 838,480 shares held in a limited liability company over which shares he holds dispositive power; 355,585 shares held by a charitable foundation over which he shares voting and dispositive power with his brother, S. Craig Lindner and his mother, Edyth B. Lindner; 3,984 shares held in trusts for family members over which he holds voting and dispositive power; 1,000,000 shares held in a trust over which he holds voting power; and 136,040 shares held in two charitable foundations over which he and/or his spouse have or share voting and dispositive power.</w:t>
      </w:r>
    </w:p>
    <w:p>
      <w:pPr>
        <w:spacing w:after="0" w:line="1" w:lineRule="exact"/>
        <w:rPr>
          <w:rFonts w:ascii="Arial" w:cs="Arial" w:eastAsia="Arial" w:hAnsi="Arial"/>
          <w:sz w:val="13"/>
          <w:szCs w:val="13"/>
          <w:color w:val="auto"/>
        </w:rPr>
      </w:pPr>
    </w:p>
    <w:p>
      <w:pPr>
        <w:ind w:left="1440" w:right="120" w:hanging="352"/>
        <w:spacing w:after="0" w:line="243" w:lineRule="auto"/>
        <w:tabs>
          <w:tab w:leader="none" w:pos="1440" w:val="left"/>
        </w:tabs>
        <w:numPr>
          <w:ilvl w:val="0"/>
          <w:numId w:val="9"/>
        </w:numPr>
        <w:rPr>
          <w:rFonts w:ascii="Arial" w:cs="Arial" w:eastAsia="Arial" w:hAnsi="Arial"/>
          <w:sz w:val="13"/>
          <w:szCs w:val="13"/>
          <w:color w:val="auto"/>
        </w:rPr>
      </w:pPr>
      <w:r>
        <w:rPr>
          <w:rFonts w:ascii="Arial" w:cs="Arial" w:eastAsia="Arial" w:hAnsi="Arial"/>
          <w:sz w:val="13"/>
          <w:szCs w:val="13"/>
          <w:color w:val="auto"/>
        </w:rPr>
        <w:t>Includes 3,095,292 shares held in his trust over which he has voting and dispositive power; 36,166 shares held in the RASP; 113,229 shares held by a trust over which his spouse has voting and dispositive power; 355,585 shares held by a charitable foundation over which he shares voting and dispositive power with his brother, Carl H. Lindner III and his mother, Edyth B. Lindner; 1,000,000 shares held in a trust over which he holds voting power; and 219,155 shares held by a charitable foundation over which he shares voting and dispositive power with his spouse.</w:t>
      </w:r>
    </w:p>
    <w:p>
      <w:pPr>
        <w:spacing w:after="0" w:line="2" w:lineRule="exact"/>
        <w:rPr>
          <w:rFonts w:ascii="Arial" w:cs="Arial" w:eastAsia="Arial" w:hAnsi="Arial"/>
          <w:sz w:val="13"/>
          <w:szCs w:val="13"/>
          <w:color w:val="auto"/>
        </w:rPr>
      </w:pPr>
    </w:p>
    <w:p>
      <w:pPr>
        <w:ind w:left="1440" w:hanging="352"/>
        <w:spacing w:after="0"/>
        <w:tabs>
          <w:tab w:leader="none" w:pos="144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Includes 1,484 shares held in the RASP and 233 shares held by a family trust.</w:t>
      </w:r>
    </w:p>
    <w:p>
      <w:pPr>
        <w:spacing w:after="0" w:line="9" w:lineRule="exact"/>
        <w:rPr>
          <w:rFonts w:ascii="Arial" w:cs="Arial" w:eastAsia="Arial" w:hAnsi="Arial"/>
          <w:sz w:val="14"/>
          <w:szCs w:val="14"/>
          <w:color w:val="auto"/>
        </w:rPr>
      </w:pPr>
    </w:p>
    <w:p>
      <w:pPr>
        <w:ind w:left="1440" w:right="360" w:hanging="352"/>
        <w:spacing w:after="0" w:line="274" w:lineRule="auto"/>
        <w:tabs>
          <w:tab w:leader="none" w:pos="1440" w:val="left"/>
        </w:tabs>
        <w:numPr>
          <w:ilvl w:val="0"/>
          <w:numId w:val="9"/>
        </w:numPr>
        <w:rPr>
          <w:rFonts w:ascii="Arial" w:cs="Arial" w:eastAsia="Arial" w:hAnsi="Arial"/>
          <w:sz w:val="12"/>
          <w:szCs w:val="12"/>
          <w:color w:val="auto"/>
        </w:rPr>
      </w:pPr>
      <w:r>
        <w:rPr>
          <w:rFonts w:ascii="Arial" w:cs="Arial" w:eastAsia="Arial" w:hAnsi="Arial"/>
          <w:sz w:val="12"/>
          <w:szCs w:val="12"/>
          <w:color w:val="auto"/>
        </w:rPr>
        <w:t>Includes 64,977 shares held by companies in which he is a minority shareholder and for which he serves as an executive officer or director, 3,000 shares held by a family partnership in which he holds a 25% interest and 810 shares held as trustee in a trust for the benefit of family members.</w:t>
      </w:r>
    </w:p>
    <w:p>
      <w:pPr>
        <w:ind w:left="1440" w:hanging="352"/>
        <w:spacing w:after="0"/>
        <w:tabs>
          <w:tab w:leader="none" w:pos="144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Includes 19,558 shares held by spouse.</w:t>
      </w:r>
    </w:p>
    <w:p>
      <w:pPr>
        <w:sectPr>
          <w:pgSz w:w="11900" w:h="16838" w:orient="portrait"/>
          <w:cols w:equalWidth="0" w:num="1">
            <w:col w:w="10160"/>
          </w:cols>
          <w:pgMar w:left="320" w:top="265" w:right="1419" w:bottom="421" w:gutter="0" w:footer="0" w:header="0"/>
        </w:sectPr>
      </w:pPr>
    </w:p>
    <w:p>
      <w:pPr>
        <w:spacing w:after="0" w:line="308" w:lineRule="exact"/>
        <w:rPr>
          <w:sz w:val="20"/>
          <w:szCs w:val="20"/>
          <w:color w:val="auto"/>
        </w:rPr>
      </w:pPr>
    </w:p>
    <w:p>
      <w:pPr>
        <w:ind w:left="1160"/>
        <w:spacing w:after="0"/>
        <w:tabs>
          <w:tab w:leader="none" w:pos="9960" w:val="left"/>
        </w:tabs>
        <w:rPr>
          <w:sz w:val="20"/>
          <w:szCs w:val="20"/>
          <w:color w:val="auto"/>
        </w:rPr>
      </w:pPr>
      <w:r>
        <w:rPr>
          <w:rFonts w:ascii="Arial" w:cs="Arial" w:eastAsia="Arial" w:hAnsi="Arial"/>
          <w:sz w:val="16"/>
          <w:szCs w:val="16"/>
          <w:color w:val="auto"/>
        </w:rPr>
        <w:t>2020 Proxy Statement | Company Information</w:t>
      </w:r>
      <w:r>
        <w:rPr>
          <w:sz w:val="20"/>
          <w:szCs w:val="20"/>
          <w:color w:val="auto"/>
        </w:rPr>
        <w:tab/>
      </w: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129540</wp:posOffset>
            </wp:positionV>
            <wp:extent cx="69951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160"/>
          </w:cols>
          <w:pgMar w:left="320" w:top="265" w:right="1419" w:bottom="421" w:gutter="0" w:footer="0" w:header="0"/>
          <w:type w:val="continuous"/>
        </w:sectPr>
      </w:pPr>
    </w:p>
    <w:bookmarkStart w:id="20" w:name="page21"/>
    <w:bookmarkEnd w:id="20"/>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6515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440" w:right="1160" w:hanging="352"/>
        <w:spacing w:after="0" w:line="246" w:lineRule="auto"/>
        <w:tabs>
          <w:tab w:leader="none" w:pos="14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Shares held by all directors, nominees and executive officers as a group is calculated by counting shares over which Carl H. Lindner III and S. Craig Lindner share voting and dispositive power only once.</w:t>
      </w:r>
    </w:p>
    <w:p>
      <w:pPr>
        <w:ind w:left="1440" w:right="1080" w:hanging="352"/>
        <w:spacing w:after="0" w:line="248" w:lineRule="auto"/>
        <w:tabs>
          <w:tab w:leader="none" w:pos="1440" w:val="left"/>
        </w:tabs>
        <w:numPr>
          <w:ilvl w:val="0"/>
          <w:numId w:val="10"/>
        </w:numPr>
        <w:rPr>
          <w:rFonts w:ascii="Arial" w:cs="Arial" w:eastAsia="Arial" w:hAnsi="Arial"/>
          <w:sz w:val="13"/>
          <w:szCs w:val="13"/>
          <w:color w:val="auto"/>
        </w:rPr>
      </w:pPr>
      <w:r>
        <w:rPr>
          <w:rFonts w:ascii="Arial" w:cs="Arial" w:eastAsia="Arial" w:hAnsi="Arial"/>
          <w:sz w:val="13"/>
          <w:szCs w:val="13"/>
          <w:color w:val="auto"/>
        </w:rPr>
        <w:t>Includes 2,510,324 shares held in her trust over which she has voting and dispositive power. Also includes 355,585 shares held in a charitable foundation over which she shares voting and dispositive power with her sons, Carl H. Lindner III and S. Craig Lindner and 3,000,000 shares held in a trust over which she has dispositive power. The address for Mrs. Lindner is 301 East Fourth Street, Cincinnati, Ohio 45202.</w:t>
      </w:r>
    </w:p>
    <w:p>
      <w:pPr>
        <w:ind w:left="1440" w:right="1000" w:hanging="352"/>
        <w:spacing w:after="0" w:line="187" w:lineRule="auto"/>
        <w:tabs>
          <w:tab w:leader="none" w:pos="14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Based solely on information contained in a Schedule 13G amendment filed with the SEC on February 4, 2020 by BlackRock, Inc. reporting sole voting power of 8,528,912 shares and sole dispositive power of 9,061,940 shares. The address for BlackRock, Inc. is 55 East 52</w:t>
      </w:r>
      <w:r>
        <w:rPr>
          <w:rFonts w:ascii="Arial" w:cs="Arial" w:eastAsia="Arial" w:hAnsi="Arial"/>
          <w:sz w:val="23"/>
          <w:szCs w:val="23"/>
          <w:color w:val="auto"/>
          <w:vertAlign w:val="superscript"/>
        </w:rPr>
        <w:t>nd</w:t>
      </w:r>
      <w:r>
        <w:rPr>
          <w:rFonts w:ascii="Arial" w:cs="Arial" w:eastAsia="Arial" w:hAnsi="Arial"/>
          <w:sz w:val="14"/>
          <w:szCs w:val="14"/>
          <w:color w:val="auto"/>
        </w:rPr>
        <w:t xml:space="preserve"> Street, New York, NY, 10055.</w:t>
      </w:r>
    </w:p>
    <w:p>
      <w:pPr>
        <w:spacing w:after="0" w:line="2" w:lineRule="exact"/>
        <w:rPr>
          <w:rFonts w:ascii="Arial" w:cs="Arial" w:eastAsia="Arial" w:hAnsi="Arial"/>
          <w:sz w:val="14"/>
          <w:szCs w:val="14"/>
          <w:color w:val="auto"/>
        </w:rPr>
      </w:pPr>
    </w:p>
    <w:p>
      <w:pPr>
        <w:ind w:left="1440" w:right="1040" w:hanging="352"/>
        <w:spacing w:after="0" w:line="232" w:lineRule="auto"/>
        <w:tabs>
          <w:tab w:leader="none" w:pos="14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Based solely on information contained in a Schedule 13G amendment filed with the SEC on February 12, 2020 by The Vanguard Group reporting sole voting power of 51,694 shares, shared voting power of 33,731 shares, sole dispositive power of 7,549,840 shares and shared dispositive power of 78,464 shares. The address for The Vanguard Group is 100 Vanguard Blvd., Malvern, Pennsylvania, 19355.</w:t>
      </w:r>
    </w:p>
    <w:p>
      <w:pPr>
        <w:spacing w:after="0" w:line="300" w:lineRule="exact"/>
        <w:rPr>
          <w:sz w:val="20"/>
          <w:szCs w:val="20"/>
          <w:color w:val="auto"/>
        </w:rPr>
      </w:pPr>
    </w:p>
    <w:tbl>
      <w:tblPr>
        <w:tblLayout w:type="fixed"/>
        <w:tblInd w:w="120" w:type="dxa"/>
        <w:tblCellMar>
          <w:top w:w="0" w:type="dxa"/>
          <w:left w:w="0" w:type="dxa"/>
          <w:bottom w:w="0" w:type="dxa"/>
          <w:right w:w="0" w:type="dxa"/>
        </w:tblCellMar>
      </w:tblPr>
      <w:tr>
        <w:trPr>
          <w:trHeight w:val="206"/>
        </w:trPr>
        <w:tc>
          <w:tcPr>
            <w:tcW w:w="6940" w:type="dxa"/>
            <w:vAlign w:val="bottom"/>
          </w:tcPr>
          <w:p>
            <w:pPr>
              <w:ind w:left="1040"/>
              <w:spacing w:after="0"/>
              <w:rPr>
                <w:sz w:val="20"/>
                <w:szCs w:val="20"/>
                <w:color w:val="auto"/>
              </w:rPr>
            </w:pPr>
            <w:r>
              <w:rPr>
                <w:rFonts w:ascii="Arial" w:cs="Arial" w:eastAsia="Arial" w:hAnsi="Arial"/>
                <w:sz w:val="16"/>
                <w:szCs w:val="16"/>
                <w:color w:val="auto"/>
              </w:rPr>
              <w:t>2020 Proxy Statement | Company Information</w:t>
            </w:r>
          </w:p>
        </w:tc>
        <w:tc>
          <w:tcPr>
            <w:tcW w:w="4080" w:type="dxa"/>
            <w:vAlign w:val="bottom"/>
          </w:tcPr>
          <w:p>
            <w:pPr>
              <w:jc w:val="right"/>
              <w:ind w:right="919"/>
              <w:spacing w:after="0"/>
              <w:rPr>
                <w:sz w:val="20"/>
                <w:szCs w:val="20"/>
                <w:color w:val="auto"/>
              </w:rPr>
            </w:pPr>
            <w:r>
              <w:rPr>
                <w:rFonts w:ascii="Arial" w:cs="Arial" w:eastAsia="Arial" w:hAnsi="Arial"/>
                <w:sz w:val="16"/>
                <w:szCs w:val="16"/>
                <w:color w:val="auto"/>
              </w:rPr>
              <w:t>14</w:t>
            </w:r>
          </w:p>
        </w:tc>
      </w:tr>
      <w:tr>
        <w:trPr>
          <w:trHeight w:val="202"/>
        </w:trPr>
        <w:tc>
          <w:tcPr>
            <w:tcW w:w="6940" w:type="dxa"/>
            <w:vAlign w:val="bottom"/>
            <w:tcBorders>
              <w:bottom w:val="single" w:sz="8" w:color="auto"/>
            </w:tcBorders>
          </w:tcPr>
          <w:p>
            <w:pPr>
              <w:spacing w:after="0"/>
              <w:rPr>
                <w:sz w:val="17"/>
                <w:szCs w:val="17"/>
                <w:color w:val="auto"/>
              </w:rPr>
            </w:pPr>
          </w:p>
        </w:tc>
        <w:tc>
          <w:tcPr>
            <w:tcW w:w="4080" w:type="dxa"/>
            <w:vAlign w:val="bottom"/>
            <w:tcBorders>
              <w:bottom w:val="single" w:sz="8" w:color="auto"/>
            </w:tcBorders>
          </w:tcPr>
          <w:p>
            <w:pPr>
              <w:spacing w:after="0"/>
              <w:rPr>
                <w:sz w:val="17"/>
                <w:szCs w:val="17"/>
                <w:color w:val="auto"/>
              </w:rPr>
            </w:pPr>
          </w:p>
        </w:tc>
      </w:tr>
    </w:tbl>
    <w:p>
      <w:pPr>
        <w:sectPr>
          <w:pgSz w:w="11900" w:h="16838" w:orient="portrait"/>
          <w:cols w:equalWidth="0" w:num="1">
            <w:col w:w="11140"/>
          </w:cols>
          <w:pgMar w:left="320" w:top="265" w:right="439" w:bottom="1440" w:gutter="0" w:footer="0" w:header="0"/>
        </w:sectPr>
      </w:pPr>
    </w:p>
    <w:bookmarkStart w:id="21" w:name="page22"/>
    <w:bookmarkEnd w:id="21"/>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6515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080"/>
        <w:spacing w:after="0"/>
        <w:rPr>
          <w:sz w:val="20"/>
          <w:szCs w:val="20"/>
          <w:color w:val="auto"/>
        </w:rPr>
      </w:pPr>
      <w:r>
        <w:rPr>
          <w:rFonts w:ascii="Arial" w:cs="Arial" w:eastAsia="Arial" w:hAnsi="Arial"/>
          <w:sz w:val="31"/>
          <w:szCs w:val="31"/>
          <w:b w:val="1"/>
          <w:bCs w:val="1"/>
          <w:color w:val="002875"/>
        </w:rPr>
        <w:t>Corporate Governance</w:t>
      </w:r>
    </w:p>
    <w:p>
      <w:pPr>
        <w:spacing w:after="0" w:line="292" w:lineRule="exact"/>
        <w:rPr>
          <w:sz w:val="20"/>
          <w:szCs w:val="20"/>
          <w:color w:val="auto"/>
        </w:rPr>
      </w:pPr>
    </w:p>
    <w:p>
      <w:pPr>
        <w:ind w:left="1080"/>
        <w:spacing w:after="0"/>
        <w:rPr>
          <w:sz w:val="20"/>
          <w:szCs w:val="20"/>
          <w:color w:val="auto"/>
        </w:rPr>
      </w:pPr>
      <w:r>
        <w:rPr>
          <w:rFonts w:ascii="Arial" w:cs="Arial" w:eastAsia="Arial" w:hAnsi="Arial"/>
          <w:sz w:val="20"/>
          <w:szCs w:val="20"/>
          <w:b w:val="1"/>
          <w:bCs w:val="1"/>
          <w:color w:val="3F3F3F"/>
        </w:rPr>
        <w:t>Corporate Governance Summary</w:t>
      </w:r>
    </w:p>
    <w:p>
      <w:pPr>
        <w:spacing w:after="0" w:line="13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Our corporate governance framework reinforces our goal of building long-term sustainable value for shareholders.</w:t>
      </w:r>
    </w:p>
    <w:p>
      <w:pPr>
        <w:spacing w:after="0" w:line="206" w:lineRule="exact"/>
        <w:rPr>
          <w:sz w:val="20"/>
          <w:szCs w:val="20"/>
          <w:color w:val="auto"/>
        </w:rPr>
      </w:pPr>
    </w:p>
    <w:tbl>
      <w:tblPr>
        <w:tblLayout w:type="fixed"/>
        <w:tblInd w:w="1090" w:type="dxa"/>
        <w:tblCellMar>
          <w:top w:w="0" w:type="dxa"/>
          <w:left w:w="0" w:type="dxa"/>
          <w:bottom w:w="0" w:type="dxa"/>
          <w:right w:w="0" w:type="dxa"/>
        </w:tblCellMar>
      </w:tblPr>
      <w:tr>
        <w:trPr>
          <w:trHeight w:val="319"/>
        </w:trPr>
        <w:tc>
          <w:tcPr>
            <w:tcW w:w="1560" w:type="dxa"/>
            <w:vAlign w:val="bottom"/>
            <w:tcBorders>
              <w:top w:val="single" w:sz="8" w:color="auto"/>
              <w:left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Board</w:t>
            </w:r>
          </w:p>
        </w:tc>
        <w:tc>
          <w:tcPr>
            <w:tcW w:w="38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7140" w:type="dxa"/>
            <w:vAlign w:val="bottom"/>
            <w:tcBorders>
              <w:top w:val="single" w:sz="8" w:color="auto"/>
              <w:right w:val="single" w:sz="8" w:color="auto"/>
            </w:tcBorders>
          </w:tcPr>
          <w:p>
            <w:pPr>
              <w:ind w:left="140"/>
              <w:spacing w:after="0"/>
              <w:rPr>
                <w:sz w:val="20"/>
                <w:szCs w:val="20"/>
                <w:color w:val="auto"/>
              </w:rPr>
            </w:pPr>
            <w:r>
              <w:rPr>
                <w:rFonts w:ascii="Arial" w:cs="Arial" w:eastAsia="Arial" w:hAnsi="Arial"/>
                <w:sz w:val="18"/>
                <w:szCs w:val="18"/>
                <w:color w:val="auto"/>
                <w:w w:val="91"/>
              </w:rPr>
              <w:t>The Board has determined that a majority of our directors and nominees are independent under</w:t>
            </w:r>
          </w:p>
        </w:tc>
        <w:tc>
          <w:tcPr>
            <w:tcW w:w="0" w:type="dxa"/>
            <w:vAlign w:val="bottom"/>
          </w:tcPr>
          <w:p>
            <w:pPr>
              <w:spacing w:after="0"/>
              <w:rPr>
                <w:sz w:val="1"/>
                <w:szCs w:val="1"/>
                <w:color w:val="auto"/>
              </w:rPr>
            </w:pPr>
          </w:p>
        </w:tc>
      </w:tr>
      <w:tr>
        <w:trPr>
          <w:trHeight w:val="216"/>
        </w:trPr>
        <w:tc>
          <w:tcPr>
            <w:tcW w:w="15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Independence</w:t>
            </w:r>
          </w:p>
        </w:tc>
        <w:tc>
          <w:tcPr>
            <w:tcW w:w="380" w:type="dxa"/>
            <w:vAlign w:val="bottom"/>
          </w:tcPr>
          <w:p>
            <w:pPr>
              <w:spacing w:after="0"/>
              <w:rPr>
                <w:sz w:val="18"/>
                <w:szCs w:val="18"/>
                <w:color w:val="auto"/>
              </w:rPr>
            </w:pPr>
          </w:p>
        </w:tc>
        <w:tc>
          <w:tcPr>
            <w:tcW w:w="714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our independence standards and the New York Stock Exchange listing standards</w:t>
            </w:r>
          </w:p>
        </w:tc>
        <w:tc>
          <w:tcPr>
            <w:tcW w:w="0" w:type="dxa"/>
            <w:vAlign w:val="bottom"/>
          </w:tcPr>
          <w:p>
            <w:pPr>
              <w:spacing w:after="0"/>
              <w:rPr>
                <w:sz w:val="1"/>
                <w:szCs w:val="1"/>
                <w:color w:val="auto"/>
              </w:rPr>
            </w:pPr>
          </w:p>
        </w:tc>
      </w:tr>
      <w:tr>
        <w:trPr>
          <w:trHeight w:val="234"/>
        </w:trPr>
        <w:tc>
          <w:tcPr>
            <w:tcW w:w="15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and Leadership</w:t>
            </w:r>
          </w:p>
        </w:tc>
        <w:tc>
          <w:tcPr>
            <w:tcW w:w="380" w:type="dxa"/>
            <w:vAlign w:val="bottom"/>
            <w:vMerge w:val="restart"/>
          </w:tcPr>
          <w:p>
            <w:pPr>
              <w:ind w:left="180"/>
              <w:spacing w:after="0"/>
              <w:rPr>
                <w:sz w:val="20"/>
                <w:szCs w:val="20"/>
                <w:color w:val="auto"/>
              </w:rPr>
            </w:pPr>
            <w:r>
              <w:rPr>
                <w:rFonts w:ascii="Arial" w:cs="Arial" w:eastAsia="Arial" w:hAnsi="Arial"/>
                <w:sz w:val="18"/>
                <w:szCs w:val="18"/>
                <w:color w:val="auto"/>
              </w:rPr>
              <w:t>•</w:t>
            </w:r>
          </w:p>
        </w:tc>
        <w:tc>
          <w:tcPr>
            <w:tcW w:w="7140" w:type="dxa"/>
            <w:vAlign w:val="bottom"/>
            <w:tcBorders>
              <w:right w:val="single" w:sz="8" w:color="auto"/>
            </w:tcBorders>
            <w:vMerge w:val="restart"/>
          </w:tcPr>
          <w:p>
            <w:pPr>
              <w:ind w:left="140"/>
              <w:spacing w:after="0"/>
              <w:rPr>
                <w:sz w:val="20"/>
                <w:szCs w:val="20"/>
                <w:color w:val="auto"/>
              </w:rPr>
            </w:pPr>
            <w:r>
              <w:rPr>
                <w:rFonts w:ascii="Arial" w:cs="Arial" w:eastAsia="Arial" w:hAnsi="Arial"/>
                <w:sz w:val="18"/>
                <w:szCs w:val="18"/>
                <w:color w:val="auto"/>
              </w:rPr>
              <w:t>We have a lead independent director empowered with broadly defined authorities and</w:t>
            </w:r>
          </w:p>
        </w:tc>
        <w:tc>
          <w:tcPr>
            <w:tcW w:w="0" w:type="dxa"/>
            <w:vAlign w:val="bottom"/>
          </w:tcPr>
          <w:p>
            <w:pPr>
              <w:spacing w:after="0"/>
              <w:rPr>
                <w:sz w:val="1"/>
                <w:szCs w:val="1"/>
                <w:color w:val="auto"/>
              </w:rPr>
            </w:pPr>
          </w:p>
        </w:tc>
      </w:tr>
      <w:tr>
        <w:trPr>
          <w:trHeight w:val="121"/>
        </w:trPr>
        <w:tc>
          <w:tcPr>
            <w:tcW w:w="1560" w:type="dxa"/>
            <w:vAlign w:val="bottom"/>
            <w:tcBorders>
              <w:left w:val="single" w:sz="8" w:color="auto"/>
              <w:right w:val="single" w:sz="8" w:color="auto"/>
            </w:tcBorders>
          </w:tcPr>
          <w:p>
            <w:pPr>
              <w:spacing w:after="0"/>
              <w:rPr>
                <w:sz w:val="10"/>
                <w:szCs w:val="10"/>
                <w:color w:val="auto"/>
              </w:rPr>
            </w:pPr>
          </w:p>
        </w:tc>
        <w:tc>
          <w:tcPr>
            <w:tcW w:w="380" w:type="dxa"/>
            <w:vAlign w:val="bottom"/>
            <w:vMerge w:val="continue"/>
          </w:tcPr>
          <w:p>
            <w:pPr>
              <w:spacing w:after="0"/>
              <w:rPr>
                <w:sz w:val="10"/>
                <w:szCs w:val="10"/>
                <w:color w:val="auto"/>
              </w:rPr>
            </w:pPr>
          </w:p>
        </w:tc>
        <w:tc>
          <w:tcPr>
            <w:tcW w:w="71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560" w:type="dxa"/>
            <w:vAlign w:val="bottom"/>
            <w:tcBorders>
              <w:left w:val="single" w:sz="8" w:color="auto"/>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714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responsibilities who also serves as Chairman of our Audit Committee, responsible for</w:t>
            </w:r>
          </w:p>
        </w:tc>
        <w:tc>
          <w:tcPr>
            <w:tcW w:w="0" w:type="dxa"/>
            <w:vAlign w:val="bottom"/>
          </w:tcPr>
          <w:p>
            <w:pPr>
              <w:spacing w:after="0"/>
              <w:rPr>
                <w:sz w:val="1"/>
                <w:szCs w:val="1"/>
                <w:color w:val="auto"/>
              </w:rPr>
            </w:pPr>
          </w:p>
        </w:tc>
      </w:tr>
      <w:tr>
        <w:trPr>
          <w:trHeight w:val="216"/>
        </w:trPr>
        <w:tc>
          <w:tcPr>
            <w:tcW w:w="1560" w:type="dxa"/>
            <w:vAlign w:val="bottom"/>
            <w:tcBorders>
              <w:left w:val="single" w:sz="8" w:color="auto"/>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714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w w:val="91"/>
              </w:rPr>
              <w:t>overseeing our accounting and financial reporting processes, audits of the financial statements,</w:t>
            </w:r>
          </w:p>
        </w:tc>
        <w:tc>
          <w:tcPr>
            <w:tcW w:w="0" w:type="dxa"/>
            <w:vAlign w:val="bottom"/>
          </w:tcPr>
          <w:p>
            <w:pPr>
              <w:spacing w:after="0"/>
              <w:rPr>
                <w:sz w:val="1"/>
                <w:szCs w:val="1"/>
                <w:color w:val="auto"/>
              </w:rPr>
            </w:pPr>
          </w:p>
        </w:tc>
      </w:tr>
      <w:tr>
        <w:trPr>
          <w:trHeight w:val="230"/>
        </w:trPr>
        <w:tc>
          <w:tcPr>
            <w:tcW w:w="1560" w:type="dxa"/>
            <w:vAlign w:val="bottom"/>
            <w:tcBorders>
              <w:left w:val="single" w:sz="8" w:color="auto"/>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714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and internal controls over financial reporting.</w:t>
            </w:r>
          </w:p>
        </w:tc>
        <w:tc>
          <w:tcPr>
            <w:tcW w:w="0" w:type="dxa"/>
            <w:vAlign w:val="bottom"/>
          </w:tcPr>
          <w:p>
            <w:pPr>
              <w:spacing w:after="0"/>
              <w:rPr>
                <w:sz w:val="1"/>
                <w:szCs w:val="1"/>
                <w:color w:val="auto"/>
              </w:rPr>
            </w:pPr>
          </w:p>
        </w:tc>
      </w:tr>
      <w:tr>
        <w:trPr>
          <w:trHeight w:val="337"/>
        </w:trPr>
        <w:tc>
          <w:tcPr>
            <w:tcW w:w="1560" w:type="dxa"/>
            <w:vAlign w:val="bottom"/>
            <w:tcBorders>
              <w:left w:val="single" w:sz="8" w:color="auto"/>
              <w:right w:val="single" w:sz="8" w:color="auto"/>
            </w:tcBorders>
          </w:tcPr>
          <w:p>
            <w:pPr>
              <w:spacing w:after="0"/>
              <w:rPr>
                <w:sz w:val="24"/>
                <w:szCs w:val="24"/>
                <w:color w:val="auto"/>
              </w:rPr>
            </w:pPr>
          </w:p>
        </w:tc>
        <w:tc>
          <w:tcPr>
            <w:tcW w:w="380" w:type="dxa"/>
            <w:vAlign w:val="bottom"/>
          </w:tcPr>
          <w:p>
            <w:pPr>
              <w:ind w:left="180"/>
              <w:spacing w:after="0"/>
              <w:rPr>
                <w:sz w:val="20"/>
                <w:szCs w:val="20"/>
                <w:color w:val="auto"/>
              </w:rPr>
            </w:pPr>
            <w:r>
              <w:rPr>
                <w:rFonts w:ascii="Arial" w:cs="Arial" w:eastAsia="Arial" w:hAnsi="Arial"/>
                <w:sz w:val="18"/>
                <w:szCs w:val="18"/>
                <w:color w:val="auto"/>
              </w:rPr>
              <w:t>•</w:t>
            </w:r>
          </w:p>
        </w:tc>
        <w:tc>
          <w:tcPr>
            <w:tcW w:w="714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w w:val="93"/>
              </w:rPr>
              <w:t>Independent directors regularly (at least quarterly) hold executive sessions, which are chaired</w:t>
            </w:r>
          </w:p>
        </w:tc>
        <w:tc>
          <w:tcPr>
            <w:tcW w:w="0" w:type="dxa"/>
            <w:vAlign w:val="bottom"/>
          </w:tcPr>
          <w:p>
            <w:pPr>
              <w:spacing w:after="0"/>
              <w:rPr>
                <w:sz w:val="1"/>
                <w:szCs w:val="1"/>
                <w:color w:val="auto"/>
              </w:rPr>
            </w:pPr>
          </w:p>
        </w:tc>
      </w:tr>
      <w:tr>
        <w:trPr>
          <w:trHeight w:val="230"/>
        </w:trPr>
        <w:tc>
          <w:tcPr>
            <w:tcW w:w="1560" w:type="dxa"/>
            <w:vAlign w:val="bottom"/>
            <w:tcBorders>
              <w:left w:val="single" w:sz="8" w:color="auto"/>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714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by our lead independent director.</w:t>
            </w:r>
          </w:p>
        </w:tc>
        <w:tc>
          <w:tcPr>
            <w:tcW w:w="0" w:type="dxa"/>
            <w:vAlign w:val="bottom"/>
          </w:tcPr>
          <w:p>
            <w:pPr>
              <w:spacing w:after="0"/>
              <w:rPr>
                <w:sz w:val="1"/>
                <w:szCs w:val="1"/>
                <w:color w:val="auto"/>
              </w:rPr>
            </w:pPr>
          </w:p>
        </w:tc>
      </w:tr>
      <w:tr>
        <w:trPr>
          <w:trHeight w:val="67"/>
        </w:trPr>
        <w:tc>
          <w:tcPr>
            <w:tcW w:w="1560" w:type="dxa"/>
            <w:vAlign w:val="bottom"/>
            <w:tcBorders>
              <w:left w:val="single" w:sz="8" w:color="auto"/>
              <w:bottom w:val="single" w:sz="8" w:color="auto"/>
              <w:right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71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9"/>
        </w:trPr>
        <w:tc>
          <w:tcPr>
            <w:tcW w:w="15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Accountability</w:t>
            </w:r>
          </w:p>
        </w:tc>
        <w:tc>
          <w:tcPr>
            <w:tcW w:w="380" w:type="dxa"/>
            <w:vAlign w:val="bottom"/>
          </w:tcPr>
          <w:p>
            <w:pPr>
              <w:ind w:left="180"/>
              <w:spacing w:after="0"/>
              <w:rPr>
                <w:sz w:val="20"/>
                <w:szCs w:val="20"/>
                <w:color w:val="auto"/>
              </w:rPr>
            </w:pPr>
            <w:r>
              <w:rPr>
                <w:rFonts w:ascii="Arial" w:cs="Arial" w:eastAsia="Arial" w:hAnsi="Arial"/>
                <w:sz w:val="18"/>
                <w:szCs w:val="18"/>
                <w:color w:val="auto"/>
              </w:rPr>
              <w:t>•</w:t>
            </w:r>
          </w:p>
        </w:tc>
        <w:tc>
          <w:tcPr>
            <w:tcW w:w="714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All of our directors are elected annually.</w:t>
            </w:r>
          </w:p>
        </w:tc>
        <w:tc>
          <w:tcPr>
            <w:tcW w:w="0" w:type="dxa"/>
            <w:vAlign w:val="bottom"/>
          </w:tcPr>
          <w:p>
            <w:pPr>
              <w:spacing w:after="0"/>
              <w:rPr>
                <w:sz w:val="1"/>
                <w:szCs w:val="1"/>
                <w:color w:val="auto"/>
              </w:rPr>
            </w:pPr>
          </w:p>
        </w:tc>
      </w:tr>
      <w:tr>
        <w:trPr>
          <w:trHeight w:val="234"/>
        </w:trPr>
        <w:tc>
          <w:tcPr>
            <w:tcW w:w="15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to Shareholders</w:t>
            </w:r>
          </w:p>
        </w:tc>
        <w:tc>
          <w:tcPr>
            <w:tcW w:w="380" w:type="dxa"/>
            <w:vAlign w:val="bottom"/>
            <w:vMerge w:val="restart"/>
          </w:tcPr>
          <w:p>
            <w:pPr>
              <w:ind w:left="180"/>
              <w:spacing w:after="0"/>
              <w:rPr>
                <w:sz w:val="20"/>
                <w:szCs w:val="20"/>
                <w:color w:val="auto"/>
              </w:rPr>
            </w:pPr>
            <w:r>
              <w:rPr>
                <w:rFonts w:ascii="Arial" w:cs="Arial" w:eastAsia="Arial" w:hAnsi="Arial"/>
                <w:sz w:val="18"/>
                <w:szCs w:val="18"/>
                <w:color w:val="auto"/>
              </w:rPr>
              <w:t>•</w:t>
            </w:r>
          </w:p>
        </w:tc>
        <w:tc>
          <w:tcPr>
            <w:tcW w:w="7140" w:type="dxa"/>
            <w:vAlign w:val="bottom"/>
            <w:tcBorders>
              <w:right w:val="single" w:sz="8" w:color="auto"/>
            </w:tcBorders>
            <w:vMerge w:val="restart"/>
          </w:tcPr>
          <w:p>
            <w:pPr>
              <w:ind w:left="140"/>
              <w:spacing w:after="0"/>
              <w:rPr>
                <w:sz w:val="20"/>
                <w:szCs w:val="20"/>
                <w:color w:val="auto"/>
              </w:rPr>
            </w:pPr>
            <w:r>
              <w:rPr>
                <w:rFonts w:ascii="Arial" w:cs="Arial" w:eastAsia="Arial" w:hAnsi="Arial"/>
                <w:sz w:val="18"/>
                <w:szCs w:val="18"/>
                <w:color w:val="auto"/>
              </w:rPr>
              <w:t>Our directors are elected by a majority voting standard in uncontested elections.</w:t>
            </w:r>
          </w:p>
        </w:tc>
        <w:tc>
          <w:tcPr>
            <w:tcW w:w="0" w:type="dxa"/>
            <w:vAlign w:val="bottom"/>
          </w:tcPr>
          <w:p>
            <w:pPr>
              <w:spacing w:after="0"/>
              <w:rPr>
                <w:sz w:val="1"/>
                <w:szCs w:val="1"/>
                <w:color w:val="auto"/>
              </w:rPr>
            </w:pPr>
          </w:p>
        </w:tc>
      </w:tr>
      <w:tr>
        <w:trPr>
          <w:trHeight w:val="135"/>
        </w:trPr>
        <w:tc>
          <w:tcPr>
            <w:tcW w:w="1560" w:type="dxa"/>
            <w:vAlign w:val="bottom"/>
            <w:tcBorders>
              <w:left w:val="single" w:sz="8" w:color="auto"/>
              <w:right w:val="single" w:sz="8" w:color="auto"/>
            </w:tcBorders>
          </w:tcPr>
          <w:p>
            <w:pPr>
              <w:spacing w:after="0"/>
              <w:rPr>
                <w:sz w:val="11"/>
                <w:szCs w:val="11"/>
                <w:color w:val="auto"/>
              </w:rPr>
            </w:pPr>
          </w:p>
        </w:tc>
        <w:tc>
          <w:tcPr>
            <w:tcW w:w="380" w:type="dxa"/>
            <w:vAlign w:val="bottom"/>
            <w:vMerge w:val="continue"/>
          </w:tcPr>
          <w:p>
            <w:pPr>
              <w:spacing w:after="0"/>
              <w:rPr>
                <w:sz w:val="11"/>
                <w:szCs w:val="11"/>
                <w:color w:val="auto"/>
              </w:rPr>
            </w:pPr>
          </w:p>
        </w:tc>
        <w:tc>
          <w:tcPr>
            <w:tcW w:w="714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1560" w:type="dxa"/>
            <w:vAlign w:val="bottom"/>
            <w:tcBorders>
              <w:left w:val="single" w:sz="8" w:color="auto"/>
              <w:bottom w:val="single" w:sz="8" w:color="auto"/>
              <w:right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71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9"/>
        </w:trPr>
        <w:tc>
          <w:tcPr>
            <w:tcW w:w="15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Board</w:t>
            </w:r>
          </w:p>
        </w:tc>
        <w:tc>
          <w:tcPr>
            <w:tcW w:w="380" w:type="dxa"/>
            <w:vAlign w:val="bottom"/>
          </w:tcPr>
          <w:p>
            <w:pPr>
              <w:ind w:left="180"/>
              <w:spacing w:after="0"/>
              <w:rPr>
                <w:sz w:val="20"/>
                <w:szCs w:val="20"/>
                <w:color w:val="auto"/>
              </w:rPr>
            </w:pPr>
            <w:r>
              <w:rPr>
                <w:rFonts w:ascii="Arial" w:cs="Arial" w:eastAsia="Arial" w:hAnsi="Arial"/>
                <w:sz w:val="18"/>
                <w:szCs w:val="18"/>
                <w:color w:val="auto"/>
              </w:rPr>
              <w:t>•</w:t>
            </w:r>
          </w:p>
        </w:tc>
        <w:tc>
          <w:tcPr>
            <w:tcW w:w="714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w w:val="99"/>
              </w:rPr>
              <w:t>Our Board consists of directors with a diverse mix of skills, experience and background.</w:t>
            </w:r>
          </w:p>
        </w:tc>
        <w:tc>
          <w:tcPr>
            <w:tcW w:w="0" w:type="dxa"/>
            <w:vAlign w:val="bottom"/>
          </w:tcPr>
          <w:p>
            <w:pPr>
              <w:spacing w:after="0"/>
              <w:rPr>
                <w:sz w:val="1"/>
                <w:szCs w:val="1"/>
                <w:color w:val="auto"/>
              </w:rPr>
            </w:pPr>
          </w:p>
        </w:tc>
      </w:tr>
      <w:tr>
        <w:trPr>
          <w:trHeight w:val="216"/>
        </w:trPr>
        <w:tc>
          <w:tcPr>
            <w:tcW w:w="15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Composition</w:t>
            </w:r>
          </w:p>
        </w:tc>
        <w:tc>
          <w:tcPr>
            <w:tcW w:w="380" w:type="dxa"/>
            <w:vAlign w:val="bottom"/>
            <w:vMerge w:val="restart"/>
          </w:tcPr>
          <w:p>
            <w:pPr>
              <w:ind w:left="180"/>
              <w:spacing w:after="0"/>
              <w:rPr>
                <w:sz w:val="20"/>
                <w:szCs w:val="20"/>
                <w:color w:val="auto"/>
              </w:rPr>
            </w:pPr>
            <w:r>
              <w:rPr>
                <w:rFonts w:ascii="Arial" w:cs="Arial" w:eastAsia="Arial" w:hAnsi="Arial"/>
                <w:sz w:val="18"/>
                <w:szCs w:val="18"/>
                <w:color w:val="auto"/>
              </w:rPr>
              <w:t>•</w:t>
            </w:r>
          </w:p>
        </w:tc>
        <w:tc>
          <w:tcPr>
            <w:tcW w:w="7140" w:type="dxa"/>
            <w:vAlign w:val="bottom"/>
            <w:tcBorders>
              <w:right w:val="single" w:sz="8" w:color="auto"/>
            </w:tcBorders>
            <w:vMerge w:val="restart"/>
          </w:tcPr>
          <w:p>
            <w:pPr>
              <w:ind w:left="140"/>
              <w:spacing w:after="0"/>
              <w:rPr>
                <w:sz w:val="20"/>
                <w:szCs w:val="20"/>
                <w:color w:val="auto"/>
              </w:rPr>
            </w:pPr>
            <w:r>
              <w:rPr>
                <w:rFonts w:ascii="Arial" w:cs="Arial" w:eastAsia="Arial" w:hAnsi="Arial"/>
                <w:sz w:val="18"/>
                <w:szCs w:val="18"/>
                <w:color w:val="auto"/>
              </w:rPr>
              <w:t>Our Board and Board committees each undertake a robust annual self-evaluation.</w:t>
            </w:r>
          </w:p>
        </w:tc>
        <w:tc>
          <w:tcPr>
            <w:tcW w:w="0" w:type="dxa"/>
            <w:vAlign w:val="bottom"/>
          </w:tcPr>
          <w:p>
            <w:pPr>
              <w:spacing w:after="0"/>
              <w:rPr>
                <w:sz w:val="1"/>
                <w:szCs w:val="1"/>
                <w:color w:val="auto"/>
              </w:rPr>
            </w:pPr>
          </w:p>
        </w:tc>
      </w:tr>
      <w:tr>
        <w:trPr>
          <w:trHeight w:val="234"/>
        </w:trPr>
        <w:tc>
          <w:tcPr>
            <w:tcW w:w="15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and Evaluation</w:t>
            </w:r>
          </w:p>
        </w:tc>
        <w:tc>
          <w:tcPr>
            <w:tcW w:w="380" w:type="dxa"/>
            <w:vAlign w:val="bottom"/>
            <w:vMerge w:val="continue"/>
          </w:tcPr>
          <w:p>
            <w:pPr>
              <w:spacing w:after="0"/>
              <w:rPr>
                <w:sz w:val="20"/>
                <w:szCs w:val="20"/>
                <w:color w:val="auto"/>
              </w:rPr>
            </w:pPr>
          </w:p>
        </w:tc>
        <w:tc>
          <w:tcPr>
            <w:tcW w:w="7140" w:type="dxa"/>
            <w:vAlign w:val="bottom"/>
            <w:tcBorders>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1560" w:type="dxa"/>
            <w:vAlign w:val="bottom"/>
            <w:tcBorders>
              <w:left w:val="single" w:sz="8" w:color="auto"/>
              <w:bottom w:val="single" w:sz="8" w:color="auto"/>
              <w:right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71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9"/>
        </w:trPr>
        <w:tc>
          <w:tcPr>
            <w:tcW w:w="15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Board</w:t>
            </w:r>
          </w:p>
        </w:tc>
        <w:tc>
          <w:tcPr>
            <w:tcW w:w="380" w:type="dxa"/>
            <w:vAlign w:val="bottom"/>
          </w:tcPr>
          <w:p>
            <w:pPr>
              <w:ind w:left="180"/>
              <w:spacing w:after="0"/>
              <w:rPr>
                <w:sz w:val="20"/>
                <w:szCs w:val="20"/>
                <w:color w:val="auto"/>
              </w:rPr>
            </w:pPr>
            <w:r>
              <w:rPr>
                <w:rFonts w:ascii="Arial" w:cs="Arial" w:eastAsia="Arial" w:hAnsi="Arial"/>
                <w:sz w:val="18"/>
                <w:szCs w:val="18"/>
                <w:color w:val="auto"/>
              </w:rPr>
              <w:t>•</w:t>
            </w:r>
          </w:p>
        </w:tc>
        <w:tc>
          <w:tcPr>
            <w:tcW w:w="714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We have three Board committees—Audit, Compensation and Corporate Governance.</w:t>
            </w:r>
          </w:p>
        </w:tc>
        <w:tc>
          <w:tcPr>
            <w:tcW w:w="0" w:type="dxa"/>
            <w:vAlign w:val="bottom"/>
          </w:tcPr>
          <w:p>
            <w:pPr>
              <w:spacing w:after="0"/>
              <w:rPr>
                <w:sz w:val="1"/>
                <w:szCs w:val="1"/>
                <w:color w:val="auto"/>
              </w:rPr>
            </w:pPr>
          </w:p>
        </w:tc>
      </w:tr>
      <w:tr>
        <w:trPr>
          <w:trHeight w:val="234"/>
        </w:trPr>
        <w:tc>
          <w:tcPr>
            <w:tcW w:w="15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Committees</w:t>
            </w:r>
          </w:p>
        </w:tc>
        <w:tc>
          <w:tcPr>
            <w:tcW w:w="380" w:type="dxa"/>
            <w:vAlign w:val="bottom"/>
            <w:vMerge w:val="restart"/>
          </w:tcPr>
          <w:p>
            <w:pPr>
              <w:ind w:left="180"/>
              <w:spacing w:after="0"/>
              <w:rPr>
                <w:sz w:val="20"/>
                <w:szCs w:val="20"/>
                <w:color w:val="auto"/>
              </w:rPr>
            </w:pPr>
            <w:r>
              <w:rPr>
                <w:rFonts w:ascii="Arial" w:cs="Arial" w:eastAsia="Arial" w:hAnsi="Arial"/>
                <w:sz w:val="18"/>
                <w:szCs w:val="18"/>
                <w:color w:val="auto"/>
              </w:rPr>
              <w:t>•</w:t>
            </w:r>
          </w:p>
        </w:tc>
        <w:tc>
          <w:tcPr>
            <w:tcW w:w="7140" w:type="dxa"/>
            <w:vAlign w:val="bottom"/>
            <w:tcBorders>
              <w:right w:val="single" w:sz="8" w:color="auto"/>
            </w:tcBorders>
            <w:vMerge w:val="restart"/>
          </w:tcPr>
          <w:p>
            <w:pPr>
              <w:ind w:left="140"/>
              <w:spacing w:after="0"/>
              <w:rPr>
                <w:sz w:val="20"/>
                <w:szCs w:val="20"/>
                <w:color w:val="auto"/>
              </w:rPr>
            </w:pPr>
            <w:r>
              <w:rPr>
                <w:rFonts w:ascii="Arial" w:cs="Arial" w:eastAsia="Arial" w:hAnsi="Arial"/>
                <w:sz w:val="18"/>
                <w:szCs w:val="18"/>
                <w:color w:val="auto"/>
                <w:w w:val="92"/>
              </w:rPr>
              <w:t>Each Board committee is composed entirely of independent directors under our independence</w:t>
            </w:r>
          </w:p>
        </w:tc>
        <w:tc>
          <w:tcPr>
            <w:tcW w:w="0" w:type="dxa"/>
            <w:vAlign w:val="bottom"/>
          </w:tcPr>
          <w:p>
            <w:pPr>
              <w:spacing w:after="0"/>
              <w:rPr>
                <w:sz w:val="1"/>
                <w:szCs w:val="1"/>
                <w:color w:val="auto"/>
              </w:rPr>
            </w:pPr>
          </w:p>
        </w:tc>
      </w:tr>
      <w:tr>
        <w:trPr>
          <w:trHeight w:val="121"/>
        </w:trPr>
        <w:tc>
          <w:tcPr>
            <w:tcW w:w="1560" w:type="dxa"/>
            <w:vAlign w:val="bottom"/>
            <w:tcBorders>
              <w:left w:val="single" w:sz="8" w:color="auto"/>
              <w:right w:val="single" w:sz="8" w:color="auto"/>
            </w:tcBorders>
          </w:tcPr>
          <w:p>
            <w:pPr>
              <w:spacing w:after="0"/>
              <w:rPr>
                <w:sz w:val="10"/>
                <w:szCs w:val="10"/>
                <w:color w:val="auto"/>
              </w:rPr>
            </w:pPr>
          </w:p>
        </w:tc>
        <w:tc>
          <w:tcPr>
            <w:tcW w:w="380" w:type="dxa"/>
            <w:vAlign w:val="bottom"/>
            <w:vMerge w:val="continue"/>
          </w:tcPr>
          <w:p>
            <w:pPr>
              <w:spacing w:after="0"/>
              <w:rPr>
                <w:sz w:val="10"/>
                <w:szCs w:val="10"/>
                <w:color w:val="auto"/>
              </w:rPr>
            </w:pPr>
          </w:p>
        </w:tc>
        <w:tc>
          <w:tcPr>
            <w:tcW w:w="71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1560" w:type="dxa"/>
            <w:vAlign w:val="bottom"/>
            <w:tcBorders>
              <w:left w:val="single" w:sz="8" w:color="auto"/>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714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standards and the New York Stock Exchange listing standards.</w:t>
            </w:r>
          </w:p>
        </w:tc>
        <w:tc>
          <w:tcPr>
            <w:tcW w:w="0" w:type="dxa"/>
            <w:vAlign w:val="bottom"/>
          </w:tcPr>
          <w:p>
            <w:pPr>
              <w:spacing w:after="0"/>
              <w:rPr>
                <w:sz w:val="1"/>
                <w:szCs w:val="1"/>
                <w:color w:val="auto"/>
              </w:rPr>
            </w:pPr>
          </w:p>
        </w:tc>
      </w:tr>
      <w:tr>
        <w:trPr>
          <w:trHeight w:val="68"/>
        </w:trPr>
        <w:tc>
          <w:tcPr>
            <w:tcW w:w="1560" w:type="dxa"/>
            <w:vAlign w:val="bottom"/>
            <w:tcBorders>
              <w:left w:val="single" w:sz="8" w:color="auto"/>
              <w:bottom w:val="single" w:sz="8" w:color="auto"/>
              <w:right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71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9"/>
        </w:trPr>
        <w:tc>
          <w:tcPr>
            <w:tcW w:w="15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Director and</w:t>
            </w:r>
          </w:p>
        </w:tc>
        <w:tc>
          <w:tcPr>
            <w:tcW w:w="380" w:type="dxa"/>
            <w:vAlign w:val="bottom"/>
          </w:tcPr>
          <w:p>
            <w:pPr>
              <w:ind w:left="180"/>
              <w:spacing w:after="0"/>
              <w:rPr>
                <w:sz w:val="20"/>
                <w:szCs w:val="20"/>
                <w:color w:val="auto"/>
              </w:rPr>
            </w:pPr>
            <w:r>
              <w:rPr>
                <w:rFonts w:ascii="Arial" w:cs="Arial" w:eastAsia="Arial" w:hAnsi="Arial"/>
                <w:sz w:val="18"/>
                <w:szCs w:val="18"/>
                <w:color w:val="auto"/>
              </w:rPr>
              <w:t>•</w:t>
            </w:r>
          </w:p>
        </w:tc>
        <w:tc>
          <w:tcPr>
            <w:tcW w:w="714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w w:val="91"/>
              </w:rPr>
              <w:t>Our independent directors are required to own shares of our stock having a value of at least five</w:t>
            </w:r>
          </w:p>
        </w:tc>
        <w:tc>
          <w:tcPr>
            <w:tcW w:w="0" w:type="dxa"/>
            <w:vAlign w:val="bottom"/>
          </w:tcPr>
          <w:p>
            <w:pPr>
              <w:spacing w:after="0"/>
              <w:rPr>
                <w:sz w:val="1"/>
                <w:szCs w:val="1"/>
                <w:color w:val="auto"/>
              </w:rPr>
            </w:pPr>
          </w:p>
        </w:tc>
      </w:tr>
      <w:tr>
        <w:trPr>
          <w:trHeight w:val="216"/>
        </w:trPr>
        <w:tc>
          <w:tcPr>
            <w:tcW w:w="15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Officer Stock</w:t>
            </w:r>
          </w:p>
        </w:tc>
        <w:tc>
          <w:tcPr>
            <w:tcW w:w="380" w:type="dxa"/>
            <w:vAlign w:val="bottom"/>
          </w:tcPr>
          <w:p>
            <w:pPr>
              <w:spacing w:after="0"/>
              <w:rPr>
                <w:sz w:val="18"/>
                <w:szCs w:val="18"/>
                <w:color w:val="auto"/>
              </w:rPr>
            </w:pPr>
          </w:p>
        </w:tc>
        <w:tc>
          <w:tcPr>
            <w:tcW w:w="714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times their annual cash retainer.</w:t>
            </w:r>
          </w:p>
        </w:tc>
        <w:tc>
          <w:tcPr>
            <w:tcW w:w="0" w:type="dxa"/>
            <w:vAlign w:val="bottom"/>
          </w:tcPr>
          <w:p>
            <w:pPr>
              <w:spacing w:after="0"/>
              <w:rPr>
                <w:sz w:val="1"/>
                <w:szCs w:val="1"/>
                <w:color w:val="auto"/>
              </w:rPr>
            </w:pPr>
          </w:p>
        </w:tc>
      </w:tr>
      <w:tr>
        <w:trPr>
          <w:trHeight w:val="234"/>
        </w:trPr>
        <w:tc>
          <w:tcPr>
            <w:tcW w:w="15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Ownership</w:t>
            </w:r>
          </w:p>
        </w:tc>
        <w:tc>
          <w:tcPr>
            <w:tcW w:w="380" w:type="dxa"/>
            <w:vAlign w:val="bottom"/>
            <w:vMerge w:val="restart"/>
          </w:tcPr>
          <w:p>
            <w:pPr>
              <w:ind w:left="180"/>
              <w:spacing w:after="0"/>
              <w:rPr>
                <w:sz w:val="20"/>
                <w:szCs w:val="20"/>
                <w:color w:val="auto"/>
              </w:rPr>
            </w:pPr>
            <w:r>
              <w:rPr>
                <w:rFonts w:ascii="Arial" w:cs="Arial" w:eastAsia="Arial" w:hAnsi="Arial"/>
                <w:sz w:val="18"/>
                <w:szCs w:val="18"/>
                <w:color w:val="auto"/>
              </w:rPr>
              <w:t>•</w:t>
            </w:r>
          </w:p>
        </w:tc>
        <w:tc>
          <w:tcPr>
            <w:tcW w:w="7140" w:type="dxa"/>
            <w:vAlign w:val="bottom"/>
            <w:tcBorders>
              <w:right w:val="single" w:sz="8" w:color="auto"/>
            </w:tcBorders>
            <w:vMerge w:val="restart"/>
          </w:tcPr>
          <w:p>
            <w:pPr>
              <w:ind w:left="140"/>
              <w:spacing w:after="0"/>
              <w:rPr>
                <w:sz w:val="20"/>
                <w:szCs w:val="20"/>
                <w:color w:val="auto"/>
              </w:rPr>
            </w:pPr>
            <w:r>
              <w:rPr>
                <w:rFonts w:ascii="Arial" w:cs="Arial" w:eastAsia="Arial" w:hAnsi="Arial"/>
                <w:sz w:val="18"/>
                <w:szCs w:val="18"/>
                <w:color w:val="auto"/>
              </w:rPr>
              <w:t>Each Co-CEO is required to own five times his base salary in Company shares.</w:t>
            </w:r>
          </w:p>
        </w:tc>
        <w:tc>
          <w:tcPr>
            <w:tcW w:w="0" w:type="dxa"/>
            <w:vAlign w:val="bottom"/>
          </w:tcPr>
          <w:p>
            <w:pPr>
              <w:spacing w:after="0"/>
              <w:rPr>
                <w:sz w:val="1"/>
                <w:szCs w:val="1"/>
                <w:color w:val="auto"/>
              </w:rPr>
            </w:pPr>
          </w:p>
        </w:tc>
      </w:tr>
      <w:tr>
        <w:trPr>
          <w:trHeight w:val="135"/>
        </w:trPr>
        <w:tc>
          <w:tcPr>
            <w:tcW w:w="1560" w:type="dxa"/>
            <w:vAlign w:val="bottom"/>
            <w:tcBorders>
              <w:left w:val="single" w:sz="8" w:color="auto"/>
              <w:right w:val="single" w:sz="8" w:color="auto"/>
            </w:tcBorders>
          </w:tcPr>
          <w:p>
            <w:pPr>
              <w:spacing w:after="0"/>
              <w:rPr>
                <w:sz w:val="11"/>
                <w:szCs w:val="11"/>
                <w:color w:val="auto"/>
              </w:rPr>
            </w:pPr>
          </w:p>
        </w:tc>
        <w:tc>
          <w:tcPr>
            <w:tcW w:w="380" w:type="dxa"/>
            <w:vAlign w:val="bottom"/>
            <w:vMerge w:val="continue"/>
          </w:tcPr>
          <w:p>
            <w:pPr>
              <w:spacing w:after="0"/>
              <w:rPr>
                <w:sz w:val="11"/>
                <w:szCs w:val="11"/>
                <w:color w:val="auto"/>
              </w:rPr>
            </w:pPr>
          </w:p>
        </w:tc>
        <w:tc>
          <w:tcPr>
            <w:tcW w:w="714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37"/>
        </w:trPr>
        <w:tc>
          <w:tcPr>
            <w:tcW w:w="1560" w:type="dxa"/>
            <w:vAlign w:val="bottom"/>
            <w:tcBorders>
              <w:left w:val="single" w:sz="8" w:color="auto"/>
              <w:right w:val="single" w:sz="8" w:color="auto"/>
            </w:tcBorders>
          </w:tcPr>
          <w:p>
            <w:pPr>
              <w:spacing w:after="0"/>
              <w:rPr>
                <w:sz w:val="24"/>
                <w:szCs w:val="24"/>
                <w:color w:val="auto"/>
              </w:rPr>
            </w:pPr>
          </w:p>
        </w:tc>
        <w:tc>
          <w:tcPr>
            <w:tcW w:w="380" w:type="dxa"/>
            <w:vAlign w:val="bottom"/>
          </w:tcPr>
          <w:p>
            <w:pPr>
              <w:ind w:left="180"/>
              <w:spacing w:after="0"/>
              <w:rPr>
                <w:sz w:val="20"/>
                <w:szCs w:val="20"/>
                <w:color w:val="auto"/>
              </w:rPr>
            </w:pPr>
            <w:r>
              <w:rPr>
                <w:rFonts w:ascii="Arial" w:cs="Arial" w:eastAsia="Arial" w:hAnsi="Arial"/>
                <w:sz w:val="18"/>
                <w:szCs w:val="18"/>
                <w:color w:val="auto"/>
              </w:rPr>
              <w:t>•</w:t>
            </w:r>
          </w:p>
        </w:tc>
        <w:tc>
          <w:tcPr>
            <w:tcW w:w="714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w w:val="96"/>
              </w:rPr>
              <w:t>All other named executive officers as well as Company senior management (approximately</w:t>
            </w:r>
          </w:p>
        </w:tc>
        <w:tc>
          <w:tcPr>
            <w:tcW w:w="0" w:type="dxa"/>
            <w:vAlign w:val="bottom"/>
          </w:tcPr>
          <w:p>
            <w:pPr>
              <w:spacing w:after="0"/>
              <w:rPr>
                <w:sz w:val="1"/>
                <w:szCs w:val="1"/>
                <w:color w:val="auto"/>
              </w:rPr>
            </w:pPr>
          </w:p>
        </w:tc>
      </w:tr>
      <w:tr>
        <w:trPr>
          <w:trHeight w:val="230"/>
        </w:trPr>
        <w:tc>
          <w:tcPr>
            <w:tcW w:w="1560" w:type="dxa"/>
            <w:vAlign w:val="bottom"/>
            <w:tcBorders>
              <w:left w:val="single" w:sz="8" w:color="auto"/>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714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40 persons) must own one times his or her base salary in Company shares.</w:t>
            </w:r>
          </w:p>
        </w:tc>
        <w:tc>
          <w:tcPr>
            <w:tcW w:w="0" w:type="dxa"/>
            <w:vAlign w:val="bottom"/>
          </w:tcPr>
          <w:p>
            <w:pPr>
              <w:spacing w:after="0"/>
              <w:rPr>
                <w:sz w:val="1"/>
                <w:szCs w:val="1"/>
                <w:color w:val="auto"/>
              </w:rPr>
            </w:pPr>
          </w:p>
        </w:tc>
      </w:tr>
      <w:tr>
        <w:trPr>
          <w:trHeight w:val="337"/>
        </w:trPr>
        <w:tc>
          <w:tcPr>
            <w:tcW w:w="1560" w:type="dxa"/>
            <w:vAlign w:val="bottom"/>
            <w:tcBorders>
              <w:left w:val="single" w:sz="8" w:color="auto"/>
              <w:right w:val="single" w:sz="8" w:color="auto"/>
            </w:tcBorders>
          </w:tcPr>
          <w:p>
            <w:pPr>
              <w:spacing w:after="0"/>
              <w:rPr>
                <w:sz w:val="24"/>
                <w:szCs w:val="24"/>
                <w:color w:val="auto"/>
              </w:rPr>
            </w:pPr>
          </w:p>
        </w:tc>
        <w:tc>
          <w:tcPr>
            <w:tcW w:w="380" w:type="dxa"/>
            <w:vAlign w:val="bottom"/>
          </w:tcPr>
          <w:p>
            <w:pPr>
              <w:ind w:left="180"/>
              <w:spacing w:after="0"/>
              <w:rPr>
                <w:sz w:val="20"/>
                <w:szCs w:val="20"/>
                <w:color w:val="auto"/>
              </w:rPr>
            </w:pPr>
            <w:r>
              <w:rPr>
                <w:rFonts w:ascii="Arial" w:cs="Arial" w:eastAsia="Arial" w:hAnsi="Arial"/>
                <w:sz w:val="18"/>
                <w:szCs w:val="18"/>
                <w:color w:val="auto"/>
              </w:rPr>
              <w:t>•</w:t>
            </w:r>
          </w:p>
        </w:tc>
        <w:tc>
          <w:tcPr>
            <w:tcW w:w="714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w w:val="91"/>
              </w:rPr>
              <w:t>Our executive officers and directors as a group own a substantial percentage of our outstanding</w:t>
            </w:r>
          </w:p>
        </w:tc>
        <w:tc>
          <w:tcPr>
            <w:tcW w:w="0" w:type="dxa"/>
            <w:vAlign w:val="bottom"/>
          </w:tcPr>
          <w:p>
            <w:pPr>
              <w:spacing w:after="0"/>
              <w:rPr>
                <w:sz w:val="1"/>
                <w:szCs w:val="1"/>
                <w:color w:val="auto"/>
              </w:rPr>
            </w:pPr>
          </w:p>
        </w:tc>
      </w:tr>
      <w:tr>
        <w:trPr>
          <w:trHeight w:val="216"/>
        </w:trPr>
        <w:tc>
          <w:tcPr>
            <w:tcW w:w="1560" w:type="dxa"/>
            <w:vAlign w:val="bottom"/>
            <w:tcBorders>
              <w:left w:val="single" w:sz="8" w:color="auto"/>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714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common stock which directly aligns our executive officers and directors with our other</w:t>
            </w:r>
          </w:p>
        </w:tc>
        <w:tc>
          <w:tcPr>
            <w:tcW w:w="0" w:type="dxa"/>
            <w:vAlign w:val="bottom"/>
          </w:tcPr>
          <w:p>
            <w:pPr>
              <w:spacing w:after="0"/>
              <w:rPr>
                <w:sz w:val="1"/>
                <w:szCs w:val="1"/>
                <w:color w:val="auto"/>
              </w:rPr>
            </w:pPr>
          </w:p>
        </w:tc>
      </w:tr>
      <w:tr>
        <w:trPr>
          <w:trHeight w:val="230"/>
        </w:trPr>
        <w:tc>
          <w:tcPr>
            <w:tcW w:w="1560" w:type="dxa"/>
            <w:vAlign w:val="bottom"/>
            <w:tcBorders>
              <w:left w:val="single" w:sz="8" w:color="auto"/>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714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shareholders.</w:t>
            </w:r>
          </w:p>
        </w:tc>
        <w:tc>
          <w:tcPr>
            <w:tcW w:w="0" w:type="dxa"/>
            <w:vAlign w:val="bottom"/>
          </w:tcPr>
          <w:p>
            <w:pPr>
              <w:spacing w:after="0"/>
              <w:rPr>
                <w:sz w:val="1"/>
                <w:szCs w:val="1"/>
                <w:color w:val="auto"/>
              </w:rPr>
            </w:pPr>
          </w:p>
        </w:tc>
      </w:tr>
      <w:tr>
        <w:trPr>
          <w:trHeight w:val="68"/>
        </w:trPr>
        <w:tc>
          <w:tcPr>
            <w:tcW w:w="1560" w:type="dxa"/>
            <w:vAlign w:val="bottom"/>
            <w:tcBorders>
              <w:left w:val="single" w:sz="8" w:color="auto"/>
              <w:bottom w:val="single" w:sz="8" w:color="auto"/>
              <w:right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71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9"/>
        </w:trPr>
        <w:tc>
          <w:tcPr>
            <w:tcW w:w="15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Compensation</w:t>
            </w:r>
          </w:p>
        </w:tc>
        <w:tc>
          <w:tcPr>
            <w:tcW w:w="380" w:type="dxa"/>
            <w:vAlign w:val="bottom"/>
          </w:tcPr>
          <w:p>
            <w:pPr>
              <w:ind w:left="180"/>
              <w:spacing w:after="0"/>
              <w:rPr>
                <w:sz w:val="20"/>
                <w:szCs w:val="20"/>
                <w:color w:val="auto"/>
              </w:rPr>
            </w:pPr>
            <w:r>
              <w:rPr>
                <w:rFonts w:ascii="Arial" w:cs="Arial" w:eastAsia="Arial" w:hAnsi="Arial"/>
                <w:sz w:val="18"/>
                <w:szCs w:val="18"/>
                <w:color w:val="auto"/>
              </w:rPr>
              <w:t>•</w:t>
            </w:r>
          </w:p>
        </w:tc>
        <w:tc>
          <w:tcPr>
            <w:tcW w:w="714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w w:val="93"/>
              </w:rPr>
              <w:t>Our fully independent Compensation Committee oversees all aspects of our named executive</w:t>
            </w:r>
          </w:p>
        </w:tc>
        <w:tc>
          <w:tcPr>
            <w:tcW w:w="0" w:type="dxa"/>
            <w:vAlign w:val="bottom"/>
          </w:tcPr>
          <w:p>
            <w:pPr>
              <w:spacing w:after="0"/>
              <w:rPr>
                <w:sz w:val="1"/>
                <w:szCs w:val="1"/>
                <w:color w:val="auto"/>
              </w:rPr>
            </w:pPr>
          </w:p>
        </w:tc>
      </w:tr>
      <w:tr>
        <w:trPr>
          <w:trHeight w:val="234"/>
        </w:trPr>
        <w:tc>
          <w:tcPr>
            <w:tcW w:w="15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Governance</w:t>
            </w:r>
          </w:p>
        </w:tc>
        <w:tc>
          <w:tcPr>
            <w:tcW w:w="380" w:type="dxa"/>
            <w:vAlign w:val="bottom"/>
          </w:tcPr>
          <w:p>
            <w:pPr>
              <w:spacing w:after="0"/>
              <w:rPr>
                <w:sz w:val="20"/>
                <w:szCs w:val="20"/>
                <w:color w:val="auto"/>
              </w:rPr>
            </w:pPr>
          </w:p>
        </w:tc>
        <w:tc>
          <w:tcPr>
            <w:tcW w:w="714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compensation program.</w:t>
            </w:r>
          </w:p>
        </w:tc>
        <w:tc>
          <w:tcPr>
            <w:tcW w:w="0" w:type="dxa"/>
            <w:vAlign w:val="bottom"/>
          </w:tcPr>
          <w:p>
            <w:pPr>
              <w:spacing w:after="0"/>
              <w:rPr>
                <w:sz w:val="1"/>
                <w:szCs w:val="1"/>
                <w:color w:val="auto"/>
              </w:rPr>
            </w:pPr>
          </w:p>
        </w:tc>
      </w:tr>
      <w:tr>
        <w:trPr>
          <w:trHeight w:val="337"/>
        </w:trPr>
        <w:tc>
          <w:tcPr>
            <w:tcW w:w="1560" w:type="dxa"/>
            <w:vAlign w:val="bottom"/>
            <w:tcBorders>
              <w:left w:val="single" w:sz="8" w:color="auto"/>
              <w:right w:val="single" w:sz="8" w:color="auto"/>
            </w:tcBorders>
          </w:tcPr>
          <w:p>
            <w:pPr>
              <w:spacing w:after="0"/>
              <w:rPr>
                <w:sz w:val="24"/>
                <w:szCs w:val="24"/>
                <w:color w:val="auto"/>
              </w:rPr>
            </w:pPr>
          </w:p>
        </w:tc>
        <w:tc>
          <w:tcPr>
            <w:tcW w:w="380" w:type="dxa"/>
            <w:vAlign w:val="bottom"/>
          </w:tcPr>
          <w:p>
            <w:pPr>
              <w:ind w:left="180"/>
              <w:spacing w:after="0"/>
              <w:rPr>
                <w:sz w:val="20"/>
                <w:szCs w:val="20"/>
                <w:color w:val="auto"/>
              </w:rPr>
            </w:pPr>
            <w:r>
              <w:rPr>
                <w:rFonts w:ascii="Arial" w:cs="Arial" w:eastAsia="Arial" w:hAnsi="Arial"/>
                <w:sz w:val="18"/>
                <w:szCs w:val="18"/>
                <w:color w:val="auto"/>
              </w:rPr>
              <w:t>•</w:t>
            </w:r>
          </w:p>
        </w:tc>
        <w:tc>
          <w:tcPr>
            <w:tcW w:w="714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w w:val="92"/>
              </w:rPr>
              <w:t>We structure a large portion of our named executive officers’ compensation to be performance</w:t>
            </w:r>
          </w:p>
        </w:tc>
        <w:tc>
          <w:tcPr>
            <w:tcW w:w="0" w:type="dxa"/>
            <w:vAlign w:val="bottom"/>
          </w:tcPr>
          <w:p>
            <w:pPr>
              <w:spacing w:after="0"/>
              <w:rPr>
                <w:sz w:val="1"/>
                <w:szCs w:val="1"/>
                <w:color w:val="auto"/>
              </w:rPr>
            </w:pPr>
          </w:p>
        </w:tc>
      </w:tr>
      <w:tr>
        <w:trPr>
          <w:trHeight w:val="230"/>
        </w:trPr>
        <w:tc>
          <w:tcPr>
            <w:tcW w:w="1560" w:type="dxa"/>
            <w:vAlign w:val="bottom"/>
            <w:tcBorders>
              <w:left w:val="single" w:sz="8" w:color="auto"/>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714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based.</w:t>
            </w:r>
          </w:p>
        </w:tc>
        <w:tc>
          <w:tcPr>
            <w:tcW w:w="0" w:type="dxa"/>
            <w:vAlign w:val="bottom"/>
          </w:tcPr>
          <w:p>
            <w:pPr>
              <w:spacing w:after="0"/>
              <w:rPr>
                <w:sz w:val="1"/>
                <w:szCs w:val="1"/>
                <w:color w:val="auto"/>
              </w:rPr>
            </w:pPr>
          </w:p>
        </w:tc>
      </w:tr>
      <w:tr>
        <w:trPr>
          <w:trHeight w:val="337"/>
        </w:trPr>
        <w:tc>
          <w:tcPr>
            <w:tcW w:w="1560" w:type="dxa"/>
            <w:vAlign w:val="bottom"/>
            <w:tcBorders>
              <w:left w:val="single" w:sz="8" w:color="auto"/>
              <w:right w:val="single" w:sz="8" w:color="auto"/>
            </w:tcBorders>
          </w:tcPr>
          <w:p>
            <w:pPr>
              <w:spacing w:after="0"/>
              <w:rPr>
                <w:sz w:val="24"/>
                <w:szCs w:val="24"/>
                <w:color w:val="auto"/>
              </w:rPr>
            </w:pPr>
          </w:p>
        </w:tc>
        <w:tc>
          <w:tcPr>
            <w:tcW w:w="380" w:type="dxa"/>
            <w:vAlign w:val="bottom"/>
          </w:tcPr>
          <w:p>
            <w:pPr>
              <w:ind w:left="180"/>
              <w:spacing w:after="0"/>
              <w:rPr>
                <w:sz w:val="20"/>
                <w:szCs w:val="20"/>
                <w:color w:val="auto"/>
              </w:rPr>
            </w:pPr>
            <w:r>
              <w:rPr>
                <w:rFonts w:ascii="Arial" w:cs="Arial" w:eastAsia="Arial" w:hAnsi="Arial"/>
                <w:sz w:val="18"/>
                <w:szCs w:val="18"/>
                <w:color w:val="auto"/>
              </w:rPr>
              <w:t>•</w:t>
            </w:r>
          </w:p>
        </w:tc>
        <w:tc>
          <w:tcPr>
            <w:tcW w:w="714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We have an annual shareholder advisory vote to approve named executive officer</w:t>
            </w:r>
          </w:p>
        </w:tc>
        <w:tc>
          <w:tcPr>
            <w:tcW w:w="0" w:type="dxa"/>
            <w:vAlign w:val="bottom"/>
          </w:tcPr>
          <w:p>
            <w:pPr>
              <w:spacing w:after="0"/>
              <w:rPr>
                <w:sz w:val="1"/>
                <w:szCs w:val="1"/>
                <w:color w:val="auto"/>
              </w:rPr>
            </w:pPr>
          </w:p>
        </w:tc>
      </w:tr>
      <w:tr>
        <w:trPr>
          <w:trHeight w:val="230"/>
        </w:trPr>
        <w:tc>
          <w:tcPr>
            <w:tcW w:w="1560" w:type="dxa"/>
            <w:vAlign w:val="bottom"/>
            <w:tcBorders>
              <w:left w:val="single" w:sz="8" w:color="auto"/>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714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compensation.</w:t>
            </w:r>
          </w:p>
        </w:tc>
        <w:tc>
          <w:tcPr>
            <w:tcW w:w="0" w:type="dxa"/>
            <w:vAlign w:val="bottom"/>
          </w:tcPr>
          <w:p>
            <w:pPr>
              <w:spacing w:after="0"/>
              <w:rPr>
                <w:sz w:val="1"/>
                <w:szCs w:val="1"/>
                <w:color w:val="auto"/>
              </w:rPr>
            </w:pPr>
          </w:p>
        </w:tc>
      </w:tr>
      <w:tr>
        <w:trPr>
          <w:trHeight w:val="337"/>
        </w:trPr>
        <w:tc>
          <w:tcPr>
            <w:tcW w:w="1560" w:type="dxa"/>
            <w:vAlign w:val="bottom"/>
            <w:tcBorders>
              <w:left w:val="single" w:sz="8" w:color="auto"/>
              <w:right w:val="single" w:sz="8" w:color="auto"/>
            </w:tcBorders>
          </w:tcPr>
          <w:p>
            <w:pPr>
              <w:spacing w:after="0"/>
              <w:rPr>
                <w:sz w:val="24"/>
                <w:szCs w:val="24"/>
                <w:color w:val="auto"/>
              </w:rPr>
            </w:pPr>
          </w:p>
        </w:tc>
        <w:tc>
          <w:tcPr>
            <w:tcW w:w="380" w:type="dxa"/>
            <w:vAlign w:val="bottom"/>
          </w:tcPr>
          <w:p>
            <w:pPr>
              <w:ind w:left="180"/>
              <w:spacing w:after="0"/>
              <w:rPr>
                <w:sz w:val="20"/>
                <w:szCs w:val="20"/>
                <w:color w:val="auto"/>
              </w:rPr>
            </w:pPr>
            <w:r>
              <w:rPr>
                <w:rFonts w:ascii="Arial" w:cs="Arial" w:eastAsia="Arial" w:hAnsi="Arial"/>
                <w:sz w:val="18"/>
                <w:szCs w:val="18"/>
                <w:color w:val="auto"/>
              </w:rPr>
              <w:t>•</w:t>
            </w:r>
          </w:p>
        </w:tc>
        <w:tc>
          <w:tcPr>
            <w:tcW w:w="714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w w:val="91"/>
              </w:rPr>
              <w:t>We do not maintain employment agreements or agreements to pay severance upon a change in</w:t>
            </w:r>
          </w:p>
        </w:tc>
        <w:tc>
          <w:tcPr>
            <w:tcW w:w="0" w:type="dxa"/>
            <w:vAlign w:val="bottom"/>
          </w:tcPr>
          <w:p>
            <w:pPr>
              <w:spacing w:after="0"/>
              <w:rPr>
                <w:sz w:val="1"/>
                <w:szCs w:val="1"/>
                <w:color w:val="auto"/>
              </w:rPr>
            </w:pPr>
          </w:p>
        </w:tc>
      </w:tr>
      <w:tr>
        <w:trPr>
          <w:trHeight w:val="230"/>
        </w:trPr>
        <w:tc>
          <w:tcPr>
            <w:tcW w:w="1560" w:type="dxa"/>
            <w:vAlign w:val="bottom"/>
            <w:tcBorders>
              <w:left w:val="single" w:sz="8" w:color="auto"/>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714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control with any of our executive officers.</w:t>
            </w:r>
          </w:p>
        </w:tc>
        <w:tc>
          <w:tcPr>
            <w:tcW w:w="0" w:type="dxa"/>
            <w:vAlign w:val="bottom"/>
          </w:tcPr>
          <w:p>
            <w:pPr>
              <w:spacing w:after="0"/>
              <w:rPr>
                <w:sz w:val="1"/>
                <w:szCs w:val="1"/>
                <w:color w:val="auto"/>
              </w:rPr>
            </w:pPr>
          </w:p>
        </w:tc>
      </w:tr>
      <w:tr>
        <w:trPr>
          <w:trHeight w:val="68"/>
        </w:trPr>
        <w:tc>
          <w:tcPr>
            <w:tcW w:w="1560" w:type="dxa"/>
            <w:vAlign w:val="bottom"/>
            <w:tcBorders>
              <w:left w:val="single" w:sz="8" w:color="auto"/>
              <w:bottom w:val="single" w:sz="8" w:color="auto"/>
              <w:right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71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9"/>
        </w:trPr>
        <w:tc>
          <w:tcPr>
            <w:tcW w:w="15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Ethics and</w:t>
            </w:r>
          </w:p>
        </w:tc>
        <w:tc>
          <w:tcPr>
            <w:tcW w:w="380" w:type="dxa"/>
            <w:vAlign w:val="bottom"/>
          </w:tcPr>
          <w:p>
            <w:pPr>
              <w:ind w:left="180"/>
              <w:spacing w:after="0"/>
              <w:rPr>
                <w:sz w:val="20"/>
                <w:szCs w:val="20"/>
                <w:color w:val="auto"/>
              </w:rPr>
            </w:pPr>
            <w:r>
              <w:rPr>
                <w:rFonts w:ascii="Arial" w:cs="Arial" w:eastAsia="Arial" w:hAnsi="Arial"/>
                <w:sz w:val="18"/>
                <w:szCs w:val="18"/>
                <w:color w:val="auto"/>
              </w:rPr>
              <w:t>•</w:t>
            </w:r>
          </w:p>
        </w:tc>
        <w:tc>
          <w:tcPr>
            <w:tcW w:w="714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w w:val="93"/>
              </w:rPr>
              <w:t>Our Code of Ethics, which applies to all officers, employees and directors, is disclosed on our</w:t>
            </w:r>
          </w:p>
        </w:tc>
        <w:tc>
          <w:tcPr>
            <w:tcW w:w="0" w:type="dxa"/>
            <w:vAlign w:val="bottom"/>
          </w:tcPr>
          <w:p>
            <w:pPr>
              <w:spacing w:after="0"/>
              <w:rPr>
                <w:sz w:val="1"/>
                <w:szCs w:val="1"/>
                <w:color w:val="auto"/>
              </w:rPr>
            </w:pPr>
          </w:p>
        </w:tc>
      </w:tr>
      <w:tr>
        <w:trPr>
          <w:trHeight w:val="216"/>
        </w:trPr>
        <w:tc>
          <w:tcPr>
            <w:tcW w:w="15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Corporate</w:t>
            </w:r>
          </w:p>
        </w:tc>
        <w:tc>
          <w:tcPr>
            <w:tcW w:w="380" w:type="dxa"/>
            <w:vAlign w:val="bottom"/>
          </w:tcPr>
          <w:p>
            <w:pPr>
              <w:spacing w:after="0"/>
              <w:rPr>
                <w:sz w:val="18"/>
                <w:szCs w:val="18"/>
                <w:color w:val="auto"/>
              </w:rPr>
            </w:pPr>
          </w:p>
        </w:tc>
        <w:tc>
          <w:tcPr>
            <w:tcW w:w="714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website.</w:t>
            </w:r>
          </w:p>
        </w:tc>
        <w:tc>
          <w:tcPr>
            <w:tcW w:w="0" w:type="dxa"/>
            <w:vAlign w:val="bottom"/>
          </w:tcPr>
          <w:p>
            <w:pPr>
              <w:spacing w:after="0"/>
              <w:rPr>
                <w:sz w:val="1"/>
                <w:szCs w:val="1"/>
                <w:color w:val="auto"/>
              </w:rPr>
            </w:pPr>
          </w:p>
        </w:tc>
      </w:tr>
      <w:tr>
        <w:trPr>
          <w:trHeight w:val="234"/>
        </w:trPr>
        <w:tc>
          <w:tcPr>
            <w:tcW w:w="15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w w:val="99"/>
              </w:rPr>
              <w:t>Responsibilities</w:t>
            </w:r>
          </w:p>
        </w:tc>
        <w:tc>
          <w:tcPr>
            <w:tcW w:w="380" w:type="dxa"/>
            <w:vAlign w:val="bottom"/>
            <w:vMerge w:val="restart"/>
          </w:tcPr>
          <w:p>
            <w:pPr>
              <w:ind w:left="180"/>
              <w:spacing w:after="0"/>
              <w:rPr>
                <w:sz w:val="20"/>
                <w:szCs w:val="20"/>
                <w:color w:val="auto"/>
              </w:rPr>
            </w:pPr>
            <w:r>
              <w:rPr>
                <w:rFonts w:ascii="Arial" w:cs="Arial" w:eastAsia="Arial" w:hAnsi="Arial"/>
                <w:sz w:val="18"/>
                <w:szCs w:val="18"/>
                <w:color w:val="auto"/>
              </w:rPr>
              <w:t>•</w:t>
            </w:r>
          </w:p>
        </w:tc>
        <w:tc>
          <w:tcPr>
            <w:tcW w:w="7140" w:type="dxa"/>
            <w:vAlign w:val="bottom"/>
            <w:tcBorders>
              <w:right w:val="single" w:sz="8" w:color="auto"/>
            </w:tcBorders>
            <w:vMerge w:val="restart"/>
          </w:tcPr>
          <w:p>
            <w:pPr>
              <w:ind w:left="140"/>
              <w:spacing w:after="0"/>
              <w:rPr>
                <w:sz w:val="20"/>
                <w:szCs w:val="20"/>
                <w:color w:val="auto"/>
              </w:rPr>
            </w:pPr>
            <w:r>
              <w:rPr>
                <w:rFonts w:ascii="Arial" w:cs="Arial" w:eastAsia="Arial" w:hAnsi="Arial"/>
                <w:sz w:val="18"/>
                <w:szCs w:val="18"/>
                <w:color w:val="auto"/>
                <w:w w:val="92"/>
              </w:rPr>
              <w:t>We have an active and robust ethics and compliance program, which includes required regular</w:t>
            </w:r>
          </w:p>
        </w:tc>
        <w:tc>
          <w:tcPr>
            <w:tcW w:w="0" w:type="dxa"/>
            <w:vAlign w:val="bottom"/>
          </w:tcPr>
          <w:p>
            <w:pPr>
              <w:spacing w:after="0"/>
              <w:rPr>
                <w:sz w:val="1"/>
                <w:szCs w:val="1"/>
                <w:color w:val="auto"/>
              </w:rPr>
            </w:pPr>
          </w:p>
        </w:tc>
      </w:tr>
      <w:tr>
        <w:trPr>
          <w:trHeight w:val="121"/>
        </w:trPr>
        <w:tc>
          <w:tcPr>
            <w:tcW w:w="1560" w:type="dxa"/>
            <w:vAlign w:val="bottom"/>
            <w:tcBorders>
              <w:left w:val="single" w:sz="8" w:color="auto"/>
              <w:right w:val="single" w:sz="8" w:color="auto"/>
            </w:tcBorders>
          </w:tcPr>
          <w:p>
            <w:pPr>
              <w:spacing w:after="0"/>
              <w:rPr>
                <w:sz w:val="10"/>
                <w:szCs w:val="10"/>
                <w:color w:val="auto"/>
              </w:rPr>
            </w:pPr>
          </w:p>
        </w:tc>
        <w:tc>
          <w:tcPr>
            <w:tcW w:w="380" w:type="dxa"/>
            <w:vAlign w:val="bottom"/>
            <w:vMerge w:val="continue"/>
          </w:tcPr>
          <w:p>
            <w:pPr>
              <w:spacing w:after="0"/>
              <w:rPr>
                <w:sz w:val="10"/>
                <w:szCs w:val="10"/>
                <w:color w:val="auto"/>
              </w:rPr>
            </w:pPr>
          </w:p>
        </w:tc>
        <w:tc>
          <w:tcPr>
            <w:tcW w:w="71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1560" w:type="dxa"/>
            <w:vAlign w:val="bottom"/>
            <w:tcBorders>
              <w:left w:val="single" w:sz="8" w:color="auto"/>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714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employee training.</w:t>
            </w:r>
          </w:p>
        </w:tc>
        <w:tc>
          <w:tcPr>
            <w:tcW w:w="0" w:type="dxa"/>
            <w:vAlign w:val="bottom"/>
          </w:tcPr>
          <w:p>
            <w:pPr>
              <w:spacing w:after="0"/>
              <w:rPr>
                <w:sz w:val="1"/>
                <w:szCs w:val="1"/>
                <w:color w:val="auto"/>
              </w:rPr>
            </w:pPr>
          </w:p>
        </w:tc>
      </w:tr>
      <w:tr>
        <w:trPr>
          <w:trHeight w:val="337"/>
        </w:trPr>
        <w:tc>
          <w:tcPr>
            <w:tcW w:w="1560" w:type="dxa"/>
            <w:vAlign w:val="bottom"/>
            <w:tcBorders>
              <w:left w:val="single" w:sz="8" w:color="auto"/>
              <w:right w:val="single" w:sz="8" w:color="auto"/>
            </w:tcBorders>
          </w:tcPr>
          <w:p>
            <w:pPr>
              <w:spacing w:after="0"/>
              <w:rPr>
                <w:sz w:val="24"/>
                <w:szCs w:val="24"/>
                <w:color w:val="auto"/>
              </w:rPr>
            </w:pPr>
          </w:p>
        </w:tc>
        <w:tc>
          <w:tcPr>
            <w:tcW w:w="380" w:type="dxa"/>
            <w:vAlign w:val="bottom"/>
          </w:tcPr>
          <w:p>
            <w:pPr>
              <w:ind w:left="180"/>
              <w:spacing w:after="0"/>
              <w:rPr>
                <w:sz w:val="20"/>
                <w:szCs w:val="20"/>
                <w:color w:val="auto"/>
              </w:rPr>
            </w:pPr>
            <w:r>
              <w:rPr>
                <w:rFonts w:ascii="Arial" w:cs="Arial" w:eastAsia="Arial" w:hAnsi="Arial"/>
                <w:sz w:val="18"/>
                <w:szCs w:val="18"/>
                <w:color w:val="auto"/>
              </w:rPr>
              <w:t>•</w:t>
            </w:r>
          </w:p>
        </w:tc>
        <w:tc>
          <w:tcPr>
            <w:tcW w:w="714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w w:val="99"/>
              </w:rPr>
              <w:t>We are committed to corporate responsibility and sustainability and report on our efforts</w:t>
            </w:r>
          </w:p>
        </w:tc>
        <w:tc>
          <w:tcPr>
            <w:tcW w:w="0" w:type="dxa"/>
            <w:vAlign w:val="bottom"/>
          </w:tcPr>
          <w:p>
            <w:pPr>
              <w:spacing w:after="0"/>
              <w:rPr>
                <w:sz w:val="1"/>
                <w:szCs w:val="1"/>
                <w:color w:val="auto"/>
              </w:rPr>
            </w:pPr>
          </w:p>
        </w:tc>
      </w:tr>
      <w:tr>
        <w:trPr>
          <w:trHeight w:val="230"/>
        </w:trPr>
        <w:tc>
          <w:tcPr>
            <w:tcW w:w="1560" w:type="dxa"/>
            <w:vAlign w:val="bottom"/>
            <w:tcBorders>
              <w:left w:val="single" w:sz="8" w:color="auto"/>
              <w:bottom w:val="single" w:sz="8" w:color="auto"/>
              <w:right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14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through our website.</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160"/>
          </w:cols>
          <w:pgMar w:left="320" w:top="265" w:right="1419" w:bottom="1440" w:gutter="0" w:footer="0" w:header="0"/>
        </w:sectPr>
      </w:pPr>
    </w:p>
    <w:p>
      <w:pPr>
        <w:spacing w:after="0" w:line="114" w:lineRule="exact"/>
        <w:rPr>
          <w:sz w:val="20"/>
          <w:szCs w:val="20"/>
          <w:color w:val="auto"/>
        </w:rPr>
      </w:pPr>
    </w:p>
    <w:p>
      <w:pPr>
        <w:ind w:left="1160"/>
        <w:spacing w:after="0"/>
        <w:tabs>
          <w:tab w:leader="none" w:pos="9960" w:val="left"/>
        </w:tabs>
        <w:rPr>
          <w:sz w:val="20"/>
          <w:szCs w:val="20"/>
          <w:color w:val="auto"/>
        </w:rPr>
      </w:pPr>
      <w:r>
        <w:rPr>
          <w:rFonts w:ascii="Arial" w:cs="Arial" w:eastAsia="Arial" w:hAnsi="Arial"/>
          <w:sz w:val="16"/>
          <w:szCs w:val="16"/>
          <w:color w:val="auto"/>
        </w:rPr>
        <w:t>2020 Proxy Statement | Corporate Governance</w:t>
      </w:r>
      <w:r>
        <w:rPr>
          <w:sz w:val="20"/>
          <w:szCs w:val="20"/>
          <w:color w:val="auto"/>
        </w:rPr>
        <w:tab/>
      </w: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137795</wp:posOffset>
            </wp:positionV>
            <wp:extent cx="69951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160"/>
          </w:cols>
          <w:pgMar w:left="320" w:top="265" w:right="1419" w:bottom="1440" w:gutter="0" w:footer="0" w:header="0"/>
          <w:type w:val="continuous"/>
        </w:sectPr>
      </w:pPr>
    </w:p>
    <w:bookmarkStart w:id="22" w:name="page23"/>
    <w:bookmarkEnd w:id="22"/>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6515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651510"/>
                    </a:xfrm>
                    <a:prstGeom prst="rect">
                      <a:avLst/>
                    </a:prstGeom>
                    <a:noFill/>
                  </pic:spPr>
                </pic:pic>
              </a:graphicData>
            </a:graphic>
          </wp:anchor>
        </w:drawing>
      </w:r>
    </w:p>
    <w:p>
      <w:pPr>
        <w:sectPr>
          <w:pgSz w:w="11900" w:h="16838" w:orient="portrait"/>
          <w:cols w:equalWidth="0" w:num="1">
            <w:col w:w="10140"/>
          </w:cols>
          <w:pgMar w:left="320" w:top="265" w:right="1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080"/>
        <w:spacing w:after="0"/>
        <w:rPr>
          <w:sz w:val="20"/>
          <w:szCs w:val="20"/>
          <w:color w:val="auto"/>
        </w:rPr>
      </w:pPr>
      <w:r>
        <w:rPr>
          <w:rFonts w:ascii="Arial" w:cs="Arial" w:eastAsia="Arial" w:hAnsi="Arial"/>
          <w:sz w:val="20"/>
          <w:szCs w:val="20"/>
          <w:b w:val="1"/>
          <w:bCs w:val="1"/>
          <w:color w:val="3F3F3F"/>
        </w:rPr>
        <w:t>Board of Directors and Committees</w:t>
      </w:r>
    </w:p>
    <w:p>
      <w:pPr>
        <w:spacing w:after="0" w:line="11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There are 12 members on the Board of Directors.</w:t>
      </w:r>
    </w:p>
    <w:p>
      <w:pPr>
        <w:spacing w:after="0" w:line="23" w:lineRule="exact"/>
        <w:rPr>
          <w:sz w:val="20"/>
          <w:szCs w:val="20"/>
          <w:color w:val="auto"/>
        </w:rPr>
      </w:pPr>
    </w:p>
    <w:p>
      <w:pPr>
        <w:ind w:left="1080" w:right="140"/>
        <w:spacing w:after="0" w:line="290" w:lineRule="auto"/>
        <w:rPr>
          <w:sz w:val="20"/>
          <w:szCs w:val="20"/>
          <w:color w:val="auto"/>
        </w:rPr>
      </w:pPr>
      <w:r>
        <w:rPr>
          <w:rFonts w:ascii="Arial" w:cs="Arial" w:eastAsia="Arial" w:hAnsi="Arial"/>
          <w:sz w:val="16"/>
          <w:szCs w:val="16"/>
          <w:color w:val="auto"/>
        </w:rPr>
        <w:t>The Board met 10 times during 2019. No director of the Company attended fewer than 75% of the Board meetings and the committee meetings to which he or she was appointed and served during 2019. The members of the Board are expected to be present at the annual meeting. All of the Directors attended last year’s annual meeting.</w:t>
      </w:r>
    </w:p>
    <w:p>
      <w:pPr>
        <w:spacing w:after="0" w:line="196" w:lineRule="exact"/>
        <w:rPr>
          <w:sz w:val="20"/>
          <w:szCs w:val="20"/>
          <w:color w:val="auto"/>
        </w:rPr>
      </w:pPr>
    </w:p>
    <w:p>
      <w:pPr>
        <w:ind w:left="1080"/>
        <w:spacing w:after="0"/>
        <w:rPr>
          <w:sz w:val="20"/>
          <w:szCs w:val="20"/>
          <w:color w:val="auto"/>
        </w:rPr>
      </w:pPr>
      <w:r>
        <w:rPr>
          <w:rFonts w:ascii="Arial" w:cs="Arial" w:eastAsia="Arial" w:hAnsi="Arial"/>
          <w:sz w:val="20"/>
          <w:szCs w:val="20"/>
          <w:b w:val="1"/>
          <w:bCs w:val="1"/>
          <w:color w:val="3F3F3F"/>
        </w:rPr>
        <w:t>Committees of the Board</w:t>
      </w:r>
    </w:p>
    <w:p>
      <w:pPr>
        <w:spacing w:after="0" w:line="116" w:lineRule="exact"/>
        <w:rPr>
          <w:sz w:val="20"/>
          <w:szCs w:val="20"/>
          <w:color w:val="auto"/>
        </w:rPr>
      </w:pPr>
    </w:p>
    <w:p>
      <w:pPr>
        <w:ind w:left="1080" w:right="40"/>
        <w:spacing w:after="0" w:line="253" w:lineRule="auto"/>
        <w:rPr>
          <w:sz w:val="20"/>
          <w:szCs w:val="20"/>
          <w:color w:val="auto"/>
        </w:rPr>
      </w:pPr>
      <w:r>
        <w:rPr>
          <w:rFonts w:ascii="Arial" w:cs="Arial" w:eastAsia="Arial" w:hAnsi="Arial"/>
          <w:sz w:val="18"/>
          <w:szCs w:val="18"/>
          <w:color w:val="auto"/>
        </w:rPr>
        <w:t>The committees of the Board consist of the Audit Committee, Compensation Committee and Corporate Governance Committee. Each committee is governed by a charter that defines its role and responsibilities and are available on the Company’s website at www.AFGinc.com under “About Us—Leadership and Governance – Board Committees.” A printed copy of these charters may be obtained by shareholders upon written request addressed to the Company’s Secretary, at the address set forth under “2020 Proxy Statement – Summary – Company Communications.”</w:t>
      </w:r>
    </w:p>
    <w:p>
      <w:pPr>
        <w:spacing w:after="0" w:line="80" w:lineRule="exact"/>
        <w:rPr>
          <w:sz w:val="20"/>
          <w:szCs w:val="20"/>
          <w:color w:val="auto"/>
        </w:rPr>
      </w:pPr>
    </w:p>
    <w:p>
      <w:pPr>
        <w:jc w:val="both"/>
        <w:ind w:left="1080"/>
        <w:spacing w:after="0" w:line="289"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b w:val="1"/>
          <w:bCs w:val="1"/>
          <w:color w:val="auto"/>
        </w:rPr>
        <w:t>Compensation Committee</w:t>
      </w:r>
      <w:r>
        <w:rPr>
          <w:rFonts w:ascii="Arial" w:cs="Arial" w:eastAsia="Arial" w:hAnsi="Arial"/>
          <w:sz w:val="16"/>
          <w:szCs w:val="16"/>
          <w:color w:val="auto"/>
        </w:rPr>
        <w:t xml:space="preserve"> acts on behalf of the Board of Directors and, by extension, the shareholders to monitor adherence to the Company’s compensation philosophy.</w:t>
      </w:r>
    </w:p>
    <w:p>
      <w:pPr>
        <w:spacing w:after="0" w:line="2" w:lineRule="exact"/>
        <w:rPr>
          <w:sz w:val="20"/>
          <w:szCs w:val="20"/>
          <w:color w:val="auto"/>
        </w:rPr>
      </w:pPr>
    </w:p>
    <w:p>
      <w:pPr>
        <w:ind w:left="1080"/>
        <w:spacing w:after="0" w:line="284" w:lineRule="auto"/>
        <w:rPr>
          <w:rFonts w:ascii="Arial" w:cs="Arial" w:eastAsia="Arial" w:hAnsi="Arial"/>
          <w:sz w:val="16"/>
          <w:szCs w:val="16"/>
          <w:color w:val="auto"/>
        </w:rPr>
      </w:pPr>
      <w:r>
        <w:rPr>
          <w:rFonts w:ascii="Arial" w:cs="Arial" w:eastAsia="Arial" w:hAnsi="Arial"/>
          <w:sz w:val="16"/>
          <w:szCs w:val="16"/>
          <w:color w:val="auto"/>
        </w:rPr>
        <w:t xml:space="preserve">The Committee ensures that the total compensation paid to the named executive officers is fair, reasonable and competitive. The Compensation Committee also acts as the oversight committee with respect to the Company’s stock incentive plans, bonus plans covering senior executive officers and deferred compensation plans. In overseeing those plans, the Committee may delegate certain ministerial duties to the Company’s officers including, for example, the maintenance of records of the awards. In addition, the Company’s stock incentive plan permits the Committee to delegate to the Co-CEOs the ability to select participants and determine award levels, within parameters approved by the Committee, except with respect to awards to themselves or to any other senior executive officers, including the named executive officers. Additional information regarding the processes and procedures for establishing and overseeing executive compensation is provided in the “Compensation Discussion and Analysis” beginning on page </w:t>
      </w:r>
      <w:hyperlink w:anchor="page30">
        <w:r>
          <w:rPr>
            <w:rFonts w:ascii="Arial" w:cs="Arial" w:eastAsia="Arial" w:hAnsi="Arial"/>
            <w:sz w:val="16"/>
            <w:szCs w:val="16"/>
            <w:u w:val="single" w:color="auto"/>
            <w:color w:val="0000EE"/>
          </w:rPr>
          <w:t>23</w:t>
        </w:r>
      </w:hyperlink>
      <w:r>
        <w:rPr>
          <w:rFonts w:ascii="Arial" w:cs="Arial" w:eastAsia="Arial" w:hAnsi="Arial"/>
          <w:sz w:val="16"/>
          <w:szCs w:val="16"/>
          <w:color w:val="auto"/>
        </w:rPr>
        <w:t>.</w:t>
      </w:r>
    </w:p>
    <w:p>
      <w:pPr>
        <w:spacing w:after="0" w:line="275" w:lineRule="exact"/>
        <w:rPr>
          <w:sz w:val="20"/>
          <w:szCs w:val="20"/>
          <w:color w:val="auto"/>
        </w:rPr>
      </w:pPr>
    </w:p>
    <w:p>
      <w:pPr>
        <w:ind w:left="1080"/>
        <w:spacing w:after="0" w:line="289"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b w:val="1"/>
          <w:bCs w:val="1"/>
          <w:color w:val="auto"/>
        </w:rPr>
        <w:t>Corporate Governance Committee</w:t>
      </w:r>
      <w:r>
        <w:rPr>
          <w:rFonts w:ascii="Arial" w:cs="Arial" w:eastAsia="Arial" w:hAnsi="Arial"/>
          <w:sz w:val="16"/>
          <w:szCs w:val="16"/>
          <w:color w:val="auto"/>
        </w:rPr>
        <w:t xml:space="preserve"> is responsible for, among other things, establishing criteria for selecting new directors, identifying individuals qualified to be Board members, as needed, and recommending to the Board director nominees for the next annual meeting of shareholders. The Corporate Governance Committee also facilitates participation by directors in continuing education programs, including accredited director education programs and structured internal programs presented by management, and oversees the annual Board evaluation process.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both"/>
        <w:ind w:right="20"/>
        <w:spacing w:after="0" w:line="301" w:lineRule="auto"/>
        <w:rPr>
          <w:sz w:val="20"/>
          <w:szCs w:val="20"/>
          <w:color w:val="auto"/>
        </w:rPr>
      </w:pPr>
      <w:r>
        <w:rPr>
          <w:rFonts w:ascii="Arial" w:cs="Arial" w:eastAsia="Arial" w:hAnsi="Arial"/>
          <w:sz w:val="16"/>
          <w:szCs w:val="16"/>
          <w:color w:val="auto"/>
        </w:rPr>
        <w:t>Our Corporate Governance Guidelines identify some of the criteria used to evaluate prospective nominees for director. Our Corporate Governance Guidelines are available on the Company’s website at www.AFGinc.com.</w:t>
      </w:r>
    </w:p>
    <w:p>
      <w:pPr>
        <w:spacing w:after="0" w:line="49"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Nominees for director will be recommended by the Corporate Governance Committee in accordance with the principles in its charter and the Corporate Governance Guidelines. When considering an individual candidate’s suitability for membership on the Board, the Corporate Governance Committee will evaluate each individual on a case-by-case basis. Although the Committee does not prescribe minimum qualifications or standards for directors, candidates for Board membership should have the highest personal and professional integrity, demonstrated exceptional ability and judgment, and availability and willingness to take the time necessary to properly discharge the duties of a director. Additionally, we consider it desirable for director candidates to have management experience, especially with public companies, and that a portion of such candidates have experience in the insurance and financial services industries. The Board seeks candidates with diverse experiences, qualifications, backgrounds and skills that the Board believes enable each candidate to make a significant contribution to the Board. The Board will also consider diverse Board candidates, including women and minorities, and individuals from both corporate positions and non-traditional environments such as government, academia, and nonprofit organizations.</w:t>
      </w:r>
    </w:p>
    <w:p>
      <w:pPr>
        <w:spacing w:after="0" w:line="67"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The Corporate Governance Committee does not have a policy with regard to the consideration of director candidates recommended by shareholders because Ohio law and the Company’s Regulations afford shareholders certain rights related to such matters. The Regulations provide that only candidates nominated by or at the direction of the Board of Directors and candidates nominated at the meeting by a shareholder who has complied with the procedures set forth in the Regulations will be eligible for election at a meeting of shareholders. Procedures that shareholders must follow in order to nominate a director candidate are set forth below under, “Submitting Shareholder Proposals for the 2021 Annual Meeting of Shareholders.”</w:t>
      </w:r>
    </w:p>
    <w:p>
      <w:pPr>
        <w:spacing w:after="0" w:line="63"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The Committee will make its determinations on whether to nominate an individual in the context of the Board as a whole based on the Board’s then-current needs, the merits of each such candidate and the qualifications of other available candidates. The Committee has no obligation to respond to shareholders who propose candidates that it has determined not to nominate for election to the Board, but the Committee may do so in its sole discretion. All director candidates are evaluated similarly, whether nominated by the Board or by a shareholder.</w:t>
      </w:r>
    </w:p>
    <w:p>
      <w:pPr>
        <w:spacing w:after="0" w:line="60"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The Corporate Governance Committee did not seek, nor did it receive the recommendation of, any of the director</w:t>
      </w:r>
    </w:p>
    <w:p>
      <w:pPr>
        <w:spacing w:after="0" w:line="200" w:lineRule="exact"/>
        <w:rPr>
          <w:sz w:val="20"/>
          <w:szCs w:val="20"/>
          <w:color w:val="auto"/>
        </w:rPr>
      </w:pPr>
    </w:p>
    <w:p>
      <w:pPr>
        <w:sectPr>
          <w:pgSz w:w="11900" w:h="16838" w:orient="portrait"/>
          <w:cols w:equalWidth="0" w:num="2">
            <w:col w:w="5400" w:space="440"/>
            <w:col w:w="4300"/>
          </w:cols>
          <w:pgMar w:left="320" w:top="265" w:right="1439" w:bottom="1440" w:gutter="0" w:footer="0" w:header="0"/>
          <w:type w:val="continuous"/>
        </w:sectPr>
      </w:pPr>
    </w:p>
    <w:p>
      <w:pPr>
        <w:spacing w:after="0" w:line="36" w:lineRule="exact"/>
        <w:rPr>
          <w:sz w:val="20"/>
          <w:szCs w:val="20"/>
          <w:color w:val="auto"/>
        </w:rPr>
      </w:pPr>
    </w:p>
    <w:p>
      <w:pPr>
        <w:ind w:left="1160"/>
        <w:spacing w:after="0"/>
        <w:tabs>
          <w:tab w:leader="none" w:pos="9960" w:val="left"/>
        </w:tabs>
        <w:rPr>
          <w:sz w:val="20"/>
          <w:szCs w:val="20"/>
          <w:color w:val="auto"/>
        </w:rPr>
      </w:pPr>
      <w:r>
        <w:rPr>
          <w:rFonts w:ascii="Arial" w:cs="Arial" w:eastAsia="Arial" w:hAnsi="Arial"/>
          <w:sz w:val="16"/>
          <w:szCs w:val="16"/>
          <w:color w:val="auto"/>
        </w:rPr>
        <w:t>2020 Proxy Statement | Corporate Governance</w:t>
      </w:r>
      <w:r>
        <w:rPr>
          <w:sz w:val="20"/>
          <w:szCs w:val="20"/>
          <w:color w:val="auto"/>
        </w:rPr>
        <w:tab/>
      </w: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137795</wp:posOffset>
            </wp:positionV>
            <wp:extent cx="699516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140"/>
          </w:cols>
          <w:pgMar w:left="320" w:top="265" w:right="1439" w:bottom="1440" w:gutter="0" w:footer="0" w:header="0"/>
          <w:type w:val="continuous"/>
        </w:sectPr>
      </w:pPr>
    </w:p>
    <w:bookmarkStart w:id="23" w:name="page24"/>
    <w:bookmarkEnd w:id="23"/>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6515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651510"/>
                    </a:xfrm>
                    <a:prstGeom prst="rect">
                      <a:avLst/>
                    </a:prstGeom>
                    <a:noFill/>
                  </pic:spPr>
                </pic:pic>
              </a:graphicData>
            </a:graphic>
          </wp:anchor>
        </w:drawing>
      </w:r>
    </w:p>
    <w:p>
      <w:pPr>
        <w:sectPr>
          <w:pgSz w:w="11900" w:h="16838" w:orient="portrait"/>
          <w:cols w:equalWidth="0" w:num="1">
            <w:col w:w="10140"/>
          </w:cols>
          <w:pgMar w:left="320" w:top="265" w:right="1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080"/>
        <w:spacing w:after="0" w:line="296" w:lineRule="auto"/>
        <w:rPr>
          <w:sz w:val="20"/>
          <w:szCs w:val="20"/>
          <w:color w:val="auto"/>
        </w:rPr>
      </w:pPr>
      <w:r>
        <w:rPr>
          <w:rFonts w:ascii="Arial" w:cs="Arial" w:eastAsia="Arial" w:hAnsi="Arial"/>
          <w:sz w:val="16"/>
          <w:szCs w:val="16"/>
          <w:color w:val="auto"/>
        </w:rPr>
        <w:t>candidates named in this proxy statement from any shareholder, independent director, executive officer or third-party search firm in connection with its own approval of such candidates. The Company has not paid any fee to a third party to assist it in identifying or evaluating nominees.</w:t>
      </w:r>
    </w:p>
    <w:p>
      <w:pPr>
        <w:spacing w:after="0" w:line="49" w:lineRule="exact"/>
        <w:rPr>
          <w:sz w:val="20"/>
          <w:szCs w:val="20"/>
          <w:color w:val="auto"/>
        </w:rPr>
      </w:pPr>
    </w:p>
    <w:p>
      <w:pPr>
        <w:ind w:left="1080" w:right="20"/>
        <w:spacing w:after="0" w:line="273" w:lineRule="auto"/>
        <w:rPr>
          <w:sz w:val="20"/>
          <w:szCs w:val="20"/>
          <w:color w:val="auto"/>
        </w:rPr>
      </w:pPr>
      <w:r>
        <w:rPr>
          <w:rFonts w:ascii="Arial" w:cs="Arial" w:eastAsia="Arial" w:hAnsi="Arial"/>
          <w:sz w:val="17"/>
          <w:szCs w:val="17"/>
          <w:color w:val="auto"/>
        </w:rPr>
        <w:t xml:space="preserve">The </w:t>
      </w:r>
      <w:r>
        <w:rPr>
          <w:rFonts w:ascii="Arial" w:cs="Arial" w:eastAsia="Arial" w:hAnsi="Arial"/>
          <w:sz w:val="17"/>
          <w:szCs w:val="17"/>
          <w:b w:val="1"/>
          <w:bCs w:val="1"/>
          <w:color w:val="auto"/>
        </w:rPr>
        <w:t>Audit Committee</w:t>
      </w:r>
      <w:r>
        <w:rPr>
          <w:rFonts w:ascii="Arial" w:cs="Arial" w:eastAsia="Arial" w:hAnsi="Arial"/>
          <w:sz w:val="17"/>
          <w:szCs w:val="17"/>
          <w:color w:val="auto"/>
        </w:rPr>
        <w:t xml:space="preserve"> oversees the Company’s accounting and financial reporting processes, audits of the financial statements, and internal controls over financial reporting. The Committee is governed by a charter. A copy of the charter is available on the Company’s website at www.AFGinc.com under “About Us—Leadership and Governance—Board Committees.”</w:t>
      </w:r>
    </w:p>
    <w:p>
      <w:pPr>
        <w:spacing w:after="0" w:line="68" w:lineRule="exact"/>
        <w:rPr>
          <w:sz w:val="20"/>
          <w:szCs w:val="20"/>
          <w:color w:val="auto"/>
        </w:rPr>
      </w:pPr>
    </w:p>
    <w:p>
      <w:pPr>
        <w:ind w:left="1080" w:right="720"/>
        <w:spacing w:after="0" w:line="342" w:lineRule="auto"/>
        <w:rPr>
          <w:sz w:val="20"/>
          <w:szCs w:val="20"/>
          <w:color w:val="auto"/>
        </w:rPr>
      </w:pPr>
      <w:r>
        <w:rPr>
          <w:rFonts w:ascii="Arial" w:cs="Arial" w:eastAsia="Arial" w:hAnsi="Arial"/>
          <w:sz w:val="16"/>
          <w:szCs w:val="16"/>
          <w:color w:val="auto"/>
        </w:rPr>
        <w:t>As more fully described in its charter, the primary responsibilities of the Audit Committee are to:</w:t>
      </w:r>
    </w:p>
    <w:p>
      <w:pPr>
        <w:spacing w:after="0" w:line="16" w:lineRule="exact"/>
        <w:rPr>
          <w:sz w:val="20"/>
          <w:szCs w:val="20"/>
          <w:color w:val="auto"/>
        </w:rPr>
      </w:pPr>
    </w:p>
    <w:p>
      <w:pPr>
        <w:ind w:left="1800" w:right="180" w:hanging="352"/>
        <w:spacing w:after="0" w:line="269" w:lineRule="auto"/>
        <w:tabs>
          <w:tab w:leader="none" w:pos="18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appoint the Company’s independent registered public accounting firm and oversee the relationship; including monitoring the auditor’s independence, establishing the auditor’s compensation and reviewing the scope of the auditor’s work, including pre-approval of audit and non-audit services;</w:t>
      </w:r>
    </w:p>
    <w:p>
      <w:pPr>
        <w:spacing w:after="0" w:line="5" w:lineRule="exact"/>
        <w:rPr>
          <w:rFonts w:ascii="Arial" w:cs="Arial" w:eastAsia="Arial" w:hAnsi="Arial"/>
          <w:sz w:val="17"/>
          <w:szCs w:val="17"/>
          <w:color w:val="auto"/>
        </w:rPr>
      </w:pPr>
    </w:p>
    <w:p>
      <w:pPr>
        <w:ind w:left="1800" w:right="120" w:hanging="352"/>
        <w:spacing w:after="0" w:line="267" w:lineRule="auto"/>
        <w:tabs>
          <w:tab w:leader="none" w:pos="18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review and discuss with our management and independent registered public accounting firm, the Company’s interim and audited annual financial statements, and recommend to the Board whether the audited annual financial statements should be included in the Company’s annual report on Form 10-K;</w:t>
      </w:r>
    </w:p>
    <w:p>
      <w:pPr>
        <w:spacing w:after="0" w:line="4" w:lineRule="exact"/>
        <w:rPr>
          <w:rFonts w:ascii="Arial" w:cs="Arial" w:eastAsia="Arial" w:hAnsi="Arial"/>
          <w:sz w:val="17"/>
          <w:szCs w:val="17"/>
          <w:color w:val="auto"/>
        </w:rPr>
      </w:pPr>
    </w:p>
    <w:p>
      <w:pPr>
        <w:ind w:left="1800" w:right="20" w:hanging="352"/>
        <w:spacing w:after="0" w:line="268" w:lineRule="auto"/>
        <w:tabs>
          <w:tab w:leader="none" w:pos="18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review management’s report on its assessment of the effectiveness of internal control over financial reporting and the independent public accounting firm’s report on the effectiveness of internal control over financial reporting;</w:t>
      </w:r>
    </w:p>
    <w:p>
      <w:pPr>
        <w:spacing w:after="0" w:line="2" w:lineRule="exact"/>
        <w:rPr>
          <w:rFonts w:ascii="Arial" w:cs="Arial" w:eastAsia="Arial" w:hAnsi="Arial"/>
          <w:sz w:val="17"/>
          <w:szCs w:val="17"/>
          <w:color w:val="auto"/>
        </w:rPr>
      </w:pPr>
    </w:p>
    <w:p>
      <w:pPr>
        <w:jc w:val="both"/>
        <w:ind w:left="1800" w:right="180" w:hanging="352"/>
        <w:spacing w:after="0" w:line="293" w:lineRule="auto"/>
        <w:tabs>
          <w:tab w:leader="none" w:pos="18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review the adequacy and implementation of the Company’s internal audit function, including a review of the scope and results of its program;</w:t>
      </w:r>
    </w:p>
    <w:p>
      <w:pPr>
        <w:ind w:left="1800" w:right="60" w:hanging="352"/>
        <w:spacing w:after="0" w:line="255" w:lineRule="auto"/>
        <w:tabs>
          <w:tab w:leader="none" w:pos="1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review and approve or ratify all transactions with related persons that are required to be disclosed in the proxy statement; and</w:t>
      </w:r>
    </w:p>
    <w:p>
      <w:pPr>
        <w:spacing w:after="0" w:line="2" w:lineRule="exact"/>
        <w:rPr>
          <w:rFonts w:ascii="Arial" w:cs="Arial" w:eastAsia="Arial" w:hAnsi="Arial"/>
          <w:sz w:val="18"/>
          <w:szCs w:val="18"/>
          <w:color w:val="auto"/>
        </w:rPr>
      </w:pPr>
    </w:p>
    <w:p>
      <w:pPr>
        <w:ind w:left="1800" w:right="160" w:hanging="352"/>
        <w:spacing w:after="0" w:line="286" w:lineRule="auto"/>
        <w:tabs>
          <w:tab w:leader="none" w:pos="18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discuss with management the Company’s guidelines and policies related to enterprise risk assessment and risk management.</w:t>
      </w:r>
    </w:p>
    <w:p>
      <w:pPr>
        <w:spacing w:after="0" w:line="201"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Audit Committee Report</w:t>
      </w:r>
    </w:p>
    <w:p>
      <w:pPr>
        <w:spacing w:after="0" w:line="121" w:lineRule="exact"/>
        <w:rPr>
          <w:sz w:val="20"/>
          <w:szCs w:val="20"/>
          <w:color w:val="auto"/>
        </w:rPr>
      </w:pPr>
    </w:p>
    <w:p>
      <w:pPr>
        <w:ind w:left="1080" w:right="260"/>
        <w:spacing w:after="0" w:line="291" w:lineRule="auto"/>
        <w:rPr>
          <w:sz w:val="20"/>
          <w:szCs w:val="20"/>
          <w:color w:val="auto"/>
        </w:rPr>
      </w:pPr>
      <w:r>
        <w:rPr>
          <w:rFonts w:ascii="Arial" w:cs="Arial" w:eastAsia="Arial" w:hAnsi="Arial"/>
          <w:sz w:val="16"/>
          <w:szCs w:val="16"/>
          <w:color w:val="auto"/>
        </w:rPr>
        <w:t>The Audit Committee oversees the Company’s financial reporting process on behalf of the Board of Directors.</w:t>
      </w:r>
    </w:p>
    <w:p>
      <w:pPr>
        <w:ind w:left="1080" w:right="20"/>
        <w:spacing w:after="0" w:line="287" w:lineRule="auto"/>
        <w:rPr>
          <w:sz w:val="20"/>
          <w:szCs w:val="20"/>
          <w:color w:val="auto"/>
        </w:rPr>
      </w:pPr>
      <w:r>
        <w:rPr>
          <w:rFonts w:ascii="Arial" w:cs="Arial" w:eastAsia="Arial" w:hAnsi="Arial"/>
          <w:sz w:val="16"/>
          <w:szCs w:val="16"/>
          <w:color w:val="auto"/>
        </w:rPr>
        <w:t>The Company’s management has the primary responsibility for the financial statements, for maintaining effective internal control over financial reporting, and for assessing the effectiveness of internal control over financial reporting. In fulfilling its oversight responsibilities, the Committee reviewed and discussed the audited consolidated financial statements and the related schedules in the Annual Report with Company management,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including a discussion of the quality, not just the acceptability, of the accounting principles; the reasonableness of significant judgments; and the clarity of disclosures in the financial statements.</w:t>
      </w:r>
    </w:p>
    <w:p>
      <w:pPr>
        <w:spacing w:after="0" w:line="79" w:lineRule="exact"/>
        <w:rPr>
          <w:sz w:val="20"/>
          <w:szCs w:val="20"/>
          <w:color w:val="auto"/>
        </w:rPr>
      </w:pPr>
    </w:p>
    <w:p>
      <w:pPr>
        <w:ind w:right="360"/>
        <w:spacing w:after="0" w:line="311" w:lineRule="auto"/>
        <w:rPr>
          <w:sz w:val="20"/>
          <w:szCs w:val="20"/>
          <w:color w:val="auto"/>
        </w:rPr>
      </w:pPr>
      <w:r>
        <w:rPr>
          <w:rFonts w:ascii="Arial" w:cs="Arial" w:eastAsia="Arial" w:hAnsi="Arial"/>
          <w:sz w:val="16"/>
          <w:szCs w:val="16"/>
          <w:color w:val="auto"/>
        </w:rPr>
        <w:t>The Committee is comprised solely of independent directors as defined by the NYSE listing standards and Rule 10A-3 of the Securities Exchange Act of 1934.</w:t>
      </w:r>
    </w:p>
    <w:p>
      <w:pPr>
        <w:spacing w:after="0" w:line="4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members of the Committee are Gregory G. Joseph (Chairman), Terry S. Jacobs, Virginia “Gina” C. Drosos and John I. Von Lehman. Each of the members of the Audit Committee is independent as defined by the NYSE listing standards. The Board has determined that two of the Audit Committee’s members, Mr. Jacobs, and Mr. Von Lehman, are each considered to be an “audit committee financial expert” as defined under SEC Regulation S-K Item 407(d).</w:t>
      </w:r>
    </w:p>
    <w:p>
      <w:pPr>
        <w:spacing w:after="0" w:line="5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meetings of the Committee are designed to facilitate and encourage communication among the Committee, the Company, the Company’s internal audit function and the Company’s independent auditor. The Audit Committee schedules its meetings with a view to ensuring that it devotes appropriate attention to all of its tasks. These meetings include, whenever appropriate, executive sessions in which the Audit Committee meets separately with the independent auditors, internal auditors and management personnel.</w:t>
      </w:r>
    </w:p>
    <w:p>
      <w:pPr>
        <w:spacing w:after="0" w:line="77"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In addition, the Audit Committee reviews key initiatives and programs aimed at maintaining the effectiveness of the Company’s internal control over financial reporting. Together with senior members of the Company’s management team, the Audit Committee reviews the plans of the internal auditors, the results of internal audit examinations and evaluations by management and the Company’s independent auditors of the Company’s internal control over financial reporting and the quality of the Company’s financial reporting. As part of this process, the Audit Committee monitors the scope and adequacy of the Company’s internal auditing program, including reviewing internal audit department staffing levels and steps taken to maintain the effectiveness of internal procedures and controls.</w:t>
      </w:r>
    </w:p>
    <w:p>
      <w:pPr>
        <w:spacing w:after="0" w:line="74"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The Audit Committee recognizes the importance of maintaining the independence of the Company’s independent auditor, both in fact and appearance. Each year, the Committee evaluates the qualifications, performance and independence of the Company’s independent auditor and determines whether to re-engage the current independent auditor. In doing so, the Audit Committee considers the quality and efficiency of the services provided by the auditors, the auditors’ capabilities and the auditors’ technical expertise. In addition, the Committee has discussed with the independent auditor the firm’s independence from Company management and the Company, including the matters in the letter from the firm</w:t>
      </w:r>
    </w:p>
    <w:p>
      <w:pPr>
        <w:spacing w:after="0" w:line="447" w:lineRule="exact"/>
        <w:rPr>
          <w:sz w:val="20"/>
          <w:szCs w:val="20"/>
          <w:color w:val="auto"/>
        </w:rPr>
      </w:pPr>
    </w:p>
    <w:p>
      <w:pPr>
        <w:sectPr>
          <w:pgSz w:w="11900" w:h="16838" w:orient="portrait"/>
          <w:cols w:equalWidth="0" w:num="2">
            <w:col w:w="5400" w:space="440"/>
            <w:col w:w="4300"/>
          </w:cols>
          <w:pgMar w:left="320" w:top="265" w:right="1439" w:bottom="1440" w:gutter="0" w:footer="0" w:header="0"/>
          <w:type w:val="continuous"/>
        </w:sectPr>
      </w:pPr>
    </w:p>
    <w:p>
      <w:pPr>
        <w:spacing w:after="0" w:line="82" w:lineRule="exact"/>
        <w:rPr>
          <w:sz w:val="20"/>
          <w:szCs w:val="20"/>
          <w:color w:val="auto"/>
        </w:rPr>
      </w:pPr>
    </w:p>
    <w:p>
      <w:pPr>
        <w:ind w:left="1160"/>
        <w:spacing w:after="0"/>
        <w:tabs>
          <w:tab w:leader="none" w:pos="9960" w:val="left"/>
        </w:tabs>
        <w:rPr>
          <w:sz w:val="20"/>
          <w:szCs w:val="20"/>
          <w:color w:val="auto"/>
        </w:rPr>
      </w:pPr>
      <w:r>
        <w:rPr>
          <w:rFonts w:ascii="Arial" w:cs="Arial" w:eastAsia="Arial" w:hAnsi="Arial"/>
          <w:sz w:val="16"/>
          <w:szCs w:val="16"/>
          <w:color w:val="auto"/>
        </w:rPr>
        <w:t>2020 Proxy Statement | Corporate Governance</w:t>
      </w:r>
      <w:r>
        <w:rPr>
          <w:sz w:val="20"/>
          <w:szCs w:val="20"/>
          <w:color w:val="auto"/>
        </w:rPr>
        <w:tab/>
      </w: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129540</wp:posOffset>
            </wp:positionV>
            <wp:extent cx="699516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140"/>
          </w:cols>
          <w:pgMar w:left="320" w:top="265" w:right="1439" w:bottom="1440" w:gutter="0" w:footer="0" w:header="0"/>
          <w:type w:val="continuous"/>
        </w:sectPr>
      </w:pPr>
    </w:p>
    <w:bookmarkStart w:id="24" w:name="page25"/>
    <w:bookmarkEnd w:id="24"/>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6515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651510"/>
                    </a:xfrm>
                    <a:prstGeom prst="rect">
                      <a:avLst/>
                    </a:prstGeom>
                    <a:noFill/>
                  </pic:spPr>
                </pic:pic>
              </a:graphicData>
            </a:graphic>
          </wp:anchor>
        </w:drawing>
      </w:r>
    </w:p>
    <w:p>
      <w:pPr>
        <w:sectPr>
          <w:pgSz w:w="11900" w:h="16838" w:orient="portrait"/>
          <w:cols w:equalWidth="0" w:num="1">
            <w:col w:w="10160"/>
          </w:cols>
          <w:pgMar w:left="320" w:top="265"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080" w:right="80"/>
        <w:spacing w:after="0" w:line="259" w:lineRule="auto"/>
        <w:rPr>
          <w:sz w:val="20"/>
          <w:szCs w:val="20"/>
          <w:color w:val="auto"/>
        </w:rPr>
      </w:pPr>
      <w:r>
        <w:rPr>
          <w:rFonts w:ascii="Arial" w:cs="Arial" w:eastAsia="Arial" w:hAnsi="Arial"/>
          <w:sz w:val="18"/>
          <w:szCs w:val="18"/>
          <w:color w:val="auto"/>
        </w:rPr>
        <w:t>required by PCAOB Rule 3526, Communication with Audit Committees Concerning Independence, and considered the compatibility of non-audit services with the independent auditor’s independence.</w:t>
      </w:r>
    </w:p>
    <w:p>
      <w:pPr>
        <w:spacing w:after="0" w:line="79" w:lineRule="exact"/>
        <w:rPr>
          <w:sz w:val="20"/>
          <w:szCs w:val="20"/>
          <w:color w:val="auto"/>
        </w:rPr>
      </w:pPr>
    </w:p>
    <w:p>
      <w:pPr>
        <w:ind w:left="1080"/>
        <w:spacing w:after="0" w:line="291" w:lineRule="auto"/>
        <w:rPr>
          <w:sz w:val="20"/>
          <w:szCs w:val="20"/>
          <w:color w:val="auto"/>
        </w:rPr>
      </w:pPr>
      <w:r>
        <w:rPr>
          <w:rFonts w:ascii="Arial" w:cs="Arial" w:eastAsia="Arial" w:hAnsi="Arial"/>
          <w:sz w:val="16"/>
          <w:szCs w:val="16"/>
          <w:color w:val="auto"/>
        </w:rPr>
        <w:t>The Committee reviewed and discussed together with management and the independent auditor the Company’s audited consolidated financial statements for the year ended December 31, 2019, and the results of management’s assessment of the effectiveness of the Company’s internal control over financial reporting and the independent auditor’s audit of internal control over financial reporting.</w:t>
      </w:r>
    </w:p>
    <w:p>
      <w:pPr>
        <w:spacing w:after="0" w:line="58" w:lineRule="exact"/>
        <w:rPr>
          <w:sz w:val="20"/>
          <w:szCs w:val="20"/>
          <w:color w:val="auto"/>
        </w:rPr>
      </w:pPr>
    </w:p>
    <w:p>
      <w:pPr>
        <w:ind w:left="1080"/>
        <w:spacing w:after="0" w:line="290" w:lineRule="auto"/>
        <w:rPr>
          <w:sz w:val="20"/>
          <w:szCs w:val="20"/>
          <w:color w:val="auto"/>
        </w:rPr>
      </w:pPr>
      <w:r>
        <w:rPr>
          <w:rFonts w:ascii="Arial" w:cs="Arial" w:eastAsia="Arial" w:hAnsi="Arial"/>
          <w:sz w:val="16"/>
          <w:szCs w:val="16"/>
          <w:color w:val="auto"/>
        </w:rPr>
        <w:t>The Committee also reviewed with the independent auditor, which is responsible for expressing an opinion on the conformity of the audited consolidated financial statements and related schedules with US generally accepted accounting principles, its judgments as to the quality, not just the acceptability, of the Company’s accounting principles and such other matters as are required to be discussed with the Committee by the standards of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Public Company Accounting Oversight Board (United States) (PCAOB), including PCAOB Auditing Standard No. 16, Communications With Audit Committees, the rules of the Securities and Exchange Commission, and other applicable regulations.</w:t>
      </w:r>
    </w:p>
    <w:p>
      <w:pPr>
        <w:spacing w:after="0" w:line="68"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 reliance on the reviews and discussions referred to above, the Committee recommended to the Board of Directors, and the Board has approved, that the audited consolidated financial statements and related schedules and management’s assessment of the effectiveness of the Company’s internal control over financial reporting be included in the Annual Report on Form 10-K for the year ended December 31, 2019, filed by the Company with the Securities and Exchange Commission.</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Members of the Audit Committee:</w:t>
      </w:r>
    </w:p>
    <w:p>
      <w:pPr>
        <w:spacing w:after="0" w:line="9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Gregory G. Joseph, Chairman</w:t>
      </w:r>
    </w:p>
    <w:p>
      <w:pPr>
        <w:spacing w:after="0" w:line="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Virginia “Gina” C. Drosos</w:t>
      </w:r>
    </w:p>
    <w:p>
      <w:pPr>
        <w:ind w:left="720"/>
        <w:spacing w:after="0" w:line="234" w:lineRule="auto"/>
        <w:rPr>
          <w:sz w:val="20"/>
          <w:szCs w:val="20"/>
          <w:color w:val="auto"/>
        </w:rPr>
      </w:pPr>
      <w:r>
        <w:rPr>
          <w:rFonts w:ascii="Arial" w:cs="Arial" w:eastAsia="Arial" w:hAnsi="Arial"/>
          <w:sz w:val="18"/>
          <w:szCs w:val="18"/>
          <w:color w:val="auto"/>
        </w:rPr>
        <w:t>Terry S. Jacobs</w:t>
      </w:r>
    </w:p>
    <w:p>
      <w:pPr>
        <w:spacing w:after="0" w:line="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John I. Von Lehman</w:t>
      </w:r>
    </w:p>
    <w:p>
      <w:pPr>
        <w:spacing w:after="0" w:line="101" w:lineRule="exact"/>
        <w:rPr>
          <w:sz w:val="20"/>
          <w:szCs w:val="20"/>
          <w:color w:val="auto"/>
        </w:rPr>
      </w:pPr>
    </w:p>
    <w:p>
      <w:pPr>
        <w:sectPr>
          <w:pgSz w:w="11900" w:h="16838" w:orient="portrait"/>
          <w:cols w:equalWidth="0" w:num="2">
            <w:col w:w="5400" w:space="440"/>
            <w:col w:w="4320"/>
          </w:cols>
          <w:pgMar w:left="320" w:top="265" w:right="1419" w:bottom="1440" w:gutter="0" w:footer="0" w:header="0"/>
          <w:type w:val="continuous"/>
        </w:sectPr>
      </w:pPr>
    </w:p>
    <w:p>
      <w:pPr>
        <w:ind w:left="1080" w:right="220"/>
        <w:spacing w:after="0" w:line="277" w:lineRule="auto"/>
        <w:rPr>
          <w:sz w:val="20"/>
          <w:szCs w:val="20"/>
          <w:color w:val="auto"/>
        </w:rPr>
      </w:pPr>
      <w:r>
        <w:rPr>
          <w:rFonts w:ascii="Arial" w:cs="Arial" w:eastAsia="Arial" w:hAnsi="Arial"/>
          <w:sz w:val="18"/>
          <w:szCs w:val="18"/>
          <w:color w:val="auto"/>
        </w:rPr>
        <w:t>The following table identifies membership and the Chairman of each of the current committees of the Board, as well as the number of times each committee met during 2019.</w:t>
      </w:r>
    </w:p>
    <w:p>
      <w:pPr>
        <w:spacing w:after="0" w:line="151" w:lineRule="exact"/>
        <w:rPr>
          <w:sz w:val="20"/>
          <w:szCs w:val="20"/>
          <w:color w:val="auto"/>
        </w:rPr>
      </w:pPr>
    </w:p>
    <w:tbl>
      <w:tblPr>
        <w:tblLayout w:type="fixed"/>
        <w:tblInd w:w="2170" w:type="dxa"/>
        <w:tblCellMar>
          <w:top w:w="0" w:type="dxa"/>
          <w:left w:w="0" w:type="dxa"/>
          <w:bottom w:w="0" w:type="dxa"/>
          <w:right w:w="0" w:type="dxa"/>
        </w:tblCellMar>
      </w:tblPr>
      <w:tr>
        <w:trPr>
          <w:trHeight w:val="319"/>
        </w:trPr>
        <w:tc>
          <w:tcPr>
            <w:tcW w:w="2340" w:type="dxa"/>
            <w:vAlign w:val="bottom"/>
            <w:tcBorders>
              <w:top w:val="single" w:sz="8" w:color="auto"/>
              <w:left w:val="single" w:sz="8" w:color="auto"/>
              <w:right w:val="single" w:sz="8" w:color="BFBFBF"/>
            </w:tcBorders>
            <w:shd w:val="clear" w:color="auto" w:fill="BFBFBF"/>
          </w:tcPr>
          <w:p>
            <w:pPr>
              <w:spacing w:after="0"/>
              <w:rPr>
                <w:sz w:val="24"/>
                <w:szCs w:val="24"/>
                <w:color w:val="auto"/>
              </w:rPr>
            </w:pPr>
          </w:p>
        </w:tc>
        <w:tc>
          <w:tcPr>
            <w:tcW w:w="1180" w:type="dxa"/>
            <w:vAlign w:val="bottom"/>
            <w:tcBorders>
              <w:top w:val="single" w:sz="8" w:color="auto"/>
              <w:right w:val="single" w:sz="8" w:color="BFBFBF"/>
            </w:tcBorders>
            <w:shd w:val="clear" w:color="auto" w:fill="BFBFBF"/>
          </w:tcPr>
          <w:p>
            <w:pPr>
              <w:jc w:val="center"/>
              <w:spacing w:after="0"/>
              <w:rPr>
                <w:sz w:val="20"/>
                <w:szCs w:val="20"/>
                <w:color w:val="auto"/>
              </w:rPr>
            </w:pPr>
            <w:r>
              <w:rPr>
                <w:rFonts w:ascii="Arial" w:cs="Arial" w:eastAsia="Arial" w:hAnsi="Arial"/>
                <w:sz w:val="18"/>
                <w:szCs w:val="18"/>
                <w:b w:val="1"/>
                <w:bCs w:val="1"/>
                <w:color w:val="auto"/>
                <w:w w:val="90"/>
              </w:rPr>
              <w:t>Lead</w:t>
            </w:r>
          </w:p>
        </w:tc>
        <w:tc>
          <w:tcPr>
            <w:tcW w:w="1060" w:type="dxa"/>
            <w:vAlign w:val="bottom"/>
            <w:tcBorders>
              <w:top w:val="single" w:sz="8" w:color="auto"/>
              <w:right w:val="single" w:sz="8" w:color="BFBFBF"/>
            </w:tcBorders>
            <w:shd w:val="clear" w:color="auto" w:fill="BFBFBF"/>
          </w:tcPr>
          <w:p>
            <w:pPr>
              <w:spacing w:after="0"/>
              <w:rPr>
                <w:sz w:val="24"/>
                <w:szCs w:val="24"/>
                <w:color w:val="auto"/>
              </w:rPr>
            </w:pPr>
          </w:p>
        </w:tc>
        <w:tc>
          <w:tcPr>
            <w:tcW w:w="1300" w:type="dxa"/>
            <w:vAlign w:val="bottom"/>
            <w:tcBorders>
              <w:top w:val="single" w:sz="8" w:color="auto"/>
              <w:right w:val="single" w:sz="8" w:color="BFBFBF"/>
            </w:tcBorders>
            <w:shd w:val="clear" w:color="auto" w:fill="BFBFBF"/>
          </w:tcPr>
          <w:p>
            <w:pPr>
              <w:spacing w:after="0"/>
              <w:rPr>
                <w:sz w:val="24"/>
                <w:szCs w:val="24"/>
                <w:color w:val="auto"/>
              </w:rPr>
            </w:pPr>
          </w:p>
        </w:tc>
        <w:tc>
          <w:tcPr>
            <w:tcW w:w="1040" w:type="dxa"/>
            <w:vAlign w:val="bottom"/>
            <w:tcBorders>
              <w:top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18"/>
                <w:szCs w:val="18"/>
                <w:b w:val="1"/>
                <w:bCs w:val="1"/>
                <w:color w:val="auto"/>
                <w:w w:val="92"/>
              </w:rPr>
              <w:t>Corporate</w:t>
            </w:r>
          </w:p>
        </w:tc>
      </w:tr>
      <w:tr>
        <w:trPr>
          <w:trHeight w:val="216"/>
        </w:trPr>
        <w:tc>
          <w:tcPr>
            <w:tcW w:w="2340" w:type="dxa"/>
            <w:vAlign w:val="bottom"/>
            <w:tcBorders>
              <w:left w:val="single" w:sz="8" w:color="auto"/>
              <w:right w:val="single" w:sz="8" w:color="BFBFBF"/>
            </w:tcBorders>
            <w:shd w:val="clear" w:color="auto" w:fill="BFBFBF"/>
          </w:tcPr>
          <w:p>
            <w:pPr>
              <w:spacing w:after="0"/>
              <w:rPr>
                <w:sz w:val="18"/>
                <w:szCs w:val="18"/>
                <w:color w:val="auto"/>
              </w:rPr>
            </w:pPr>
          </w:p>
        </w:tc>
        <w:tc>
          <w:tcPr>
            <w:tcW w:w="1180" w:type="dxa"/>
            <w:vAlign w:val="bottom"/>
            <w:tcBorders>
              <w:right w:val="single" w:sz="8" w:color="BFBFBF"/>
            </w:tcBorders>
            <w:shd w:val="clear" w:color="auto" w:fill="BFBFBF"/>
          </w:tcPr>
          <w:p>
            <w:pPr>
              <w:jc w:val="center"/>
              <w:spacing w:after="0"/>
              <w:rPr>
                <w:sz w:val="20"/>
                <w:szCs w:val="20"/>
                <w:color w:val="auto"/>
              </w:rPr>
            </w:pPr>
            <w:r>
              <w:rPr>
                <w:rFonts w:ascii="Arial" w:cs="Arial" w:eastAsia="Arial" w:hAnsi="Arial"/>
                <w:sz w:val="18"/>
                <w:szCs w:val="18"/>
                <w:b w:val="1"/>
                <w:bCs w:val="1"/>
                <w:color w:val="auto"/>
                <w:w w:val="91"/>
              </w:rPr>
              <w:t>Independent</w:t>
            </w:r>
          </w:p>
        </w:tc>
        <w:tc>
          <w:tcPr>
            <w:tcW w:w="1060" w:type="dxa"/>
            <w:vAlign w:val="bottom"/>
            <w:tcBorders>
              <w:right w:val="single" w:sz="8" w:color="BFBFBF"/>
            </w:tcBorders>
            <w:shd w:val="clear" w:color="auto" w:fill="BFBFBF"/>
          </w:tcPr>
          <w:p>
            <w:pPr>
              <w:jc w:val="center"/>
              <w:ind w:right="10"/>
              <w:spacing w:after="0"/>
              <w:rPr>
                <w:sz w:val="20"/>
                <w:szCs w:val="20"/>
                <w:color w:val="auto"/>
              </w:rPr>
            </w:pPr>
            <w:r>
              <w:rPr>
                <w:rFonts w:ascii="Arial" w:cs="Arial" w:eastAsia="Arial" w:hAnsi="Arial"/>
                <w:sz w:val="18"/>
                <w:szCs w:val="18"/>
                <w:b w:val="1"/>
                <w:bCs w:val="1"/>
                <w:color w:val="auto"/>
                <w:w w:val="95"/>
              </w:rPr>
              <w:t>Audit</w:t>
            </w:r>
          </w:p>
        </w:tc>
        <w:tc>
          <w:tcPr>
            <w:tcW w:w="1300" w:type="dxa"/>
            <w:vAlign w:val="bottom"/>
            <w:tcBorders>
              <w:right w:val="single" w:sz="8" w:color="BFBFBF"/>
            </w:tcBorders>
            <w:shd w:val="clear" w:color="auto" w:fill="BFBFBF"/>
          </w:tcPr>
          <w:p>
            <w:pPr>
              <w:jc w:val="center"/>
              <w:spacing w:after="0"/>
              <w:rPr>
                <w:sz w:val="20"/>
                <w:szCs w:val="20"/>
                <w:color w:val="auto"/>
              </w:rPr>
            </w:pPr>
            <w:r>
              <w:rPr>
                <w:rFonts w:ascii="Arial" w:cs="Arial" w:eastAsia="Arial" w:hAnsi="Arial"/>
                <w:sz w:val="18"/>
                <w:szCs w:val="18"/>
                <w:b w:val="1"/>
                <w:bCs w:val="1"/>
                <w:color w:val="auto"/>
                <w:w w:val="87"/>
              </w:rPr>
              <w:t>Compensation</w:t>
            </w:r>
          </w:p>
        </w:tc>
        <w:tc>
          <w:tcPr>
            <w:tcW w:w="1040" w:type="dxa"/>
            <w:vAlign w:val="bottom"/>
            <w:tcBorders>
              <w:right w:val="single" w:sz="8" w:color="auto"/>
            </w:tcBorders>
            <w:shd w:val="clear" w:color="auto" w:fill="BFBFBF"/>
          </w:tcPr>
          <w:p>
            <w:pPr>
              <w:jc w:val="center"/>
              <w:spacing w:after="0"/>
              <w:rPr>
                <w:sz w:val="20"/>
                <w:szCs w:val="20"/>
                <w:color w:val="auto"/>
              </w:rPr>
            </w:pPr>
            <w:r>
              <w:rPr>
                <w:rFonts w:ascii="Arial" w:cs="Arial" w:eastAsia="Arial" w:hAnsi="Arial"/>
                <w:sz w:val="18"/>
                <w:szCs w:val="18"/>
                <w:b w:val="1"/>
                <w:bCs w:val="1"/>
                <w:color w:val="auto"/>
                <w:w w:val="90"/>
              </w:rPr>
              <w:t>Governance</w:t>
            </w:r>
          </w:p>
        </w:tc>
      </w:tr>
      <w:tr>
        <w:trPr>
          <w:trHeight w:val="234"/>
        </w:trPr>
        <w:tc>
          <w:tcPr>
            <w:tcW w:w="2340" w:type="dxa"/>
            <w:vAlign w:val="bottom"/>
            <w:tcBorders>
              <w:left w:val="single" w:sz="8" w:color="auto"/>
              <w:right w:val="single" w:sz="8" w:color="BFBFBF"/>
            </w:tcBorders>
            <w:shd w:val="clear" w:color="auto" w:fill="BFBFBF"/>
          </w:tcPr>
          <w:p>
            <w:pPr>
              <w:ind w:left="800"/>
              <w:spacing w:after="0"/>
              <w:rPr>
                <w:sz w:val="20"/>
                <w:szCs w:val="20"/>
                <w:color w:val="auto"/>
              </w:rPr>
            </w:pPr>
            <w:r>
              <w:rPr>
                <w:rFonts w:ascii="Arial" w:cs="Arial" w:eastAsia="Arial" w:hAnsi="Arial"/>
                <w:sz w:val="18"/>
                <w:szCs w:val="18"/>
                <w:b w:val="1"/>
                <w:bCs w:val="1"/>
                <w:color w:val="auto"/>
              </w:rPr>
              <w:t>Director</w:t>
            </w:r>
          </w:p>
        </w:tc>
        <w:tc>
          <w:tcPr>
            <w:tcW w:w="1180" w:type="dxa"/>
            <w:vAlign w:val="bottom"/>
            <w:tcBorders>
              <w:right w:val="single" w:sz="8" w:color="BFBFBF"/>
            </w:tcBorders>
            <w:shd w:val="clear" w:color="auto" w:fill="BFBFBF"/>
          </w:tcPr>
          <w:p>
            <w:pPr>
              <w:jc w:val="center"/>
              <w:spacing w:after="0"/>
              <w:rPr>
                <w:sz w:val="20"/>
                <w:szCs w:val="20"/>
                <w:color w:val="auto"/>
              </w:rPr>
            </w:pPr>
            <w:r>
              <w:rPr>
                <w:rFonts w:ascii="Arial" w:cs="Arial" w:eastAsia="Arial" w:hAnsi="Arial"/>
                <w:sz w:val="18"/>
                <w:szCs w:val="18"/>
                <w:b w:val="1"/>
                <w:bCs w:val="1"/>
                <w:color w:val="auto"/>
                <w:w w:val="95"/>
              </w:rPr>
              <w:t>Director</w:t>
            </w:r>
          </w:p>
        </w:tc>
        <w:tc>
          <w:tcPr>
            <w:tcW w:w="1060" w:type="dxa"/>
            <w:vAlign w:val="bottom"/>
            <w:tcBorders>
              <w:right w:val="single" w:sz="8" w:color="BFBFBF"/>
            </w:tcBorders>
            <w:shd w:val="clear" w:color="auto" w:fill="BFBFBF"/>
          </w:tcPr>
          <w:p>
            <w:pPr>
              <w:jc w:val="center"/>
              <w:spacing w:after="0"/>
              <w:rPr>
                <w:sz w:val="20"/>
                <w:szCs w:val="20"/>
                <w:color w:val="auto"/>
              </w:rPr>
            </w:pPr>
            <w:r>
              <w:rPr>
                <w:rFonts w:ascii="Arial" w:cs="Arial" w:eastAsia="Arial" w:hAnsi="Arial"/>
                <w:sz w:val="18"/>
                <w:szCs w:val="18"/>
                <w:b w:val="1"/>
                <w:bCs w:val="1"/>
                <w:color w:val="auto"/>
                <w:w w:val="90"/>
              </w:rPr>
              <w:t>Committee</w:t>
            </w:r>
          </w:p>
        </w:tc>
        <w:tc>
          <w:tcPr>
            <w:tcW w:w="1300" w:type="dxa"/>
            <w:vAlign w:val="bottom"/>
            <w:tcBorders>
              <w:right w:val="single" w:sz="8" w:color="BFBFBF"/>
            </w:tcBorders>
            <w:shd w:val="clear" w:color="auto" w:fill="BFBFBF"/>
          </w:tcPr>
          <w:p>
            <w:pPr>
              <w:jc w:val="center"/>
              <w:spacing w:after="0"/>
              <w:rPr>
                <w:sz w:val="20"/>
                <w:szCs w:val="20"/>
                <w:color w:val="auto"/>
              </w:rPr>
            </w:pPr>
            <w:r>
              <w:rPr>
                <w:rFonts w:ascii="Arial" w:cs="Arial" w:eastAsia="Arial" w:hAnsi="Arial"/>
                <w:sz w:val="18"/>
                <w:szCs w:val="18"/>
                <w:b w:val="1"/>
                <w:bCs w:val="1"/>
                <w:color w:val="auto"/>
                <w:w w:val="92"/>
              </w:rPr>
              <w:t>Committee</w:t>
            </w:r>
          </w:p>
        </w:tc>
        <w:tc>
          <w:tcPr>
            <w:tcW w:w="1040" w:type="dxa"/>
            <w:vAlign w:val="bottom"/>
            <w:tcBorders>
              <w:right w:val="single" w:sz="8" w:color="auto"/>
            </w:tcBorders>
            <w:shd w:val="clear" w:color="auto" w:fill="BFBFBF"/>
          </w:tcPr>
          <w:p>
            <w:pPr>
              <w:jc w:val="center"/>
              <w:spacing w:after="0"/>
              <w:rPr>
                <w:sz w:val="20"/>
                <w:szCs w:val="20"/>
                <w:color w:val="auto"/>
              </w:rPr>
            </w:pPr>
            <w:r>
              <w:rPr>
                <w:rFonts w:ascii="Arial" w:cs="Arial" w:eastAsia="Arial" w:hAnsi="Arial"/>
                <w:sz w:val="18"/>
                <w:szCs w:val="18"/>
                <w:b w:val="1"/>
                <w:bCs w:val="1"/>
                <w:color w:val="auto"/>
                <w:w w:val="92"/>
              </w:rPr>
              <w:t>Committee</w:t>
            </w:r>
          </w:p>
        </w:tc>
      </w:tr>
      <w:tr>
        <w:trPr>
          <w:trHeight w:val="68"/>
        </w:trPr>
        <w:tc>
          <w:tcPr>
            <w:tcW w:w="2340" w:type="dxa"/>
            <w:vAlign w:val="bottom"/>
            <w:tcBorders>
              <w:left w:val="single" w:sz="8" w:color="auto"/>
              <w:bottom w:val="single" w:sz="8" w:color="auto"/>
              <w:right w:val="single" w:sz="8" w:color="BFBFBF"/>
            </w:tcBorders>
            <w:shd w:val="clear" w:color="auto" w:fill="BFBFBF"/>
          </w:tcPr>
          <w:p>
            <w:pPr>
              <w:spacing w:after="0"/>
              <w:rPr>
                <w:sz w:val="5"/>
                <w:szCs w:val="5"/>
                <w:color w:val="auto"/>
              </w:rPr>
            </w:pPr>
          </w:p>
        </w:tc>
        <w:tc>
          <w:tcPr>
            <w:tcW w:w="1180" w:type="dxa"/>
            <w:vAlign w:val="bottom"/>
            <w:tcBorders>
              <w:bottom w:val="single" w:sz="8" w:color="auto"/>
              <w:right w:val="single" w:sz="8" w:color="BFBFBF"/>
            </w:tcBorders>
            <w:shd w:val="clear" w:color="auto" w:fill="BFBFBF"/>
          </w:tcPr>
          <w:p>
            <w:pPr>
              <w:spacing w:after="0"/>
              <w:rPr>
                <w:sz w:val="5"/>
                <w:szCs w:val="5"/>
                <w:color w:val="auto"/>
              </w:rPr>
            </w:pPr>
          </w:p>
        </w:tc>
        <w:tc>
          <w:tcPr>
            <w:tcW w:w="1060" w:type="dxa"/>
            <w:vAlign w:val="bottom"/>
            <w:tcBorders>
              <w:bottom w:val="single" w:sz="8" w:color="auto"/>
              <w:right w:val="single" w:sz="8" w:color="BFBFBF"/>
            </w:tcBorders>
            <w:shd w:val="clear" w:color="auto" w:fill="BFBFBF"/>
          </w:tcPr>
          <w:p>
            <w:pPr>
              <w:spacing w:after="0"/>
              <w:rPr>
                <w:sz w:val="5"/>
                <w:szCs w:val="5"/>
                <w:color w:val="auto"/>
              </w:rPr>
            </w:pPr>
          </w:p>
        </w:tc>
        <w:tc>
          <w:tcPr>
            <w:tcW w:w="1300" w:type="dxa"/>
            <w:vAlign w:val="bottom"/>
            <w:tcBorders>
              <w:bottom w:val="single" w:sz="8" w:color="auto"/>
              <w:right w:val="single" w:sz="8" w:color="BFBFBF"/>
            </w:tcBorders>
            <w:shd w:val="clear" w:color="auto" w:fill="BFBFBF"/>
          </w:tcPr>
          <w:p>
            <w:pPr>
              <w:spacing w:after="0"/>
              <w:rPr>
                <w:sz w:val="5"/>
                <w:szCs w:val="5"/>
                <w:color w:val="auto"/>
              </w:rPr>
            </w:pPr>
          </w:p>
        </w:tc>
        <w:tc>
          <w:tcPr>
            <w:tcW w:w="1040" w:type="dxa"/>
            <w:vAlign w:val="bottom"/>
            <w:tcBorders>
              <w:bottom w:val="single" w:sz="8" w:color="auto"/>
              <w:right w:val="single" w:sz="8" w:color="auto"/>
            </w:tcBorders>
            <w:shd w:val="clear" w:color="auto" w:fill="BFBFBF"/>
          </w:tcPr>
          <w:p>
            <w:pPr>
              <w:spacing w:after="0"/>
              <w:rPr>
                <w:sz w:val="5"/>
                <w:szCs w:val="5"/>
                <w:color w:val="auto"/>
              </w:rPr>
            </w:pPr>
          </w:p>
        </w:tc>
      </w:tr>
      <w:tr>
        <w:trPr>
          <w:trHeight w:val="277"/>
        </w:trPr>
        <w:tc>
          <w:tcPr>
            <w:tcW w:w="23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Kenneth C. Ambrecht</w:t>
            </w:r>
          </w:p>
        </w:tc>
        <w:tc>
          <w:tcPr>
            <w:tcW w:w="1180" w:type="dxa"/>
            <w:vAlign w:val="bottom"/>
            <w:tcBorders>
              <w:right w:val="single" w:sz="8" w:color="auto"/>
            </w:tcBorders>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Member</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Member</w:t>
            </w:r>
          </w:p>
        </w:tc>
      </w:tr>
      <w:tr>
        <w:trPr>
          <w:trHeight w:val="68"/>
        </w:trPr>
        <w:tc>
          <w:tcPr>
            <w:tcW w:w="2340" w:type="dxa"/>
            <w:vAlign w:val="bottom"/>
            <w:tcBorders>
              <w:left w:val="single" w:sz="8" w:color="auto"/>
              <w:bottom w:val="single" w:sz="8" w:color="auto"/>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106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r>
      <w:tr>
        <w:trPr>
          <w:trHeight w:val="277"/>
        </w:trPr>
        <w:tc>
          <w:tcPr>
            <w:tcW w:w="23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Virginia “Gina” C. Drosos</w:t>
            </w:r>
          </w:p>
        </w:tc>
        <w:tc>
          <w:tcPr>
            <w:tcW w:w="1180" w:type="dxa"/>
            <w:vAlign w:val="bottom"/>
            <w:tcBorders>
              <w:right w:val="single" w:sz="8" w:color="auto"/>
            </w:tcBorders>
          </w:tcPr>
          <w:p>
            <w:pPr>
              <w:spacing w:after="0"/>
              <w:rPr>
                <w:sz w:val="24"/>
                <w:szCs w:val="24"/>
                <w:color w:val="auto"/>
              </w:rPr>
            </w:pP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Member</w:t>
            </w:r>
          </w:p>
        </w:tc>
        <w:tc>
          <w:tcPr>
            <w:tcW w:w="1300" w:type="dxa"/>
            <w:vAlign w:val="bottom"/>
            <w:tcBorders>
              <w:right w:val="single" w:sz="8" w:color="auto"/>
            </w:tcBorders>
          </w:tcPr>
          <w:p>
            <w:pPr>
              <w:spacing w:after="0"/>
              <w:rPr>
                <w:sz w:val="24"/>
                <w:szCs w:val="24"/>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Member</w:t>
            </w:r>
          </w:p>
        </w:tc>
      </w:tr>
      <w:tr>
        <w:trPr>
          <w:trHeight w:val="68"/>
        </w:trPr>
        <w:tc>
          <w:tcPr>
            <w:tcW w:w="2340" w:type="dxa"/>
            <w:vAlign w:val="bottom"/>
            <w:tcBorders>
              <w:left w:val="single" w:sz="8" w:color="auto"/>
              <w:bottom w:val="single" w:sz="8" w:color="auto"/>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106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r>
      <w:tr>
        <w:trPr>
          <w:trHeight w:val="277"/>
        </w:trPr>
        <w:tc>
          <w:tcPr>
            <w:tcW w:w="23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Terry S. Jacobs</w:t>
            </w:r>
          </w:p>
        </w:tc>
        <w:tc>
          <w:tcPr>
            <w:tcW w:w="1180" w:type="dxa"/>
            <w:vAlign w:val="bottom"/>
            <w:tcBorders>
              <w:right w:val="single" w:sz="8" w:color="auto"/>
            </w:tcBorders>
          </w:tcPr>
          <w:p>
            <w:pPr>
              <w:spacing w:after="0"/>
              <w:rPr>
                <w:sz w:val="24"/>
                <w:szCs w:val="24"/>
                <w:color w:val="auto"/>
              </w:rPr>
            </w:pP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Member</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Chair</w:t>
            </w:r>
          </w:p>
        </w:tc>
        <w:tc>
          <w:tcPr>
            <w:tcW w:w="1040" w:type="dxa"/>
            <w:vAlign w:val="bottom"/>
            <w:tcBorders>
              <w:right w:val="single" w:sz="8" w:color="auto"/>
            </w:tcBorders>
          </w:tcPr>
          <w:p>
            <w:pPr>
              <w:spacing w:after="0"/>
              <w:rPr>
                <w:sz w:val="24"/>
                <w:szCs w:val="24"/>
                <w:color w:val="auto"/>
              </w:rPr>
            </w:pPr>
          </w:p>
        </w:tc>
      </w:tr>
      <w:tr>
        <w:trPr>
          <w:trHeight w:val="67"/>
        </w:trPr>
        <w:tc>
          <w:tcPr>
            <w:tcW w:w="2340" w:type="dxa"/>
            <w:vAlign w:val="bottom"/>
            <w:tcBorders>
              <w:left w:val="single" w:sz="8" w:color="auto"/>
              <w:bottom w:val="single" w:sz="8" w:color="auto"/>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106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r>
      <w:tr>
        <w:trPr>
          <w:trHeight w:val="277"/>
        </w:trPr>
        <w:tc>
          <w:tcPr>
            <w:tcW w:w="23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Gregory G. Joseph</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X</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Chair</w:t>
            </w:r>
          </w:p>
        </w:tc>
        <w:tc>
          <w:tcPr>
            <w:tcW w:w="1300" w:type="dxa"/>
            <w:vAlign w:val="bottom"/>
            <w:tcBorders>
              <w:right w:val="single" w:sz="8" w:color="auto"/>
            </w:tcBorders>
          </w:tcPr>
          <w:p>
            <w:pPr>
              <w:spacing w:after="0"/>
              <w:rPr>
                <w:sz w:val="24"/>
                <w:szCs w:val="24"/>
                <w:color w:val="auto"/>
              </w:rPr>
            </w:pPr>
          </w:p>
        </w:tc>
        <w:tc>
          <w:tcPr>
            <w:tcW w:w="1040" w:type="dxa"/>
            <w:vAlign w:val="bottom"/>
            <w:tcBorders>
              <w:right w:val="single" w:sz="8" w:color="auto"/>
            </w:tcBorders>
          </w:tcPr>
          <w:p>
            <w:pPr>
              <w:spacing w:after="0"/>
              <w:rPr>
                <w:sz w:val="24"/>
                <w:szCs w:val="24"/>
                <w:color w:val="auto"/>
              </w:rPr>
            </w:pPr>
          </w:p>
        </w:tc>
      </w:tr>
      <w:tr>
        <w:trPr>
          <w:trHeight w:val="68"/>
        </w:trPr>
        <w:tc>
          <w:tcPr>
            <w:tcW w:w="2340" w:type="dxa"/>
            <w:vAlign w:val="bottom"/>
            <w:tcBorders>
              <w:left w:val="single" w:sz="8" w:color="auto"/>
              <w:bottom w:val="single" w:sz="8" w:color="auto"/>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106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r>
      <w:tr>
        <w:trPr>
          <w:trHeight w:val="277"/>
        </w:trPr>
        <w:tc>
          <w:tcPr>
            <w:tcW w:w="23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Mary Beth Martin</w:t>
            </w:r>
          </w:p>
        </w:tc>
        <w:tc>
          <w:tcPr>
            <w:tcW w:w="1180" w:type="dxa"/>
            <w:vAlign w:val="bottom"/>
            <w:tcBorders>
              <w:right w:val="single" w:sz="8" w:color="auto"/>
            </w:tcBorders>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Member</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Member</w:t>
            </w:r>
          </w:p>
        </w:tc>
      </w:tr>
      <w:tr>
        <w:trPr>
          <w:trHeight w:val="68"/>
        </w:trPr>
        <w:tc>
          <w:tcPr>
            <w:tcW w:w="2340" w:type="dxa"/>
            <w:vAlign w:val="bottom"/>
            <w:tcBorders>
              <w:left w:val="single" w:sz="8" w:color="auto"/>
              <w:bottom w:val="single" w:sz="8" w:color="auto"/>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106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r>
      <w:tr>
        <w:trPr>
          <w:trHeight w:val="277"/>
        </w:trPr>
        <w:tc>
          <w:tcPr>
            <w:tcW w:w="23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William W. Verity</w:t>
            </w:r>
          </w:p>
        </w:tc>
        <w:tc>
          <w:tcPr>
            <w:tcW w:w="1180" w:type="dxa"/>
            <w:vAlign w:val="bottom"/>
            <w:tcBorders>
              <w:right w:val="single" w:sz="8" w:color="auto"/>
            </w:tcBorders>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Member</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Chair</w:t>
            </w:r>
          </w:p>
        </w:tc>
      </w:tr>
      <w:tr>
        <w:trPr>
          <w:trHeight w:val="67"/>
        </w:trPr>
        <w:tc>
          <w:tcPr>
            <w:tcW w:w="2340" w:type="dxa"/>
            <w:vAlign w:val="bottom"/>
            <w:tcBorders>
              <w:left w:val="single" w:sz="8" w:color="auto"/>
              <w:bottom w:val="single" w:sz="8" w:color="auto"/>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106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r>
      <w:tr>
        <w:trPr>
          <w:trHeight w:val="277"/>
        </w:trPr>
        <w:tc>
          <w:tcPr>
            <w:tcW w:w="23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John I. Von Lehman</w:t>
            </w:r>
          </w:p>
        </w:tc>
        <w:tc>
          <w:tcPr>
            <w:tcW w:w="1180" w:type="dxa"/>
            <w:vAlign w:val="bottom"/>
            <w:tcBorders>
              <w:right w:val="single" w:sz="8" w:color="auto"/>
            </w:tcBorders>
          </w:tcPr>
          <w:p>
            <w:pPr>
              <w:spacing w:after="0"/>
              <w:rPr>
                <w:sz w:val="24"/>
                <w:szCs w:val="24"/>
                <w:color w:val="auto"/>
              </w:rPr>
            </w:pP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Member</w:t>
            </w:r>
          </w:p>
        </w:tc>
        <w:tc>
          <w:tcPr>
            <w:tcW w:w="1300" w:type="dxa"/>
            <w:vAlign w:val="bottom"/>
            <w:tcBorders>
              <w:right w:val="single" w:sz="8" w:color="auto"/>
            </w:tcBorders>
          </w:tcPr>
          <w:p>
            <w:pPr>
              <w:spacing w:after="0"/>
              <w:rPr>
                <w:sz w:val="24"/>
                <w:szCs w:val="24"/>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Member</w:t>
            </w:r>
          </w:p>
        </w:tc>
      </w:tr>
      <w:tr>
        <w:trPr>
          <w:trHeight w:val="67"/>
        </w:trPr>
        <w:tc>
          <w:tcPr>
            <w:tcW w:w="2340" w:type="dxa"/>
            <w:vAlign w:val="bottom"/>
            <w:tcBorders>
              <w:left w:val="single" w:sz="8" w:color="auto"/>
              <w:bottom w:val="single" w:sz="8" w:color="auto"/>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106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r>
      <w:tr>
        <w:trPr>
          <w:trHeight w:val="277"/>
        </w:trPr>
        <w:tc>
          <w:tcPr>
            <w:tcW w:w="2340" w:type="dxa"/>
            <w:vAlign w:val="bottom"/>
            <w:tcBorders>
              <w:left w:val="single" w:sz="8" w:color="auto"/>
              <w:bottom w:val="single" w:sz="8" w:color="auto"/>
              <w:right w:val="single" w:sz="8" w:color="auto"/>
            </w:tcBorders>
          </w:tcPr>
          <w:p>
            <w:pPr>
              <w:ind w:left="240"/>
              <w:spacing w:after="0"/>
              <w:rPr>
                <w:sz w:val="20"/>
                <w:szCs w:val="20"/>
                <w:color w:val="auto"/>
              </w:rPr>
            </w:pPr>
            <w:r>
              <w:rPr>
                <w:rFonts w:ascii="Arial" w:cs="Arial" w:eastAsia="Arial" w:hAnsi="Arial"/>
                <w:sz w:val="18"/>
                <w:szCs w:val="18"/>
                <w:b w:val="1"/>
                <w:bCs w:val="1"/>
                <w:color w:val="auto"/>
              </w:rPr>
              <w:t>Meetings in 2019</w:t>
            </w:r>
          </w:p>
        </w:tc>
        <w:tc>
          <w:tcPr>
            <w:tcW w:w="118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7</w:t>
            </w: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4</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6</w:t>
            </w:r>
          </w:p>
        </w:tc>
      </w:tr>
    </w:tbl>
    <w:p>
      <w:pPr>
        <w:spacing w:after="0" w:line="103" w:lineRule="exact"/>
        <w:rPr>
          <w:sz w:val="20"/>
          <w:szCs w:val="20"/>
          <w:color w:val="auto"/>
        </w:rPr>
      </w:pPr>
    </w:p>
    <w:p>
      <w:pPr>
        <w:sectPr>
          <w:pgSz w:w="11900" w:h="16838" w:orient="portrait"/>
          <w:cols w:equalWidth="0" w:num="1">
            <w:col w:w="10160"/>
          </w:cols>
          <w:pgMar w:left="320" w:top="265" w:right="1419" w:bottom="1440" w:gutter="0" w:footer="0" w:header="0"/>
          <w:type w:val="continuous"/>
        </w:sectPr>
      </w:pPr>
    </w:p>
    <w:p>
      <w:pPr>
        <w:ind w:left="1080"/>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left="1080"/>
        <w:spacing w:after="0" w:line="286" w:lineRule="auto"/>
        <w:rPr>
          <w:sz w:val="20"/>
          <w:szCs w:val="20"/>
          <w:color w:val="auto"/>
        </w:rPr>
      </w:pPr>
      <w:r>
        <w:rPr>
          <w:rFonts w:ascii="Arial" w:cs="Arial" w:eastAsia="Arial" w:hAnsi="Arial"/>
          <w:sz w:val="16"/>
          <w:szCs w:val="16"/>
          <w:color w:val="auto"/>
        </w:rPr>
        <w:t>In accordance with NYSE rules, the Board affirmatively determines the independence of each director and nominee for election as a director in accordance with guidelines it has adopted, which guidelines comply with the listing standards set forth by the NYSE. For a director to be considered independent, the Board must determine affirmatively that a director does not have any material relationship with the Company directly or as a partner, shareholder or officer of an organization that has a relationship with the Company. A material relationship can include, but is not limited to, commercial, industrial, banking, consulting, legal, accounting, charitable and family relationships. Based on these standards, the Board determined for 2019 that each of the following non-employee directors, namely Ms. Drosos, Ms. Martin and</w:t>
      </w:r>
    </w:p>
    <w:p>
      <w:pPr>
        <w:spacing w:after="0" w:line="20" w:lineRule="exact"/>
        <w:rPr>
          <w:sz w:val="20"/>
          <w:szCs w:val="20"/>
          <w:color w:val="auto"/>
        </w:rPr>
      </w:pPr>
      <w:r>
        <w:rPr>
          <w:sz w:val="20"/>
          <w:szCs w:val="20"/>
          <w:color w:val="auto"/>
        </w:rPr>
        <w:br w:type="column"/>
      </w:r>
    </w:p>
    <w:p>
      <w:pPr>
        <w:spacing w:after="0" w:line="259" w:lineRule="auto"/>
        <w:rPr>
          <w:sz w:val="20"/>
          <w:szCs w:val="20"/>
          <w:color w:val="auto"/>
        </w:rPr>
      </w:pPr>
      <w:r>
        <w:rPr>
          <w:rFonts w:ascii="Arial" w:cs="Arial" w:eastAsia="Arial" w:hAnsi="Arial"/>
          <w:sz w:val="18"/>
          <w:szCs w:val="18"/>
          <w:color w:val="auto"/>
        </w:rPr>
        <w:t>Messrs. Ambrecht, Jacobs, Joseph, Verity and Von Lehman, is independent and has no material relationship with the Company, except as a director and shareholder of the Company.</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In reaching its independence determinations for 2019,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Committee considered that the Company purchased</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vehicles from, and had vehicles serviced by, automobile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dealerships affiliated with a company of which Mr. Joseph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is an executive and part owner. The small amounts involved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 these transactions, which were approved by the Audit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Committee as transactions with a related party despite not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requiring disclosure pursuant to SEC Regulation S-K</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Item 404, were deemed by AFG’s Board of Directors not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be material. See our policies regarding transactions with</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related parties as set forth below under, “—Review,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Approval or Ratification of Transactions with Related</w:t>
      </w:r>
    </w:p>
    <w:p>
      <w:pPr>
        <w:spacing w:after="0" w:line="9"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Persons” on page </w:t>
      </w:r>
      <w:hyperlink w:anchor="page28">
        <w:r>
          <w:rPr>
            <w:rFonts w:ascii="Arial" w:cs="Arial" w:eastAsia="Arial" w:hAnsi="Arial"/>
            <w:sz w:val="18"/>
            <w:szCs w:val="18"/>
            <w:u w:val="single" w:color="auto"/>
            <w:color w:val="0000EE"/>
          </w:rPr>
          <w:t>21</w:t>
        </w:r>
      </w:hyperlink>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5340" w:space="500"/>
            <w:col w:w="4320"/>
          </w:cols>
          <w:pgMar w:left="320" w:top="265" w:right="1419" w:bottom="1440" w:gutter="0" w:footer="0" w:header="0"/>
          <w:type w:val="continuous"/>
        </w:sectPr>
      </w:pPr>
    </w:p>
    <w:p>
      <w:pPr>
        <w:spacing w:after="0" w:line="123" w:lineRule="exact"/>
        <w:rPr>
          <w:sz w:val="20"/>
          <w:szCs w:val="20"/>
          <w:color w:val="auto"/>
        </w:rPr>
      </w:pPr>
    </w:p>
    <w:p>
      <w:pPr>
        <w:ind w:left="1160"/>
        <w:spacing w:after="0"/>
        <w:tabs>
          <w:tab w:leader="none" w:pos="9960" w:val="left"/>
        </w:tabs>
        <w:rPr>
          <w:sz w:val="20"/>
          <w:szCs w:val="20"/>
          <w:color w:val="auto"/>
        </w:rPr>
      </w:pPr>
      <w:r>
        <w:rPr>
          <w:rFonts w:ascii="Arial" w:cs="Arial" w:eastAsia="Arial" w:hAnsi="Arial"/>
          <w:sz w:val="16"/>
          <w:szCs w:val="16"/>
          <w:color w:val="auto"/>
        </w:rPr>
        <w:t>2020 Proxy Statement | Corporate Governance</w:t>
      </w:r>
      <w:r>
        <w:rPr>
          <w:sz w:val="20"/>
          <w:szCs w:val="20"/>
          <w:color w:val="auto"/>
        </w:rPr>
        <w:tab/>
      </w: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137795</wp:posOffset>
            </wp:positionV>
            <wp:extent cx="699516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160"/>
          </w:cols>
          <w:pgMar w:left="320" w:top="265" w:right="1419" w:bottom="1440" w:gutter="0" w:footer="0" w:header="0"/>
          <w:type w:val="continuous"/>
        </w:sectPr>
      </w:pPr>
    </w:p>
    <w:bookmarkStart w:id="25" w:name="page26"/>
    <w:bookmarkEnd w:id="25"/>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6515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651510"/>
                    </a:xfrm>
                    <a:prstGeom prst="rect">
                      <a:avLst/>
                    </a:prstGeom>
                    <a:noFill/>
                  </pic:spPr>
                </pic:pic>
              </a:graphicData>
            </a:graphic>
          </wp:anchor>
        </w:drawing>
      </w:r>
    </w:p>
    <w:p>
      <w:pPr>
        <w:sectPr>
          <w:pgSz w:w="11900" w:h="16838" w:orient="portrait"/>
          <w:cols w:equalWidth="0" w:num="1">
            <w:col w:w="10140"/>
          </w:cols>
          <w:pgMar w:left="320" w:top="265" w:right="1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080"/>
        <w:spacing w:after="0"/>
        <w:rPr>
          <w:sz w:val="20"/>
          <w:szCs w:val="20"/>
          <w:color w:val="auto"/>
        </w:rPr>
      </w:pPr>
      <w:r>
        <w:rPr>
          <w:rFonts w:ascii="Arial" w:cs="Arial" w:eastAsia="Arial" w:hAnsi="Arial"/>
          <w:sz w:val="20"/>
          <w:szCs w:val="20"/>
          <w:b w:val="1"/>
          <w:bCs w:val="1"/>
          <w:color w:val="3F3F3F"/>
        </w:rPr>
        <w:t>Leadership Structure</w:t>
      </w:r>
    </w:p>
    <w:p>
      <w:pPr>
        <w:spacing w:after="0" w:line="139"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Management</w:t>
      </w:r>
    </w:p>
    <w:p>
      <w:pPr>
        <w:spacing w:after="0" w:line="121" w:lineRule="exact"/>
        <w:rPr>
          <w:sz w:val="20"/>
          <w:szCs w:val="20"/>
          <w:color w:val="auto"/>
        </w:rPr>
      </w:pPr>
    </w:p>
    <w:p>
      <w:pPr>
        <w:ind w:left="1080" w:right="20"/>
        <w:spacing w:after="0" w:line="301" w:lineRule="auto"/>
        <w:rPr>
          <w:sz w:val="20"/>
          <w:szCs w:val="20"/>
          <w:color w:val="auto"/>
        </w:rPr>
      </w:pPr>
      <w:r>
        <w:rPr>
          <w:rFonts w:ascii="Arial" w:cs="Arial" w:eastAsia="Arial" w:hAnsi="Arial"/>
          <w:sz w:val="16"/>
          <w:szCs w:val="16"/>
          <w:color w:val="auto"/>
        </w:rPr>
        <w:t>The Company has two principal executive officers, Carl H. Lindner III and S. Craig Lindner. Each has been designated as a Co-Chief Executive Officer and Co-President of the Company, and each also serves on the Board of Directors.</w:t>
      </w:r>
    </w:p>
    <w:p>
      <w:pPr>
        <w:spacing w:after="0" w:line="49" w:lineRule="exact"/>
        <w:rPr>
          <w:sz w:val="20"/>
          <w:szCs w:val="20"/>
          <w:color w:val="auto"/>
        </w:rPr>
      </w:pPr>
    </w:p>
    <w:p>
      <w:pPr>
        <w:ind w:left="1080" w:right="60"/>
        <w:spacing w:after="0" w:line="287" w:lineRule="auto"/>
        <w:rPr>
          <w:sz w:val="20"/>
          <w:szCs w:val="20"/>
          <w:color w:val="auto"/>
        </w:rPr>
      </w:pPr>
      <w:r>
        <w:rPr>
          <w:rFonts w:ascii="Arial" w:cs="Arial" w:eastAsia="Arial" w:hAnsi="Arial"/>
          <w:sz w:val="16"/>
          <w:szCs w:val="16"/>
          <w:color w:val="auto"/>
        </w:rPr>
        <w:t>The Board recognizes that having two principal executive officers is not customary for public companies, including the Company’s peers, but the Board has determined for the reasons set forth below, that the executive leadership structure is both appropriate for the Company and optimal for achieving corporate objectives. The Company does not have a separate, non-principal executive officer, president or chief operating officer, and the Company also does not have numerous additional senior officer designations seen at other public companies. The Board has noted that these positions are not needed at the Company because the Co-CEOs have assumed responsibility for these roles.</w:t>
      </w:r>
    </w:p>
    <w:p>
      <w:pPr>
        <w:spacing w:after="0" w:line="60" w:lineRule="exact"/>
        <w:rPr>
          <w:sz w:val="20"/>
          <w:szCs w:val="20"/>
          <w:color w:val="auto"/>
        </w:rPr>
      </w:pPr>
    </w:p>
    <w:p>
      <w:pPr>
        <w:ind w:left="1080" w:right="60"/>
        <w:spacing w:after="0" w:line="272" w:lineRule="auto"/>
        <w:rPr>
          <w:sz w:val="20"/>
          <w:szCs w:val="20"/>
          <w:color w:val="auto"/>
        </w:rPr>
      </w:pPr>
      <w:r>
        <w:rPr>
          <w:rFonts w:ascii="Arial" w:cs="Arial" w:eastAsia="Arial" w:hAnsi="Arial"/>
          <w:sz w:val="17"/>
          <w:szCs w:val="17"/>
          <w:color w:val="auto"/>
        </w:rPr>
        <w:t>Carl H. Lindner III also serves as CEO of AFG’s Property and Casualty Insurance Group and is primarily responsible for AFG’s property and casualty insurance operations and investor relations. S. Craig Lindner also serves as Chief Executive Officer of Great American Financial Resources, Inc. and is primarily responsible for AFG’s annuity operations and investment portfolio.</w:t>
      </w:r>
    </w:p>
    <w:p>
      <w:pPr>
        <w:spacing w:after="0" w:line="69" w:lineRule="exact"/>
        <w:rPr>
          <w:sz w:val="20"/>
          <w:szCs w:val="20"/>
          <w:color w:val="auto"/>
        </w:rPr>
      </w:pPr>
    </w:p>
    <w:p>
      <w:pPr>
        <w:ind w:left="1080" w:right="100"/>
        <w:spacing w:after="0" w:line="288" w:lineRule="auto"/>
        <w:rPr>
          <w:sz w:val="20"/>
          <w:szCs w:val="20"/>
          <w:color w:val="auto"/>
        </w:rPr>
      </w:pPr>
      <w:r>
        <w:rPr>
          <w:rFonts w:ascii="Arial" w:cs="Arial" w:eastAsia="Arial" w:hAnsi="Arial"/>
          <w:sz w:val="16"/>
          <w:szCs w:val="16"/>
          <w:color w:val="auto"/>
        </w:rPr>
        <w:t>Each Co-CEO functions within a clearly defined role with respect to the day-to-day operations of the Company, and both Co-CEOs work closely with one another and are significantly involved in all aspects of Company management. The Co-CEOs work together with regard to overall corporate strategy and planning, as well as in assessing and managing enterprise risks. Because of their close working relationship, either Co-CEO could assume the additional responsibilities of the other for some period of time in the event such a need arose.</w:t>
      </w:r>
    </w:p>
    <w:p>
      <w:pPr>
        <w:spacing w:after="0" w:line="60" w:lineRule="exact"/>
        <w:rPr>
          <w:sz w:val="20"/>
          <w:szCs w:val="20"/>
          <w:color w:val="auto"/>
        </w:rPr>
      </w:pPr>
    </w:p>
    <w:p>
      <w:pPr>
        <w:ind w:left="1080"/>
        <w:spacing w:after="0" w:line="271" w:lineRule="auto"/>
        <w:rPr>
          <w:sz w:val="20"/>
          <w:szCs w:val="20"/>
          <w:color w:val="auto"/>
        </w:rPr>
      </w:pPr>
      <w:r>
        <w:rPr>
          <w:rFonts w:ascii="Arial" w:cs="Arial" w:eastAsia="Arial" w:hAnsi="Arial"/>
          <w:sz w:val="17"/>
          <w:szCs w:val="17"/>
          <w:color w:val="auto"/>
        </w:rPr>
        <w:t>The Board of Directors believes that the Company’s leadership structure aids in succession planning and provides the Company with significant executive depth and leadership experience. The Board has determined that the Company’s leadership structure is currently the most appropriate for the Company. To the extent it deems necessary, the Board reviews the leadership structure of the Company from time to time.</w:t>
      </w:r>
    </w:p>
    <w:p>
      <w:pPr>
        <w:spacing w:after="0" w:line="215"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Board of Directors</w:t>
      </w:r>
    </w:p>
    <w:p>
      <w:pPr>
        <w:spacing w:after="0" w:line="121" w:lineRule="exact"/>
        <w:rPr>
          <w:sz w:val="20"/>
          <w:szCs w:val="20"/>
          <w:color w:val="auto"/>
        </w:rPr>
      </w:pPr>
    </w:p>
    <w:p>
      <w:pPr>
        <w:ind w:left="1080" w:right="40"/>
        <w:spacing w:after="0" w:line="290" w:lineRule="auto"/>
        <w:rPr>
          <w:sz w:val="20"/>
          <w:szCs w:val="20"/>
          <w:color w:val="auto"/>
        </w:rPr>
      </w:pPr>
      <w:r>
        <w:rPr>
          <w:rFonts w:ascii="Arial" w:cs="Arial" w:eastAsia="Arial" w:hAnsi="Arial"/>
          <w:sz w:val="16"/>
          <w:szCs w:val="16"/>
          <w:color w:val="auto"/>
        </w:rPr>
        <w:t>The Board does not currently have a Chairman. Additionally, the Board does not have a formal policy as to whether the same person may serve as both the principal executive officer of the Company and Chairman. At the present time, the Board does not believe that such a policy is necessary because of its determination that the current Board membership, together with the Company’s management, possesses the requisite leadership and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right="360"/>
        <w:spacing w:after="0" w:line="291" w:lineRule="auto"/>
        <w:rPr>
          <w:sz w:val="20"/>
          <w:szCs w:val="20"/>
          <w:color w:val="auto"/>
        </w:rPr>
      </w:pPr>
      <w:r>
        <w:rPr>
          <w:rFonts w:ascii="Arial" w:cs="Arial" w:eastAsia="Arial" w:hAnsi="Arial"/>
          <w:sz w:val="16"/>
          <w:szCs w:val="16"/>
          <w:color w:val="auto"/>
        </w:rPr>
        <w:t>industry skills, expertise and experiences to effectively oversee the business and affairs of the Company.</w:t>
      </w:r>
    </w:p>
    <w:p>
      <w:pPr>
        <w:spacing w:after="0" w:line="253" w:lineRule="auto"/>
        <w:rPr>
          <w:sz w:val="20"/>
          <w:szCs w:val="20"/>
          <w:color w:val="auto"/>
        </w:rPr>
      </w:pPr>
      <w:r>
        <w:rPr>
          <w:rFonts w:ascii="Arial" w:cs="Arial" w:eastAsia="Arial" w:hAnsi="Arial"/>
          <w:sz w:val="18"/>
          <w:szCs w:val="18"/>
          <w:color w:val="auto"/>
        </w:rPr>
        <w:t>The Board believes that this flexibility is in the best interest of the Company and that a one-size-fits-all approach to corporate governance, with a mandated independent Chairman, would not result in better governance or oversight.</w:t>
      </w:r>
    </w:p>
    <w:p>
      <w:pPr>
        <w:spacing w:after="0" w:line="83"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In early 2019, the Governance Committee, together with the full Board, conducted its regular review of the Company’s board leadership structure. Noting that the Board has no Chairman, the Governance Committee recommended that the Board consider whether to adopt a lead independent director position.</w:t>
      </w:r>
    </w:p>
    <w:p>
      <w:pPr>
        <w:spacing w:after="0" w:line="7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After discussions and analysis, the Board amended the Company’s Corporate Governance Guidelines to provide for the selection of a Lead Director from the independent directors at times where the Company has no Chairman or no independent Chairman. The Lead Independent Director will be appointed annually and is generally expected to serve for more than one year. The Lead Independent Director has the authority to call meetings of the non-employee directors and to preside over such meetings. When the Chairman, or in the absence of a Chairman, the Co-CEOs, are absent, the Lead Independent Director presides over meetings of the Board. The Lead Independent Director also, among other delineated responsibilities:</w:t>
      </w:r>
    </w:p>
    <w:p>
      <w:pPr>
        <w:spacing w:after="0" w:line="66" w:lineRule="exact"/>
        <w:rPr>
          <w:sz w:val="20"/>
          <w:szCs w:val="20"/>
          <w:color w:val="auto"/>
        </w:rPr>
      </w:pPr>
    </w:p>
    <w:p>
      <w:pPr>
        <w:ind w:left="720" w:right="200" w:hanging="360"/>
        <w:spacing w:after="0" w:line="288" w:lineRule="auto"/>
        <w:tabs>
          <w:tab w:leader="none" w:pos="7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Serves as a liaison between the non-employee directors and the Co-CEOs, without inhibiting direct communication between them, including providing feedback and counsel regarding interactions with the Board;</w:t>
      </w:r>
    </w:p>
    <w:p>
      <w:pPr>
        <w:spacing w:after="0" w:line="3" w:lineRule="exact"/>
        <w:rPr>
          <w:rFonts w:ascii="Arial" w:cs="Arial" w:eastAsia="Arial" w:hAnsi="Arial"/>
          <w:sz w:val="16"/>
          <w:szCs w:val="16"/>
          <w:color w:val="auto"/>
        </w:rPr>
      </w:pPr>
    </w:p>
    <w:p>
      <w:pPr>
        <w:ind w:left="720" w:right="280" w:hanging="360"/>
        <w:spacing w:after="0" w:line="258" w:lineRule="auto"/>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Consults on Board meeting agendas and other information sent to the Board;</w:t>
      </w:r>
    </w:p>
    <w:p>
      <w:pPr>
        <w:spacing w:after="0" w:line="1" w:lineRule="exact"/>
        <w:rPr>
          <w:rFonts w:ascii="Arial" w:cs="Arial" w:eastAsia="Arial" w:hAnsi="Arial"/>
          <w:sz w:val="18"/>
          <w:szCs w:val="18"/>
          <w:color w:val="auto"/>
        </w:rPr>
      </w:pPr>
    </w:p>
    <w:p>
      <w:pPr>
        <w:jc w:val="both"/>
        <w:ind w:left="720" w:right="280" w:hanging="360"/>
        <w:spacing w:after="0" w:line="255" w:lineRule="auto"/>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Reviews the quality, quantity, appropriateness and timeliness of information provided to the Board;</w:t>
      </w:r>
    </w:p>
    <w:p>
      <w:pPr>
        <w:spacing w:after="0" w:line="1" w:lineRule="exact"/>
        <w:rPr>
          <w:rFonts w:ascii="Arial" w:cs="Arial" w:eastAsia="Arial" w:hAnsi="Arial"/>
          <w:sz w:val="18"/>
          <w:szCs w:val="18"/>
          <w:color w:val="auto"/>
        </w:rPr>
      </w:pPr>
    </w:p>
    <w:p>
      <w:pPr>
        <w:ind w:left="720" w:right="280" w:hanging="360"/>
        <w:spacing w:after="0" w:line="275" w:lineRule="auto"/>
        <w:tabs>
          <w:tab w:leader="none" w:pos="7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Consults on and approves Board meeting schedules to ensure there is sufficient time for discussion of all agenda items;</w:t>
      </w:r>
    </w:p>
    <w:p>
      <w:pPr>
        <w:spacing w:after="0" w:line="2" w:lineRule="exact"/>
        <w:rPr>
          <w:rFonts w:ascii="Arial" w:cs="Arial" w:eastAsia="Arial" w:hAnsi="Arial"/>
          <w:sz w:val="17"/>
          <w:szCs w:val="17"/>
          <w:color w:val="auto"/>
        </w:rPr>
      </w:pPr>
    </w:p>
    <w:p>
      <w:pPr>
        <w:ind w:left="720" w:right="40" w:hanging="360"/>
        <w:spacing w:after="0" w:line="254" w:lineRule="auto"/>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Facilitates discussion and open dialogue among the independent directors during Board meetings, executive sessions and outside of Board meetings;</w:t>
      </w:r>
    </w:p>
    <w:p>
      <w:pPr>
        <w:spacing w:after="0" w:line="2" w:lineRule="exact"/>
        <w:rPr>
          <w:rFonts w:ascii="Arial" w:cs="Arial" w:eastAsia="Arial" w:hAnsi="Arial"/>
          <w:sz w:val="18"/>
          <w:szCs w:val="18"/>
          <w:color w:val="auto"/>
        </w:rPr>
      </w:pPr>
    </w:p>
    <w:p>
      <w:pPr>
        <w:jc w:val="both"/>
        <w:ind w:left="720" w:right="380" w:hanging="360"/>
        <w:spacing w:after="0" w:line="255" w:lineRule="auto"/>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Maintains availability, when appropriate, for consultation and direct communication with shareholders; and</w:t>
      </w:r>
    </w:p>
    <w:p>
      <w:pPr>
        <w:spacing w:after="0" w:line="1" w:lineRule="exact"/>
        <w:rPr>
          <w:rFonts w:ascii="Arial" w:cs="Arial" w:eastAsia="Arial" w:hAnsi="Arial"/>
          <w:sz w:val="18"/>
          <w:szCs w:val="18"/>
          <w:color w:val="auto"/>
        </w:rPr>
      </w:pPr>
    </w:p>
    <w:p>
      <w:pPr>
        <w:ind w:left="720" w:right="20" w:hanging="360"/>
        <w:spacing w:after="0" w:line="255" w:lineRule="auto"/>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Communicates with the Co-CEOs and, as appropriate, regarding significant matters including decisions reached, suggestions, views or concerns expressed by non-employee directors in executive sessions or outside of Board meetings.</w:t>
      </w:r>
    </w:p>
    <w:p>
      <w:pPr>
        <w:spacing w:after="0" w:line="860" w:lineRule="exact"/>
        <w:rPr>
          <w:sz w:val="20"/>
          <w:szCs w:val="20"/>
          <w:color w:val="auto"/>
        </w:rPr>
      </w:pPr>
    </w:p>
    <w:p>
      <w:pPr>
        <w:sectPr>
          <w:pgSz w:w="11900" w:h="16838" w:orient="portrait"/>
          <w:cols w:equalWidth="0" w:num="2">
            <w:col w:w="5380" w:space="460"/>
            <w:col w:w="4300"/>
          </w:cols>
          <w:pgMar w:left="320" w:top="265" w:right="1439" w:bottom="1440" w:gutter="0" w:footer="0" w:header="0"/>
          <w:type w:val="continuous"/>
        </w:sectPr>
      </w:pPr>
    </w:p>
    <w:p>
      <w:pPr>
        <w:spacing w:after="0" w:line="78" w:lineRule="exact"/>
        <w:rPr>
          <w:sz w:val="20"/>
          <w:szCs w:val="20"/>
          <w:color w:val="auto"/>
        </w:rPr>
      </w:pPr>
    </w:p>
    <w:p>
      <w:pPr>
        <w:ind w:left="1160"/>
        <w:spacing w:after="0"/>
        <w:tabs>
          <w:tab w:leader="none" w:pos="9960" w:val="left"/>
        </w:tabs>
        <w:rPr>
          <w:sz w:val="20"/>
          <w:szCs w:val="20"/>
          <w:color w:val="auto"/>
        </w:rPr>
      </w:pPr>
      <w:r>
        <w:rPr>
          <w:rFonts w:ascii="Arial" w:cs="Arial" w:eastAsia="Arial" w:hAnsi="Arial"/>
          <w:sz w:val="16"/>
          <w:szCs w:val="16"/>
          <w:color w:val="auto"/>
        </w:rPr>
        <w:t>2020 Proxy Statement | Corporate Governance</w:t>
      </w:r>
      <w:r>
        <w:rPr>
          <w:sz w:val="20"/>
          <w:szCs w:val="20"/>
          <w:color w:val="auto"/>
        </w:rPr>
        <w:tab/>
      </w: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129540</wp:posOffset>
            </wp:positionV>
            <wp:extent cx="699516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140"/>
          </w:cols>
          <w:pgMar w:left="320" w:top="265" w:right="1439" w:bottom="1440" w:gutter="0" w:footer="0" w:header="0"/>
          <w:type w:val="continuous"/>
        </w:sectPr>
      </w:pPr>
    </w:p>
    <w:bookmarkStart w:id="26" w:name="page27"/>
    <w:bookmarkEnd w:id="26"/>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6515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651510"/>
                    </a:xfrm>
                    <a:prstGeom prst="rect">
                      <a:avLst/>
                    </a:prstGeom>
                    <a:noFill/>
                  </pic:spPr>
                </pic:pic>
              </a:graphicData>
            </a:graphic>
          </wp:anchor>
        </w:drawing>
      </w:r>
    </w:p>
    <w:p>
      <w:pPr>
        <w:sectPr>
          <w:pgSz w:w="11900" w:h="16838" w:orient="portrait"/>
          <w:cols w:equalWidth="0" w:num="1">
            <w:col w:w="10140"/>
          </w:cols>
          <w:pgMar w:left="320" w:top="265" w:right="1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080" w:right="220"/>
        <w:spacing w:after="0" w:line="267" w:lineRule="auto"/>
        <w:rPr>
          <w:sz w:val="20"/>
          <w:szCs w:val="20"/>
          <w:color w:val="auto"/>
        </w:rPr>
      </w:pPr>
      <w:r>
        <w:rPr>
          <w:rFonts w:ascii="Arial" w:cs="Arial" w:eastAsia="Arial" w:hAnsi="Arial"/>
          <w:sz w:val="20"/>
          <w:szCs w:val="20"/>
          <w:b w:val="1"/>
          <w:bCs w:val="1"/>
          <w:color w:val="3F3F3F"/>
        </w:rPr>
        <w:t>Other Corporate Governance Matters, Practices and Procedures</w:t>
      </w:r>
    </w:p>
    <w:p>
      <w:pPr>
        <w:spacing w:after="0" w:line="87"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Risk Oversight</w:t>
      </w:r>
    </w:p>
    <w:p>
      <w:pPr>
        <w:spacing w:after="0" w:line="121" w:lineRule="exact"/>
        <w:rPr>
          <w:sz w:val="20"/>
          <w:szCs w:val="20"/>
          <w:color w:val="auto"/>
        </w:rPr>
      </w:pPr>
    </w:p>
    <w:p>
      <w:pPr>
        <w:ind w:left="1080"/>
        <w:spacing w:after="0" w:line="291" w:lineRule="auto"/>
        <w:rPr>
          <w:sz w:val="20"/>
          <w:szCs w:val="20"/>
          <w:color w:val="auto"/>
        </w:rPr>
      </w:pPr>
      <w:r>
        <w:rPr>
          <w:rFonts w:ascii="Arial" w:cs="Arial" w:eastAsia="Arial" w:hAnsi="Arial"/>
          <w:sz w:val="16"/>
          <w:szCs w:val="16"/>
          <w:color w:val="auto"/>
        </w:rPr>
        <w:t>The Company believes a role of management, including the named executive officers, is to identify and manage risks confronting the Company. The Board of Directors plays an integral part in the Company’s risk oversight, primarily in reviewing the processes used by management to identify and report risk, and also in monitoring corporate actions so as to minimize inappropriate levels of risk.</w:t>
      </w:r>
    </w:p>
    <w:p>
      <w:pPr>
        <w:spacing w:after="0" w:line="58" w:lineRule="exact"/>
        <w:rPr>
          <w:sz w:val="20"/>
          <w:szCs w:val="20"/>
          <w:color w:val="auto"/>
        </w:rPr>
      </w:pPr>
    </w:p>
    <w:p>
      <w:pPr>
        <w:ind w:left="1080" w:right="460"/>
        <w:spacing w:after="0" w:line="291" w:lineRule="auto"/>
        <w:rPr>
          <w:sz w:val="20"/>
          <w:szCs w:val="20"/>
          <w:color w:val="auto"/>
        </w:rPr>
      </w:pPr>
      <w:r>
        <w:rPr>
          <w:rFonts w:ascii="Arial" w:cs="Arial" w:eastAsia="Arial" w:hAnsi="Arial"/>
          <w:sz w:val="16"/>
          <w:szCs w:val="16"/>
          <w:color w:val="auto"/>
        </w:rPr>
        <w:t>The Company’s current Enterprise Risk Management (ERM) process was initially formalized in 2009.</w:t>
      </w:r>
    </w:p>
    <w:p>
      <w:pPr>
        <w:ind w:left="1080" w:right="180"/>
        <w:spacing w:after="0" w:line="253" w:lineRule="auto"/>
        <w:rPr>
          <w:sz w:val="20"/>
          <w:szCs w:val="20"/>
          <w:color w:val="auto"/>
        </w:rPr>
      </w:pPr>
      <w:r>
        <w:rPr>
          <w:rFonts w:ascii="Arial" w:cs="Arial" w:eastAsia="Arial" w:hAnsi="Arial"/>
          <w:sz w:val="18"/>
          <w:szCs w:val="18"/>
          <w:color w:val="auto"/>
        </w:rPr>
        <w:t>The process is overseen by a risk officer with the input of senior leaders representing significant areas from throughout the organization including operational, financial, accounting, information technology and information security.</w:t>
      </w:r>
    </w:p>
    <w:p>
      <w:pPr>
        <w:spacing w:after="0" w:line="83" w:lineRule="exact"/>
        <w:rPr>
          <w:sz w:val="20"/>
          <w:szCs w:val="20"/>
          <w:color w:val="auto"/>
        </w:rPr>
      </w:pPr>
    </w:p>
    <w:p>
      <w:pPr>
        <w:ind w:left="1080"/>
        <w:spacing w:after="0" w:line="269" w:lineRule="auto"/>
        <w:rPr>
          <w:sz w:val="20"/>
          <w:szCs w:val="20"/>
          <w:color w:val="auto"/>
        </w:rPr>
      </w:pPr>
      <w:r>
        <w:rPr>
          <w:rFonts w:ascii="Arial" w:cs="Arial" w:eastAsia="Arial" w:hAnsi="Arial"/>
          <w:sz w:val="17"/>
          <w:szCs w:val="17"/>
          <w:color w:val="auto"/>
        </w:rPr>
        <w:t>The risk officer annually, following interviews with the Co-CEOs and senior management, reviews the top organizational risks and determines whether to add any new significant risks or to prioritize any identified risks.</w:t>
      </w:r>
    </w:p>
    <w:p>
      <w:pPr>
        <w:spacing w:after="0" w:line="2" w:lineRule="exact"/>
        <w:rPr>
          <w:sz w:val="20"/>
          <w:szCs w:val="20"/>
          <w:color w:val="auto"/>
        </w:rPr>
      </w:pPr>
    </w:p>
    <w:p>
      <w:pPr>
        <w:ind w:left="1080" w:right="40"/>
        <w:spacing w:after="0" w:line="267" w:lineRule="auto"/>
        <w:rPr>
          <w:sz w:val="20"/>
          <w:szCs w:val="20"/>
          <w:color w:val="auto"/>
        </w:rPr>
      </w:pPr>
      <w:r>
        <w:rPr>
          <w:rFonts w:ascii="Arial" w:cs="Arial" w:eastAsia="Arial" w:hAnsi="Arial"/>
          <w:sz w:val="17"/>
          <w:szCs w:val="17"/>
          <w:color w:val="auto"/>
        </w:rPr>
        <w:t>The risk officer, through regular meetings with senior leaders of the Company, monitors these risks, as well as any other significant risks that may arise during the year, and provides an ERM report to the Audit Committee on a quarterly basis. Also, in light of evolving threats to corporate cybersecurity, the Board and relevant Board Committees receive reports from the Company’s Chief Information Security Officer regarding cybersecurity risks and the steps management has taken to monitor and control such risks. The Audit Committee regularly dedicates a portion of its meetings to review and discuss the Company’s cybersecurity program.</w:t>
      </w:r>
    </w:p>
    <w:p>
      <w:pPr>
        <w:spacing w:after="0" w:line="76" w:lineRule="exact"/>
        <w:rPr>
          <w:sz w:val="20"/>
          <w:szCs w:val="20"/>
          <w:color w:val="auto"/>
        </w:rPr>
      </w:pPr>
    </w:p>
    <w:p>
      <w:pPr>
        <w:ind w:left="1080" w:right="60"/>
        <w:spacing w:after="0" w:line="282" w:lineRule="auto"/>
        <w:rPr>
          <w:sz w:val="20"/>
          <w:szCs w:val="20"/>
          <w:color w:val="auto"/>
        </w:rPr>
      </w:pPr>
      <w:r>
        <w:rPr>
          <w:rFonts w:ascii="Arial" w:cs="Arial" w:eastAsia="Arial" w:hAnsi="Arial"/>
          <w:sz w:val="16"/>
          <w:szCs w:val="16"/>
          <w:color w:val="auto"/>
        </w:rPr>
        <w:t>The Company’s leadership structure and overall corporate governance framework is designed to aid the Board in its oversight of management responsibility for risk. The Audit Committee serves a key risk oversight function in carrying out its review of the Company’s financial reporting and internal reporting processes, as required by the Sarbanes-Oxley Act of 2002. Inherently, part of this review involves an evaluation of whether our financial reporting and internal reporting systems are adequately reporting the Company’s exposure to certain risks. In connection with this evaluation, the Audit Committee has, from time to time, considered whether any changes to these processes are necessary or desirable. While it has concluded that no such changes are warranted at this time, the Audit Committee will continue to monitor the Company’s financial reporting and internal reporting processes.</w:t>
      </w:r>
    </w:p>
    <w:p>
      <w:pPr>
        <w:spacing w:after="0" w:line="11" w:lineRule="exact"/>
        <w:rPr>
          <w:sz w:val="20"/>
          <w:szCs w:val="20"/>
          <w:color w:val="auto"/>
        </w:rPr>
      </w:pPr>
    </w:p>
    <w:p>
      <w:pPr>
        <w:ind w:left="1080" w:right="60"/>
        <w:spacing w:after="0" w:line="253" w:lineRule="auto"/>
        <w:rPr>
          <w:sz w:val="20"/>
          <w:szCs w:val="20"/>
          <w:color w:val="auto"/>
        </w:rPr>
      </w:pPr>
      <w:r>
        <w:rPr>
          <w:rFonts w:ascii="Arial" w:cs="Arial" w:eastAsia="Arial" w:hAnsi="Arial"/>
          <w:sz w:val="18"/>
          <w:szCs w:val="18"/>
          <w:color w:val="auto"/>
        </w:rPr>
        <w:t>In addition, pursuant to its charter, the Audit Committee is responsible for discussing with management the guidelines and policies related to enterprise risk assessment and risk management.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As more fully described under “Compensation Discussion and Analysis” in this proxy statement, the Compensation Committee takes an active role in overseeing risks relating to AFG’s executive compensation programs, plans and practices. Specifically, the Compensation Committee reviews the risk profile of the components of the executive compensation program, including the performance objectives and target levels used in connection with incentive awards, and considers the risks an executive officer might be incentivized to take with respect to such components with special attention given to establishing a mix among these components that does not encourage excessive risk taking.</w:t>
      </w:r>
    </w:p>
    <w:p>
      <w:pPr>
        <w:spacing w:after="0" w:line="66" w:lineRule="exact"/>
        <w:rPr>
          <w:sz w:val="20"/>
          <w:szCs w:val="20"/>
          <w:color w:val="auto"/>
        </w:rPr>
      </w:pPr>
    </w:p>
    <w:p>
      <w:pPr>
        <w:ind w:right="140"/>
        <w:spacing w:after="0" w:line="288" w:lineRule="auto"/>
        <w:rPr>
          <w:sz w:val="20"/>
          <w:szCs w:val="20"/>
          <w:color w:val="auto"/>
        </w:rPr>
      </w:pPr>
      <w:r>
        <w:rPr>
          <w:rFonts w:ascii="Arial" w:cs="Arial" w:eastAsia="Arial" w:hAnsi="Arial"/>
          <w:sz w:val="16"/>
          <w:szCs w:val="16"/>
          <w:color w:val="auto"/>
        </w:rPr>
        <w:t>The Corporate Governance Committee contributes to the Company’s risk oversight process by reviewing the Company’s Corporate Governance Guidelines and Board committee charters at least annually to ensure that they continue to comply with any applicable laws, regulations, and stock exchange or other listing standards, as each are subject to change from time to time. The Corporate Governance Committee also oversees the director nomination process, the overall Board reporting structure and the operations of the individual committees.</w:t>
      </w:r>
    </w:p>
    <w:p>
      <w:pPr>
        <w:spacing w:after="0" w:line="164" w:lineRule="exact"/>
        <w:rPr>
          <w:sz w:val="20"/>
          <w:szCs w:val="20"/>
          <w:color w:val="auto"/>
        </w:rPr>
      </w:pPr>
    </w:p>
    <w:p>
      <w:pPr>
        <w:ind w:right="620"/>
        <w:spacing w:after="0" w:line="282" w:lineRule="auto"/>
        <w:rPr>
          <w:sz w:val="20"/>
          <w:szCs w:val="20"/>
          <w:color w:val="auto"/>
        </w:rPr>
      </w:pPr>
      <w:r>
        <w:rPr>
          <w:rFonts w:ascii="Arial" w:cs="Arial" w:eastAsia="Arial" w:hAnsi="Arial"/>
          <w:sz w:val="18"/>
          <w:szCs w:val="18"/>
          <w:b w:val="1"/>
          <w:bCs w:val="1"/>
          <w:color w:val="auto"/>
        </w:rPr>
        <w:t>Code of Ethics, Code of Conduct and Corporate Governance Principles</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adopted a Code of Ethics applicable to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all employees. The Company has also adopted Corporate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Governance Guidelines. The Code and Guidelines are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available on the Company’s website at www.AFGinc.com,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under “About Us—Leadership and Governance.” A printed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copy of the Code and Guidelines may be obtained by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shareholders upon written request to the Corporate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Secretary at the address set forth under “2020 Proxy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Statement – Summary – Company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We intend to satisfy any disclosure requirements regarding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any amendments to, or waivers from, provisions of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Code by posting such information on our website as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promptly as practicable, as may be required by applicable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 and NYSE rules.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Responsibility and Sustainability</w:t>
      </w:r>
    </w:p>
    <w:p>
      <w:pPr>
        <w:spacing w:after="0" w:line="12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Creating long-term value for shareholders is AFG’s highest business objective, and we are committed to doing so in a responsible and sustainable manner. For us, this commitment starts with recognizing that many of our business decisions affect people and organizations in the larger community. Our Board of Directors and senior leaders embrace external perspectives as part of making informed decisions to keep our business viable.</w:t>
      </w:r>
    </w:p>
    <w:p>
      <w:pPr>
        <w:spacing w:after="0" w:line="7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sustain AFG’s business success by effectively managing risk—financial, social, environmental—to help create stability for our customers and deliver value to our shareholders.</w:t>
      </w:r>
    </w:p>
    <w:p>
      <w:pPr>
        <w:spacing w:after="0" w:line="200" w:lineRule="exact"/>
        <w:rPr>
          <w:sz w:val="20"/>
          <w:szCs w:val="20"/>
          <w:color w:val="auto"/>
        </w:rPr>
      </w:pPr>
    </w:p>
    <w:p>
      <w:pPr>
        <w:sectPr>
          <w:pgSz w:w="11900" w:h="16838" w:orient="portrait"/>
          <w:cols w:equalWidth="0" w:num="2">
            <w:col w:w="5400" w:space="440"/>
            <w:col w:w="4300"/>
          </w:cols>
          <w:pgMar w:left="320" w:top="265" w:right="1439" w:bottom="1440" w:gutter="0" w:footer="0" w:header="0"/>
          <w:type w:val="continuous"/>
        </w:sectPr>
      </w:pPr>
    </w:p>
    <w:p>
      <w:pPr>
        <w:spacing w:after="0" w:line="99" w:lineRule="exact"/>
        <w:rPr>
          <w:sz w:val="20"/>
          <w:szCs w:val="20"/>
          <w:color w:val="auto"/>
        </w:rPr>
      </w:pPr>
    </w:p>
    <w:p>
      <w:pPr>
        <w:ind w:left="1160"/>
        <w:spacing w:after="0"/>
        <w:tabs>
          <w:tab w:leader="none" w:pos="9960" w:val="left"/>
        </w:tabs>
        <w:rPr>
          <w:sz w:val="20"/>
          <w:szCs w:val="20"/>
          <w:color w:val="auto"/>
        </w:rPr>
      </w:pPr>
      <w:r>
        <w:rPr>
          <w:rFonts w:ascii="Arial" w:cs="Arial" w:eastAsia="Arial" w:hAnsi="Arial"/>
          <w:sz w:val="16"/>
          <w:szCs w:val="16"/>
          <w:color w:val="auto"/>
        </w:rPr>
        <w:t>2020 Proxy Statement | Corporate Governance</w:t>
      </w:r>
      <w:r>
        <w:rPr>
          <w:sz w:val="20"/>
          <w:szCs w:val="20"/>
          <w:color w:val="auto"/>
        </w:rPr>
        <w:tab/>
      </w: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129540</wp:posOffset>
            </wp:positionV>
            <wp:extent cx="699516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140"/>
          </w:cols>
          <w:pgMar w:left="320" w:top="265" w:right="1439" w:bottom="1440" w:gutter="0" w:footer="0" w:header="0"/>
          <w:type w:val="continuous"/>
        </w:sectPr>
      </w:pPr>
    </w:p>
    <w:bookmarkStart w:id="27" w:name="page28"/>
    <w:bookmarkEnd w:id="27"/>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6515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651510"/>
                    </a:xfrm>
                    <a:prstGeom prst="rect">
                      <a:avLst/>
                    </a:prstGeom>
                    <a:noFill/>
                  </pic:spPr>
                </pic:pic>
              </a:graphicData>
            </a:graphic>
          </wp:anchor>
        </w:drawing>
      </w:r>
    </w:p>
    <w:p>
      <w:pPr>
        <w:sectPr>
          <w:pgSz w:w="11900" w:h="16838" w:orient="portrait"/>
          <w:cols w:equalWidth="0" w:num="1">
            <w:col w:w="10160"/>
          </w:cols>
          <w:pgMar w:left="320" w:top="265"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080" w:right="40"/>
        <w:spacing w:after="0" w:line="286" w:lineRule="auto"/>
        <w:rPr>
          <w:sz w:val="20"/>
          <w:szCs w:val="20"/>
          <w:color w:val="auto"/>
        </w:rPr>
      </w:pPr>
      <w:r>
        <w:rPr>
          <w:rFonts w:ascii="Arial" w:cs="Arial" w:eastAsia="Arial" w:hAnsi="Arial"/>
          <w:sz w:val="17"/>
          <w:szCs w:val="17"/>
          <w:color w:val="auto"/>
        </w:rPr>
        <w:t>We focus our corporate responsibility and sustainability strategies in four primary areas where AFG can achieve the most direct and substantial results:</w:t>
      </w:r>
    </w:p>
    <w:p>
      <w:pPr>
        <w:spacing w:after="0" w:line="57" w:lineRule="exact"/>
        <w:rPr>
          <w:sz w:val="20"/>
          <w:szCs w:val="20"/>
          <w:color w:val="auto"/>
        </w:rPr>
      </w:pPr>
    </w:p>
    <w:p>
      <w:pPr>
        <w:ind w:left="1800" w:right="620" w:hanging="352"/>
        <w:spacing w:after="0" w:line="266" w:lineRule="auto"/>
        <w:tabs>
          <w:tab w:leader="none" w:pos="1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Operating our business with integrity and managing financial risk;</w:t>
      </w:r>
    </w:p>
    <w:p>
      <w:pPr>
        <w:ind w:left="1800" w:right="180" w:hanging="352"/>
        <w:spacing w:after="0" w:line="258" w:lineRule="auto"/>
        <w:tabs>
          <w:tab w:leader="none" w:pos="1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Giving back to our communities and promoting social opportunity;</w:t>
      </w:r>
    </w:p>
    <w:p>
      <w:pPr>
        <w:spacing w:after="0" w:line="1" w:lineRule="exact"/>
        <w:rPr>
          <w:rFonts w:ascii="Arial" w:cs="Arial" w:eastAsia="Arial" w:hAnsi="Arial"/>
          <w:sz w:val="18"/>
          <w:szCs w:val="18"/>
          <w:color w:val="auto"/>
        </w:rPr>
      </w:pPr>
    </w:p>
    <w:p>
      <w:pPr>
        <w:ind w:left="1800" w:right="320" w:hanging="352"/>
        <w:spacing w:after="0" w:line="258" w:lineRule="auto"/>
        <w:tabs>
          <w:tab w:leader="none" w:pos="1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Creating a welcoming and rewarding place to work and build a career; and</w:t>
      </w:r>
    </w:p>
    <w:p>
      <w:pPr>
        <w:ind w:left="1800" w:right="440" w:hanging="352"/>
        <w:spacing w:after="0" w:line="276" w:lineRule="auto"/>
        <w:tabs>
          <w:tab w:leader="none" w:pos="1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Managing environmental risk and operating sustainably.</w:t>
      </w:r>
    </w:p>
    <w:p>
      <w:pPr>
        <w:spacing w:after="0" w:line="63" w:lineRule="exact"/>
        <w:rPr>
          <w:sz w:val="20"/>
          <w:szCs w:val="20"/>
          <w:color w:val="auto"/>
        </w:rPr>
      </w:pPr>
    </w:p>
    <w:p>
      <w:pPr>
        <w:jc w:val="both"/>
        <w:ind w:left="1080" w:right="180"/>
        <w:spacing w:after="0" w:line="301" w:lineRule="auto"/>
        <w:rPr>
          <w:sz w:val="20"/>
          <w:szCs w:val="20"/>
          <w:color w:val="auto"/>
        </w:rPr>
      </w:pPr>
      <w:r>
        <w:rPr>
          <w:rFonts w:ascii="Arial" w:cs="Arial" w:eastAsia="Arial" w:hAnsi="Arial"/>
          <w:sz w:val="16"/>
          <w:szCs w:val="16"/>
          <w:color w:val="auto"/>
        </w:rPr>
        <w:t>We believe that concentrating our efforts help us run our business more effectively, enhance our products, protect our customers, serve our communities and support nearly 8,500 employees in over 120 locations worldwide.</w:t>
      </w:r>
    </w:p>
    <w:p>
      <w:pPr>
        <w:spacing w:after="0" w:line="49" w:lineRule="exact"/>
        <w:rPr>
          <w:sz w:val="20"/>
          <w:szCs w:val="20"/>
          <w:color w:val="auto"/>
        </w:rPr>
      </w:pPr>
    </w:p>
    <w:p>
      <w:pPr>
        <w:ind w:left="1080" w:right="20"/>
        <w:spacing w:after="0" w:line="268" w:lineRule="auto"/>
        <w:rPr>
          <w:sz w:val="20"/>
          <w:szCs w:val="20"/>
          <w:color w:val="auto"/>
        </w:rPr>
      </w:pPr>
      <w:r>
        <w:rPr>
          <w:rFonts w:ascii="Arial" w:cs="Arial" w:eastAsia="Arial" w:hAnsi="Arial"/>
          <w:sz w:val="17"/>
          <w:szCs w:val="17"/>
          <w:color w:val="auto"/>
        </w:rPr>
        <w:t>More information regarding our corporate responsibility and sustainability efforts can be found on our website at www.AFGinc.com under “About Us—Corporate Social Responsibility.” We constantly review developing methodologies for evaluating Environmental, Social and Governance (ESG) practices, such as the Sustainability Accounting Standards Board (SASB), the Task Force on Climate-Related Financial Disclosures (TCFD) and Global Reporting Initiative (GRI), and expect to adopt reporting practices according to standards which become widely-adopted and which we feel are most useful to our shareholders. We expect to update our website disclosure at least annually.</w:t>
      </w:r>
    </w:p>
    <w:p>
      <w:pPr>
        <w:spacing w:after="0" w:line="236"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Shareholder Engagement</w:t>
      </w:r>
    </w:p>
    <w:p>
      <w:pPr>
        <w:spacing w:after="0" w:line="121" w:lineRule="exact"/>
        <w:rPr>
          <w:sz w:val="20"/>
          <w:szCs w:val="20"/>
          <w:color w:val="auto"/>
        </w:rPr>
      </w:pPr>
    </w:p>
    <w:p>
      <w:pPr>
        <w:ind w:left="1080"/>
        <w:spacing w:after="0" w:line="287" w:lineRule="auto"/>
        <w:rPr>
          <w:sz w:val="20"/>
          <w:szCs w:val="20"/>
          <w:color w:val="auto"/>
        </w:rPr>
      </w:pPr>
      <w:r>
        <w:rPr>
          <w:rFonts w:ascii="Arial" w:cs="Arial" w:eastAsia="Arial" w:hAnsi="Arial"/>
          <w:sz w:val="16"/>
          <w:szCs w:val="16"/>
          <w:color w:val="auto"/>
        </w:rPr>
        <w:t>We maintain an ongoing, proactive outreach effort with our shareholders. Throughout the year, members of our Investor Relations team and our business leaders engage with our shareholders to help increase their understanding of our business and to remain well-informed regarding their perspectives. Management regularly engages with investors by participating in industry conferences, and also meets in person and by telephone with shareholders at other times throughout the year to answer questions and solicit input. We believe our engagement with shareholders has been productive and provides an open exchange of ideas and perspectives.</w:t>
      </w:r>
    </w:p>
    <w:p>
      <w:pPr>
        <w:spacing w:after="0" w:line="204"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Director Education</w:t>
      </w:r>
    </w:p>
    <w:p>
      <w:pPr>
        <w:spacing w:after="0" w:line="121" w:lineRule="exact"/>
        <w:rPr>
          <w:sz w:val="20"/>
          <w:szCs w:val="20"/>
          <w:color w:val="auto"/>
        </w:rPr>
      </w:pPr>
    </w:p>
    <w:p>
      <w:pPr>
        <w:ind w:left="1080"/>
        <w:spacing w:after="0" w:line="275" w:lineRule="auto"/>
        <w:rPr>
          <w:sz w:val="20"/>
          <w:szCs w:val="20"/>
          <w:color w:val="auto"/>
        </w:rPr>
      </w:pPr>
      <w:r>
        <w:rPr>
          <w:rFonts w:ascii="Arial" w:cs="Arial" w:eastAsia="Arial" w:hAnsi="Arial"/>
          <w:sz w:val="17"/>
          <w:szCs w:val="17"/>
          <w:color w:val="auto"/>
        </w:rPr>
        <w:t>The Corporate Governance Committee facilitates participation by directors in continuing education programs, including accredited director education programs paid by the Company and structured internal programs presented by management at least annually.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Board Evaluation</w:t>
      </w:r>
    </w:p>
    <w:p>
      <w:pPr>
        <w:spacing w:after="0" w:line="121" w:lineRule="exact"/>
        <w:rPr>
          <w:sz w:val="20"/>
          <w:szCs w:val="20"/>
          <w:color w:val="auto"/>
        </w:rPr>
      </w:pPr>
    </w:p>
    <w:p>
      <w:pPr>
        <w:ind w:right="100"/>
        <w:spacing w:after="0" w:line="283" w:lineRule="auto"/>
        <w:rPr>
          <w:sz w:val="20"/>
          <w:szCs w:val="20"/>
          <w:color w:val="auto"/>
        </w:rPr>
      </w:pPr>
      <w:r>
        <w:rPr>
          <w:rFonts w:ascii="Arial" w:cs="Arial" w:eastAsia="Arial" w:hAnsi="Arial"/>
          <w:sz w:val="16"/>
          <w:szCs w:val="16"/>
          <w:color w:val="auto"/>
        </w:rPr>
        <w:t>The Corporate Governance Committee oversees the Company’s annual Board evaluation process which is designed to elicit feedback and recommendations from the directors that will improve the effectiveness of the Board and each of its committees. The Corporate Governance Committee determines the manner of conducting Board evaluations annually. In recent years, evaluations have consisted of questionnaires or interviews of Board members, in each case conducted by outside counsel.</w:t>
      </w:r>
    </w:p>
    <w:p>
      <w:pPr>
        <w:spacing w:after="0" w:line="6"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The results of the evaluation are compiled by outside counsel and discussed with the Committees and with the full Board.</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Sessions</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NYSE rules require independent directors to meet regularly in executive sessions. Four of these sessions were held during 2019. The lead independent director presides over each session.</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Communications with Directors</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Board of Directors has adopted procedures for shareholders to send written communications to the Board as a group. Communications must be clearly addressed either to the Board of Directors, a committee of the Board or any or all of the independent directors, and sent to either of the persons listed under “2020 Proxy Statement – Summary – Company Communications”, who will forward any communications except for spam, junk mail, mass mailings, resumes, job inquiries, surveys, business solicitations or advertisements, or patently offensive, hostile, threatening or otherwise unsuitable or inappropriate material.</w:t>
      </w:r>
    </w:p>
    <w:p>
      <w:pPr>
        <w:spacing w:after="0" w:line="175" w:lineRule="exact"/>
        <w:rPr>
          <w:sz w:val="20"/>
          <w:szCs w:val="20"/>
          <w:color w:val="auto"/>
        </w:rPr>
      </w:pPr>
    </w:p>
    <w:p>
      <w:pPr>
        <w:ind w:right="560"/>
        <w:spacing w:after="0" w:line="282" w:lineRule="auto"/>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58"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No member of AFG’s Compensation Committee was at any time during 2019 or at any other time an officer or employee of the Company, and none had any relationship with the Company requiring disclosure as a related-person transaction. None of our executive officers served on the compensation committee (or its equivalent) or board of directors of another entity that has, or had during any time during 2019, an executive officer who served as a member of our board of directors or our Compensation Committee.</w:t>
      </w:r>
    </w:p>
    <w:p>
      <w:pPr>
        <w:spacing w:after="0" w:line="162"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Review, Approval or Ratification of Transactions with Related Persons</w:t>
      </w:r>
    </w:p>
    <w:p>
      <w:pPr>
        <w:spacing w:after="0" w:line="58"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Stock exchange rules require the Company to conduct an appropriate review of all related party transactions (including those required to be disclosed by the Company pursuant to SEC Regulation S-K Item 404) for potential conflict of interest situations on an ongoing basis and that all such transactions must be reviewed and evaluated by the</w:t>
      </w:r>
    </w:p>
    <w:p>
      <w:pPr>
        <w:spacing w:after="0" w:line="200" w:lineRule="exact"/>
        <w:rPr>
          <w:sz w:val="20"/>
          <w:szCs w:val="20"/>
          <w:color w:val="auto"/>
        </w:rPr>
      </w:pPr>
    </w:p>
    <w:p>
      <w:pPr>
        <w:sectPr>
          <w:pgSz w:w="11900" w:h="16838" w:orient="portrait"/>
          <w:cols w:equalWidth="0" w:num="2">
            <w:col w:w="5400" w:space="440"/>
            <w:col w:w="4320"/>
          </w:cols>
          <w:pgMar w:left="320" w:top="265" w:right="1419" w:bottom="1440" w:gutter="0" w:footer="0" w:header="0"/>
          <w:type w:val="continuous"/>
        </w:sectPr>
      </w:pPr>
    </w:p>
    <w:p>
      <w:pPr>
        <w:spacing w:after="0" w:line="77" w:lineRule="exact"/>
        <w:rPr>
          <w:sz w:val="20"/>
          <w:szCs w:val="20"/>
          <w:color w:val="auto"/>
        </w:rPr>
      </w:pPr>
    </w:p>
    <w:p>
      <w:pPr>
        <w:ind w:left="1160"/>
        <w:spacing w:after="0"/>
        <w:tabs>
          <w:tab w:leader="none" w:pos="9960" w:val="left"/>
        </w:tabs>
        <w:rPr>
          <w:sz w:val="20"/>
          <w:szCs w:val="20"/>
          <w:color w:val="auto"/>
        </w:rPr>
      </w:pPr>
      <w:r>
        <w:rPr>
          <w:rFonts w:ascii="Arial" w:cs="Arial" w:eastAsia="Arial" w:hAnsi="Arial"/>
          <w:sz w:val="16"/>
          <w:szCs w:val="16"/>
          <w:color w:val="auto"/>
        </w:rPr>
        <w:t>2020 Proxy Statement | Corporate Governance</w:t>
      </w:r>
      <w:r>
        <w:rPr>
          <w:sz w:val="20"/>
          <w:szCs w:val="20"/>
          <w:color w:val="auto"/>
        </w:rPr>
        <w:tab/>
      </w: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129540</wp:posOffset>
            </wp:positionV>
            <wp:extent cx="699516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160"/>
          </w:cols>
          <w:pgMar w:left="320" w:top="265" w:right="1419" w:bottom="1440" w:gutter="0" w:footer="0" w:header="0"/>
          <w:type w:val="continuous"/>
        </w:sectPr>
      </w:pPr>
    </w:p>
    <w:bookmarkStart w:id="28" w:name="page29"/>
    <w:bookmarkEnd w:id="28"/>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6515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651510"/>
                    </a:xfrm>
                    <a:prstGeom prst="rect">
                      <a:avLst/>
                    </a:prstGeom>
                    <a:noFill/>
                  </pic:spPr>
                </pic:pic>
              </a:graphicData>
            </a:graphic>
          </wp:anchor>
        </w:drawing>
      </w:r>
    </w:p>
    <w:p>
      <w:pPr>
        <w:sectPr>
          <w:pgSz w:w="11900" w:h="16838" w:orient="portrait"/>
          <w:cols w:equalWidth="0" w:num="1">
            <w:col w:w="10140"/>
          </w:cols>
          <w:pgMar w:left="320" w:top="265" w:right="1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080" w:right="160"/>
        <w:spacing w:after="0" w:line="267" w:lineRule="auto"/>
        <w:rPr>
          <w:sz w:val="20"/>
          <w:szCs w:val="20"/>
          <w:color w:val="auto"/>
        </w:rPr>
      </w:pPr>
      <w:r>
        <w:rPr>
          <w:rFonts w:ascii="Arial" w:cs="Arial" w:eastAsia="Arial" w:hAnsi="Arial"/>
          <w:sz w:val="17"/>
          <w:szCs w:val="17"/>
          <w:color w:val="auto"/>
        </w:rPr>
        <w:t>Audit Committee or another committee comprised of independent directors. The Audit Committee reviews and evaluates all transactions with related parties. In addition, our Audit Committee Charter provides that the Audit Committee review and approve all related party transactions involving directors, executive officers and significant shareholders of the Company that require disclosure pursuant to SEC Regulation S-K Item 404.</w:t>
      </w:r>
    </w:p>
    <w:p>
      <w:pPr>
        <w:spacing w:after="0" w:line="3" w:lineRule="exact"/>
        <w:rPr>
          <w:sz w:val="20"/>
          <w:szCs w:val="20"/>
          <w:color w:val="auto"/>
        </w:rPr>
      </w:pPr>
    </w:p>
    <w:p>
      <w:pPr>
        <w:ind w:left="1080"/>
        <w:spacing w:after="0" w:line="267" w:lineRule="auto"/>
        <w:rPr>
          <w:sz w:val="20"/>
          <w:szCs w:val="20"/>
          <w:color w:val="auto"/>
        </w:rPr>
      </w:pPr>
      <w:r>
        <w:rPr>
          <w:rFonts w:ascii="Arial" w:cs="Arial" w:eastAsia="Arial" w:hAnsi="Arial"/>
          <w:sz w:val="17"/>
          <w:szCs w:val="17"/>
          <w:color w:val="auto"/>
        </w:rPr>
        <w:t>In considering any transaction, the Committee may consider all relevant factors, including as applicable: the Company’s business rationale for entering into the transaction; the alternatives to entering into a related person transaction; whether the transaction is on terms comparable to those available to third parties, or in the case of employment relationships, to employees generally; the potential for the transaction to lead to an actual or apparent conflict of interest and any safeguards imposed to prevent such actual or apparent conflicts; and the overall fairness of the transaction to the Company.</w:t>
      </w:r>
    </w:p>
    <w:p>
      <w:pPr>
        <w:spacing w:after="0" w:line="78" w:lineRule="exact"/>
        <w:rPr>
          <w:sz w:val="20"/>
          <w:szCs w:val="20"/>
          <w:color w:val="auto"/>
        </w:rPr>
      </w:pPr>
    </w:p>
    <w:p>
      <w:pPr>
        <w:ind w:left="1080" w:right="20"/>
        <w:spacing w:after="0" w:line="254" w:lineRule="auto"/>
        <w:rPr>
          <w:sz w:val="20"/>
          <w:szCs w:val="20"/>
          <w:color w:val="auto"/>
        </w:rPr>
      </w:pPr>
      <w:r>
        <w:rPr>
          <w:rFonts w:ascii="Arial" w:cs="Arial" w:eastAsia="Arial" w:hAnsi="Arial"/>
          <w:sz w:val="18"/>
          <w:szCs w:val="18"/>
          <w:color w:val="auto"/>
        </w:rPr>
        <w:t>While the Company adheres to this policy for potential related person transactions, the policy is not in written form except as a part of listing agreements with the NYSE. However, approval of such related person transactions is evidenced by Audit Committee resolutions in accordance with our practice of reviewing and approving transactions in this manner.</w:t>
      </w:r>
    </w:p>
    <w:p>
      <w:pPr>
        <w:spacing w:after="0" w:line="87" w:lineRule="exact"/>
        <w:rPr>
          <w:sz w:val="20"/>
          <w:szCs w:val="20"/>
          <w:color w:val="auto"/>
        </w:rPr>
      </w:pPr>
    </w:p>
    <w:p>
      <w:pPr>
        <w:ind w:left="1080"/>
        <w:spacing w:after="0" w:line="286" w:lineRule="auto"/>
        <w:rPr>
          <w:sz w:val="20"/>
          <w:szCs w:val="20"/>
          <w:color w:val="auto"/>
        </w:rPr>
      </w:pPr>
      <w:r>
        <w:rPr>
          <w:rFonts w:ascii="Arial" w:cs="Arial" w:eastAsia="Arial" w:hAnsi="Arial"/>
          <w:sz w:val="16"/>
          <w:szCs w:val="16"/>
          <w:color w:val="auto"/>
        </w:rPr>
        <w:t>Other than as follows, there were no such transactions in 2019 requiring disclosure under applicable rules. During 2019, the Company employed a son of one of the Co-CEOs and a subsidiary of the Company employed the son-in-law of the other Co-CEO, both in executive positions, with such persons receiving salary and bonus of approximately $875,000 and $750,000 during 2019. Each individual also participates in employee benefit plans, including equity incentive plans, and is eligible to receive perquisites commensurate with his position and tenure with the Company. Mr. Consolino’s brother works in our annuity group and received approximately $241,000 in salary and incentive compensation during 2019.</w:t>
      </w:r>
    </w:p>
    <w:p>
      <w:pPr>
        <w:spacing w:after="0" w:line="66" w:lineRule="exact"/>
        <w:rPr>
          <w:sz w:val="20"/>
          <w:szCs w:val="20"/>
          <w:color w:val="auto"/>
        </w:rPr>
      </w:pPr>
    </w:p>
    <w:p>
      <w:pPr>
        <w:ind w:left="1080" w:right="420"/>
        <w:spacing w:after="0" w:line="296" w:lineRule="auto"/>
        <w:rPr>
          <w:sz w:val="20"/>
          <w:szCs w:val="20"/>
          <w:color w:val="auto"/>
        </w:rPr>
      </w:pPr>
      <w:r>
        <w:rPr>
          <w:rFonts w:ascii="Arial" w:cs="Arial" w:eastAsia="Arial" w:hAnsi="Arial"/>
          <w:sz w:val="16"/>
          <w:szCs w:val="16"/>
          <w:color w:val="auto"/>
        </w:rPr>
        <w:t>A brother-in-law of S. Craig Lindner is a Senior Vice President with Raymond James Financial, Inc. During 2019, Raymond James received commissions of approximately $140,000 for transactions made by the Company and its subsidiaries.</w:t>
      </w:r>
    </w:p>
    <w:p>
      <w:pPr>
        <w:spacing w:after="0" w:line="53" w:lineRule="exact"/>
        <w:rPr>
          <w:sz w:val="20"/>
          <w:szCs w:val="20"/>
          <w:color w:val="auto"/>
        </w:rPr>
      </w:pPr>
    </w:p>
    <w:p>
      <w:pPr>
        <w:ind w:left="1080" w:right="300"/>
        <w:spacing w:after="0" w:line="308" w:lineRule="auto"/>
        <w:rPr>
          <w:sz w:val="20"/>
          <w:szCs w:val="20"/>
          <w:color w:val="auto"/>
        </w:rPr>
      </w:pPr>
      <w:r>
        <w:rPr>
          <w:rFonts w:ascii="Arial" w:cs="Arial" w:eastAsia="Arial" w:hAnsi="Arial"/>
          <w:sz w:val="17"/>
          <w:szCs w:val="17"/>
          <w:color w:val="auto"/>
        </w:rPr>
        <w:t>FC Cincinnati Holdings LLC and its subsidiaries and affiliates (collectively, “FC Cincinnati”) is a member of</w:t>
      </w:r>
    </w:p>
    <w:p>
      <w:pPr>
        <w:spacing w:after="0" w:line="299"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2020 Proxy Statement | Corporate Governance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Major League Soccer and operates a professional soccer franchise in Cincinnati, Ohio. Carl H. Lindner III is the principal investor and Chief Executive Officer of FC Cincinnati and controls that entity by contract. The Company and its subsidiaries have several relationships with FC Cincinnati. The Company purchases tickets and merchandise from FC Cincinnati at rates generally offered to the public, as it has for many years purchased tickets and merchandise from other local professional franchises and universities. The Company and FC Cincinnati have lease and sublease agreements regarding Cincinnati real estate, and in 2019, FC Cincinnati acquired a building housing its headquarters from a subsidiary of the Company. Each of these real estate transactions was at market rates as would be entered into between unrelated third parties. These real estate transactions aggregated $215,475 in 2019 but will decrease substantially beginning in 2020. FC Cincinnati also purchases insurance policies from the Company under the same terms that would prevail between unrelated third parties. A brother of Mr. Joseph is a minority owner of FC Cincinnati.</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Delinquent Section 16(a) Reports</w:t>
      </w:r>
    </w:p>
    <w:p>
      <w:pPr>
        <w:spacing w:after="0" w:line="121" w:lineRule="exact"/>
        <w:rPr>
          <w:sz w:val="20"/>
          <w:szCs w:val="20"/>
          <w:color w:val="auto"/>
        </w:rPr>
      </w:pPr>
    </w:p>
    <w:p>
      <w:pPr>
        <w:ind w:right="140"/>
        <w:spacing w:after="0" w:line="288" w:lineRule="auto"/>
        <w:rPr>
          <w:sz w:val="20"/>
          <w:szCs w:val="20"/>
          <w:color w:val="auto"/>
        </w:rPr>
      </w:pPr>
      <w:r>
        <w:rPr>
          <w:rFonts w:ascii="Arial" w:cs="Arial" w:eastAsia="Arial" w:hAnsi="Arial"/>
          <w:sz w:val="16"/>
          <w:szCs w:val="16"/>
          <w:color w:val="auto"/>
        </w:rPr>
        <w:t>Section 16(a) of the Securities Exchange Act of 1934 requires AFG’s executive officers, directors and persons who own more than ten percent of AFG’s common shares to file reports of ownership with the SEC and to furnish AFG with copies of these reports. Like many companies, AFG assists its directors and officers by monitoring transactions and completing and filing Section 16 reports on their behalf. Based on the Company’s involvement in the preparation and review of these reports, the Company believes that all filing requirements were met in 2019.</w:t>
      </w:r>
    </w:p>
    <w:p>
      <w:pPr>
        <w:spacing w:after="0" w:line="164"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Pre-Approval of Services Provided by the Independent Registered Public Accounting Firm</w:t>
      </w:r>
    </w:p>
    <w:p>
      <w:pPr>
        <w:spacing w:after="0" w:line="58"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 xml:space="preserve">The Audit Committee has adopted policies that require pre-approval for any audit and non-audit services to be provided to AFG by Ernst &amp; Young LLP. The Audit Committee delegated authority to the Committee Chairman to pre-approve certain non-audit services which arise between meetings of the Audit Committee. Pursuant to these procedures and delegation of authority, the Audit Committee was informed of and pre-approved all of the audit and other services described above. No services were provided with respect to the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waiver process provided by rules of the SEC.</w:t>
      </w:r>
    </w:p>
    <w:p>
      <w:pPr>
        <w:spacing w:after="0" w:line="29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-3634105</wp:posOffset>
            </wp:positionH>
            <wp:positionV relativeFrom="paragraph">
              <wp:posOffset>129540</wp:posOffset>
            </wp:positionV>
            <wp:extent cx="699516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5400" w:space="440"/>
            <w:col w:w="4300"/>
          </w:cols>
          <w:pgMar w:left="320" w:top="265" w:right="1439" w:bottom="1440" w:gutter="0" w:footer="0" w:header="0"/>
          <w:type w:val="continuous"/>
        </w:sectPr>
      </w:pPr>
    </w:p>
    <w:bookmarkStart w:id="29" w:name="page30"/>
    <w:bookmarkEnd w:id="29"/>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6515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080"/>
        <w:spacing w:after="0"/>
        <w:rPr>
          <w:sz w:val="20"/>
          <w:szCs w:val="20"/>
          <w:color w:val="auto"/>
        </w:rPr>
      </w:pPr>
      <w:r>
        <w:rPr>
          <w:rFonts w:ascii="Arial" w:cs="Arial" w:eastAsia="Arial" w:hAnsi="Arial"/>
          <w:sz w:val="31"/>
          <w:szCs w:val="31"/>
          <w:b w:val="1"/>
          <w:bCs w:val="1"/>
          <w:color w:val="002875"/>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268605</wp:posOffset>
            </wp:positionV>
            <wp:extent cx="5760720" cy="41833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60720" cy="4183380"/>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Named Executive Officers</w:t>
      </w:r>
    </w:p>
    <w:p>
      <w:pPr>
        <w:spacing w:after="0" w:line="2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In this section, we describe the material components of our executive compensation program for our named executive</w:t>
      </w:r>
    </w:p>
    <w:p>
      <w:pPr>
        <w:spacing w:after="0" w:line="140" w:lineRule="exact"/>
        <w:rPr>
          <w:sz w:val="20"/>
          <w:szCs w:val="20"/>
          <w:color w:val="auto"/>
        </w:rPr>
      </w:pPr>
    </w:p>
    <w:p>
      <w:pPr>
        <w:ind w:left="1300" w:right="220"/>
        <w:spacing w:after="0" w:line="311" w:lineRule="auto"/>
        <w:rPr>
          <w:sz w:val="20"/>
          <w:szCs w:val="20"/>
          <w:color w:val="auto"/>
        </w:rPr>
      </w:pPr>
      <w:r>
        <w:rPr>
          <w:rFonts w:ascii="Arial" w:cs="Arial" w:eastAsia="Arial" w:hAnsi="Arial"/>
          <w:sz w:val="16"/>
          <w:szCs w:val="16"/>
          <w:color w:val="auto"/>
        </w:rPr>
        <w:t>officers whose compensation is displayed in the 2019 Summary Compensation Table and the other compensation tables contained in this proxy statement. We also provide an overview of our executive compensation philosophy and we explain how and why the Compensation Committee arrives at specific compensation policies and decisions.</w:t>
      </w:r>
    </w:p>
    <w:p>
      <w:pPr>
        <w:spacing w:after="0" w:line="189" w:lineRule="exact"/>
        <w:rPr>
          <w:sz w:val="20"/>
          <w:szCs w:val="20"/>
          <w:color w:val="auto"/>
        </w:rPr>
      </w:pPr>
    </w:p>
    <w:p>
      <w:pPr>
        <w:ind w:left="1300" w:right="120"/>
        <w:spacing w:after="0" w:line="308" w:lineRule="auto"/>
        <w:rPr>
          <w:sz w:val="20"/>
          <w:szCs w:val="20"/>
          <w:color w:val="auto"/>
        </w:rPr>
      </w:pPr>
      <w:r>
        <w:rPr>
          <w:rFonts w:ascii="Arial" w:cs="Arial" w:eastAsia="Arial" w:hAnsi="Arial"/>
          <w:sz w:val="17"/>
          <w:szCs w:val="17"/>
          <w:color w:val="auto"/>
        </w:rPr>
        <w:t>Our 2019 named executive officers are our Co-Chief Executive Officers (“Co-CEOs”), principal financial officer and the three other most highly compensated executive officers employed at the end of 2019. These persons include:</w:t>
      </w:r>
    </w:p>
    <w:p>
      <w:pPr>
        <w:spacing w:after="0" w:line="187" w:lineRule="exact"/>
        <w:rPr>
          <w:sz w:val="20"/>
          <w:szCs w:val="20"/>
          <w:color w:val="auto"/>
        </w:rPr>
      </w:pPr>
    </w:p>
    <w:p>
      <w:pPr>
        <w:ind w:left="1940" w:hanging="361"/>
        <w:spacing w:after="0"/>
        <w:tabs>
          <w:tab w:leader="none" w:pos="1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Carl H. Lindner III</w:t>
      </w:r>
    </w:p>
    <w:p>
      <w:pPr>
        <w:spacing w:after="0" w:line="23" w:lineRule="exact"/>
        <w:rPr>
          <w:rFonts w:ascii="Arial" w:cs="Arial" w:eastAsia="Arial" w:hAnsi="Arial"/>
          <w:sz w:val="18"/>
          <w:szCs w:val="18"/>
          <w:color w:val="auto"/>
        </w:rPr>
      </w:pPr>
    </w:p>
    <w:p>
      <w:pPr>
        <w:ind w:left="1940"/>
        <w:spacing w:after="0"/>
        <w:rPr>
          <w:rFonts w:ascii="Arial" w:cs="Arial" w:eastAsia="Arial" w:hAnsi="Arial"/>
          <w:sz w:val="18"/>
          <w:szCs w:val="18"/>
          <w:color w:val="auto"/>
        </w:rPr>
      </w:pPr>
      <w:r>
        <w:rPr>
          <w:rFonts w:ascii="Arial" w:cs="Arial" w:eastAsia="Arial" w:hAnsi="Arial"/>
          <w:sz w:val="18"/>
          <w:szCs w:val="18"/>
          <w:color w:val="auto"/>
        </w:rPr>
        <w:t>Co-Chief Executive Officer and Co-President (Co-Principal Executive Officer)</w:t>
      </w:r>
    </w:p>
    <w:p>
      <w:pPr>
        <w:spacing w:after="0" w:line="251" w:lineRule="exact"/>
        <w:rPr>
          <w:rFonts w:ascii="Arial" w:cs="Arial" w:eastAsia="Arial" w:hAnsi="Arial"/>
          <w:sz w:val="18"/>
          <w:szCs w:val="18"/>
          <w:color w:val="auto"/>
        </w:rPr>
      </w:pPr>
    </w:p>
    <w:p>
      <w:pPr>
        <w:ind w:left="1940" w:hanging="361"/>
        <w:spacing w:after="0"/>
        <w:tabs>
          <w:tab w:leader="none" w:pos="1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 Craig Lindner</w:t>
      </w:r>
    </w:p>
    <w:p>
      <w:pPr>
        <w:spacing w:after="0" w:line="23" w:lineRule="exact"/>
        <w:rPr>
          <w:rFonts w:ascii="Arial" w:cs="Arial" w:eastAsia="Arial" w:hAnsi="Arial"/>
          <w:sz w:val="18"/>
          <w:szCs w:val="18"/>
          <w:color w:val="auto"/>
        </w:rPr>
      </w:pPr>
    </w:p>
    <w:p>
      <w:pPr>
        <w:ind w:left="1940"/>
        <w:spacing w:after="0"/>
        <w:rPr>
          <w:rFonts w:ascii="Arial" w:cs="Arial" w:eastAsia="Arial" w:hAnsi="Arial"/>
          <w:sz w:val="18"/>
          <w:szCs w:val="18"/>
          <w:color w:val="auto"/>
        </w:rPr>
      </w:pPr>
      <w:r>
        <w:rPr>
          <w:rFonts w:ascii="Arial" w:cs="Arial" w:eastAsia="Arial" w:hAnsi="Arial"/>
          <w:sz w:val="18"/>
          <w:szCs w:val="18"/>
          <w:color w:val="auto"/>
        </w:rPr>
        <w:t>Co-Chief Executive Officer and Co-President (Co-Principal Executive Officer)</w:t>
      </w:r>
    </w:p>
    <w:p>
      <w:pPr>
        <w:spacing w:after="0" w:line="251" w:lineRule="exact"/>
        <w:rPr>
          <w:rFonts w:ascii="Arial" w:cs="Arial" w:eastAsia="Arial" w:hAnsi="Arial"/>
          <w:sz w:val="18"/>
          <w:szCs w:val="18"/>
          <w:color w:val="auto"/>
        </w:rPr>
      </w:pPr>
    </w:p>
    <w:p>
      <w:pPr>
        <w:ind w:left="1940" w:hanging="361"/>
        <w:spacing w:after="0"/>
        <w:tabs>
          <w:tab w:leader="none" w:pos="1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Joseph E. (Jeff) Consolino</w:t>
      </w:r>
    </w:p>
    <w:p>
      <w:pPr>
        <w:spacing w:after="0" w:line="23" w:lineRule="exact"/>
        <w:rPr>
          <w:rFonts w:ascii="Arial" w:cs="Arial" w:eastAsia="Arial" w:hAnsi="Arial"/>
          <w:sz w:val="18"/>
          <w:szCs w:val="18"/>
          <w:color w:val="auto"/>
        </w:rPr>
      </w:pPr>
    </w:p>
    <w:p>
      <w:pPr>
        <w:ind w:left="1940"/>
        <w:spacing w:after="0"/>
        <w:rPr>
          <w:rFonts w:ascii="Arial" w:cs="Arial" w:eastAsia="Arial" w:hAnsi="Arial"/>
          <w:sz w:val="18"/>
          <w:szCs w:val="18"/>
          <w:color w:val="auto"/>
        </w:rPr>
      </w:pPr>
      <w:r>
        <w:rPr>
          <w:rFonts w:ascii="Arial" w:cs="Arial" w:eastAsia="Arial" w:hAnsi="Arial"/>
          <w:sz w:val="18"/>
          <w:szCs w:val="18"/>
          <w:color w:val="auto"/>
        </w:rPr>
        <w:t>Executive Vice President and Chief Financial Officer (Principal Financial Officer)</w:t>
      </w:r>
    </w:p>
    <w:p>
      <w:pPr>
        <w:spacing w:after="0" w:line="251" w:lineRule="exact"/>
        <w:rPr>
          <w:rFonts w:ascii="Arial" w:cs="Arial" w:eastAsia="Arial" w:hAnsi="Arial"/>
          <w:sz w:val="18"/>
          <w:szCs w:val="18"/>
          <w:color w:val="auto"/>
        </w:rPr>
      </w:pPr>
    </w:p>
    <w:p>
      <w:pPr>
        <w:ind w:left="1940" w:hanging="361"/>
        <w:spacing w:after="0"/>
        <w:tabs>
          <w:tab w:leader="none" w:pos="1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John B. Berding</w:t>
      </w:r>
    </w:p>
    <w:p>
      <w:pPr>
        <w:spacing w:after="0" w:line="23" w:lineRule="exact"/>
        <w:rPr>
          <w:rFonts w:ascii="Arial" w:cs="Arial" w:eastAsia="Arial" w:hAnsi="Arial"/>
          <w:sz w:val="18"/>
          <w:szCs w:val="18"/>
          <w:color w:val="auto"/>
        </w:rPr>
      </w:pPr>
    </w:p>
    <w:p>
      <w:pPr>
        <w:ind w:left="1940"/>
        <w:spacing w:after="0"/>
        <w:rPr>
          <w:rFonts w:ascii="Arial" w:cs="Arial" w:eastAsia="Arial" w:hAnsi="Arial"/>
          <w:sz w:val="18"/>
          <w:szCs w:val="18"/>
          <w:color w:val="auto"/>
        </w:rPr>
      </w:pPr>
      <w:r>
        <w:rPr>
          <w:rFonts w:ascii="Arial" w:cs="Arial" w:eastAsia="Arial" w:hAnsi="Arial"/>
          <w:sz w:val="18"/>
          <w:szCs w:val="18"/>
          <w:color w:val="auto"/>
        </w:rPr>
        <w:t>President of American Money Management</w:t>
      </w:r>
    </w:p>
    <w:p>
      <w:pPr>
        <w:spacing w:after="0" w:line="251" w:lineRule="exact"/>
        <w:rPr>
          <w:rFonts w:ascii="Arial" w:cs="Arial" w:eastAsia="Arial" w:hAnsi="Arial"/>
          <w:sz w:val="18"/>
          <w:szCs w:val="18"/>
          <w:color w:val="auto"/>
        </w:rPr>
      </w:pPr>
    </w:p>
    <w:p>
      <w:pPr>
        <w:ind w:left="1940" w:hanging="361"/>
        <w:spacing w:after="0"/>
        <w:tabs>
          <w:tab w:leader="none" w:pos="1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Michelle A. Gillis</w:t>
      </w:r>
    </w:p>
    <w:p>
      <w:pPr>
        <w:spacing w:after="0" w:line="23" w:lineRule="exact"/>
        <w:rPr>
          <w:rFonts w:ascii="Arial" w:cs="Arial" w:eastAsia="Arial" w:hAnsi="Arial"/>
          <w:sz w:val="18"/>
          <w:szCs w:val="18"/>
          <w:color w:val="auto"/>
        </w:rPr>
      </w:pPr>
    </w:p>
    <w:p>
      <w:pPr>
        <w:ind w:left="1940"/>
        <w:spacing w:after="0"/>
        <w:rPr>
          <w:rFonts w:ascii="Arial" w:cs="Arial" w:eastAsia="Arial" w:hAnsi="Arial"/>
          <w:sz w:val="18"/>
          <w:szCs w:val="18"/>
          <w:color w:val="auto"/>
        </w:rPr>
      </w:pPr>
      <w:r>
        <w:rPr>
          <w:rFonts w:ascii="Arial" w:cs="Arial" w:eastAsia="Arial" w:hAnsi="Arial"/>
          <w:sz w:val="18"/>
          <w:szCs w:val="18"/>
          <w:color w:val="auto"/>
        </w:rPr>
        <w:t>Senior Vice President and Chief Administrative Officer</w:t>
      </w:r>
    </w:p>
    <w:p>
      <w:pPr>
        <w:spacing w:after="0" w:line="251" w:lineRule="exact"/>
        <w:rPr>
          <w:rFonts w:ascii="Arial" w:cs="Arial" w:eastAsia="Arial" w:hAnsi="Arial"/>
          <w:sz w:val="18"/>
          <w:szCs w:val="18"/>
          <w:color w:val="auto"/>
        </w:rPr>
      </w:pPr>
    </w:p>
    <w:p>
      <w:pPr>
        <w:ind w:left="1940" w:hanging="361"/>
        <w:spacing w:after="0"/>
        <w:tabs>
          <w:tab w:leader="none" w:pos="1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Vito C. Peraino</w:t>
      </w:r>
    </w:p>
    <w:p>
      <w:pPr>
        <w:spacing w:after="0" w:line="23" w:lineRule="exact"/>
        <w:rPr>
          <w:rFonts w:ascii="Arial" w:cs="Arial" w:eastAsia="Arial" w:hAnsi="Arial"/>
          <w:sz w:val="18"/>
          <w:szCs w:val="18"/>
          <w:color w:val="auto"/>
        </w:rPr>
      </w:pPr>
    </w:p>
    <w:p>
      <w:pPr>
        <w:ind w:left="1940"/>
        <w:spacing w:after="0"/>
        <w:rPr>
          <w:rFonts w:ascii="Arial" w:cs="Arial" w:eastAsia="Arial" w:hAnsi="Arial"/>
          <w:sz w:val="18"/>
          <w:szCs w:val="18"/>
          <w:color w:val="auto"/>
        </w:rPr>
      </w:pPr>
      <w:r>
        <w:rPr>
          <w:rFonts w:ascii="Arial" w:cs="Arial" w:eastAsia="Arial" w:hAnsi="Arial"/>
          <w:sz w:val="18"/>
          <w:szCs w:val="18"/>
          <w:color w:val="auto"/>
        </w:rPr>
        <w:t>Senior Vice President and General Counsel</w:t>
      </w:r>
    </w:p>
    <w:p>
      <w:pPr>
        <w:sectPr>
          <w:pgSz w:w="11900" w:h="16838" w:orient="portrait"/>
          <w:cols w:equalWidth="0" w:num="1">
            <w:col w:w="10140"/>
          </w:cols>
          <w:pgMar w:left="320" w:top="265" w:right="1439" w:bottom="1002" w:gutter="0" w:footer="0" w:header="0"/>
        </w:sectPr>
      </w:pPr>
    </w:p>
    <w:p>
      <w:pPr>
        <w:spacing w:after="0" w:line="283" w:lineRule="exact"/>
        <w:rPr>
          <w:sz w:val="20"/>
          <w:szCs w:val="20"/>
          <w:color w:val="auto"/>
        </w:rPr>
      </w:pPr>
    </w:p>
    <w:p>
      <w:pPr>
        <w:ind w:left="1080"/>
        <w:spacing w:after="0"/>
        <w:rPr>
          <w:sz w:val="20"/>
          <w:szCs w:val="20"/>
          <w:color w:val="auto"/>
        </w:rPr>
      </w:pPr>
      <w:r>
        <w:rPr>
          <w:rFonts w:ascii="Arial" w:cs="Arial" w:eastAsia="Arial" w:hAnsi="Arial"/>
          <w:sz w:val="20"/>
          <w:szCs w:val="20"/>
          <w:b w:val="1"/>
          <w:bCs w:val="1"/>
          <w:color w:val="3F3F3F"/>
        </w:rPr>
        <w:t>Overview of Compensation Program</w:t>
      </w:r>
    </w:p>
    <w:p>
      <w:pPr>
        <w:spacing w:after="0" w:line="116" w:lineRule="exact"/>
        <w:rPr>
          <w:sz w:val="20"/>
          <w:szCs w:val="20"/>
          <w:color w:val="auto"/>
        </w:rPr>
      </w:pPr>
    </w:p>
    <w:p>
      <w:pPr>
        <w:ind w:left="1080" w:right="60"/>
        <w:spacing w:after="0" w:line="269" w:lineRule="auto"/>
        <w:rPr>
          <w:sz w:val="20"/>
          <w:szCs w:val="20"/>
          <w:color w:val="auto"/>
        </w:rPr>
      </w:pPr>
      <w:r>
        <w:rPr>
          <w:rFonts w:ascii="Arial" w:cs="Arial" w:eastAsia="Arial" w:hAnsi="Arial"/>
          <w:sz w:val="17"/>
          <w:szCs w:val="17"/>
          <w:color w:val="auto"/>
        </w:rPr>
        <w:t>The Compensation Committee of the Board of Directors has responsibility for reviewing and approving the compensation paid to the Company’s Co-CEOs and reviewing the compensation of the other Company senior executive officers and overseeing the executive compensation policies of the Company. The Compensation Committee also acts as the oversight committee with respect to the Company’s cash and equity incentive plans. The Compensation Committee ensures that the total compensation paid to the named executive officers is fair, reasonable and competitive.</w:t>
      </w:r>
    </w:p>
    <w:p>
      <w:pPr>
        <w:spacing w:after="0" w:line="74" w:lineRule="exact"/>
        <w:rPr>
          <w:sz w:val="20"/>
          <w:szCs w:val="20"/>
          <w:color w:val="auto"/>
        </w:rPr>
      </w:pPr>
    </w:p>
    <w:p>
      <w:pPr>
        <w:ind w:left="1080"/>
        <w:spacing w:after="0" w:line="288" w:lineRule="auto"/>
        <w:rPr>
          <w:sz w:val="20"/>
          <w:szCs w:val="20"/>
          <w:color w:val="auto"/>
        </w:rPr>
      </w:pPr>
      <w:r>
        <w:rPr>
          <w:rFonts w:ascii="Arial" w:cs="Arial" w:eastAsia="Arial" w:hAnsi="Arial"/>
          <w:sz w:val="16"/>
          <w:szCs w:val="16"/>
          <w:color w:val="auto"/>
        </w:rPr>
        <w:t>AFG’s philosophy regarding executive compensation programs focuses on the balance of attracting, motivating, retaining and rewarding executives with a compensation package competitive among its peers and maximizing shareholder value by designing and implementing programs that tie compensation earned to the short-term and long-term performance of the Company. In linking pay to performance, the Compensation Committee compares the Company to a group of publicly-held insurance holding companies (collectively, the “Compensation Peer Group”).</w:t>
      </w:r>
    </w:p>
    <w:p>
      <w:pPr>
        <w:spacing w:after="0" w:line="20" w:lineRule="exact"/>
        <w:rPr>
          <w:sz w:val="20"/>
          <w:szCs w:val="20"/>
          <w:color w:val="auto"/>
        </w:rPr>
      </w:pPr>
      <w:r>
        <w:rPr>
          <w:sz w:val="20"/>
          <w:szCs w:val="20"/>
          <w:color w:val="auto"/>
        </w:rPr>
        <w:br w:type="column"/>
      </w:r>
    </w:p>
    <w:p>
      <w:pPr>
        <w:spacing w:after="0" w:line="258"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Guided by principles that reinforce the Company’s pay-for-performance philosophy, named executive officer compensation includes base salary; annual performance-based cash bonuses; long-term stock incentives; cash awards based on long-term performance; and other compensation, including certain perquisites. A significant portion of each named executive officer’s compensation is dependent upon the Company achieving business and financial goals.</w:t>
      </w:r>
    </w:p>
    <w:p>
      <w:pPr>
        <w:spacing w:after="0" w:line="73"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AFG annually holds an advisory vote on the compensation of its named executive officers, commonly referred to as a Say-on-Pay vote. Our shareholders approved the compensation of our named executive officers, with 86% and 94% of votes cast in 2019 and 2018, respectively, in favor of our Say-on-Pay resolution.</w:t>
      </w:r>
    </w:p>
    <w:p>
      <w:pPr>
        <w:spacing w:after="0" w:line="56"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color w:val="auto"/>
        </w:rPr>
        <w:t>The Compensation Committee believes that the result of the advisory vote is valuable in assessing its compensation decisions and considers each year’s vote in its annual review of the Company’s executive compensation programs. In considering 2019 compensation,</w:t>
      </w:r>
    </w:p>
    <w:p>
      <w:pPr>
        <w:spacing w:after="0" w:line="2"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the Compensation Committee concluded that the 2018 performance of our named executive officers was excellent. The Compensation Committee evaluated the Company’s 2018 record core net operating earnings per share, which</w:t>
      </w:r>
    </w:p>
    <w:p>
      <w:pPr>
        <w:spacing w:after="0" w:line="200" w:lineRule="exact"/>
        <w:rPr>
          <w:sz w:val="20"/>
          <w:szCs w:val="20"/>
          <w:color w:val="auto"/>
        </w:rPr>
      </w:pPr>
    </w:p>
    <w:p>
      <w:pPr>
        <w:sectPr>
          <w:pgSz w:w="11900" w:h="16838" w:orient="portrait"/>
          <w:cols w:equalWidth="0" w:num="2">
            <w:col w:w="5400" w:space="440"/>
            <w:col w:w="4300"/>
          </w:cols>
          <w:pgMar w:left="320" w:top="265" w:right="1439" w:bottom="1002" w:gutter="0" w:footer="0" w:header="0"/>
          <w:type w:val="continuous"/>
        </w:sectPr>
      </w:pPr>
    </w:p>
    <w:p>
      <w:pPr>
        <w:spacing w:after="0" w:line="74" w:lineRule="exact"/>
        <w:rPr>
          <w:sz w:val="20"/>
          <w:szCs w:val="20"/>
          <w:color w:val="auto"/>
        </w:rPr>
      </w:pPr>
    </w:p>
    <w:p>
      <w:pPr>
        <w:ind w:left="1160"/>
        <w:spacing w:after="0"/>
        <w:tabs>
          <w:tab w:leader="none" w:pos="9960" w:val="left"/>
        </w:tabs>
        <w:rPr>
          <w:sz w:val="20"/>
          <w:szCs w:val="20"/>
          <w:color w:val="auto"/>
        </w:rPr>
      </w:pPr>
      <w:r>
        <w:rPr>
          <w:rFonts w:ascii="Arial" w:cs="Arial" w:eastAsia="Arial" w:hAnsi="Arial"/>
          <w:sz w:val="16"/>
          <w:szCs w:val="16"/>
          <w:color w:val="auto"/>
        </w:rPr>
        <w:t>2020 Proxy Statement | Compensation Discussion and Analysis</w:t>
      </w:r>
      <w:r>
        <w:rPr>
          <w:sz w:val="20"/>
          <w:szCs w:val="20"/>
          <w:color w:val="auto"/>
        </w:rPr>
        <w:tab/>
      </w: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129540</wp:posOffset>
            </wp:positionV>
            <wp:extent cx="699516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140"/>
          </w:cols>
          <w:pgMar w:left="320" w:top="265" w:right="1439" w:bottom="1002" w:gutter="0" w:footer="0" w:header="0"/>
          <w:type w:val="continuous"/>
        </w:sectPr>
      </w:pPr>
    </w:p>
    <w:bookmarkStart w:id="30" w:name="page31"/>
    <w:bookmarkEnd w:id="30"/>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6515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651510"/>
                    </a:xfrm>
                    <a:prstGeom prst="rect">
                      <a:avLst/>
                    </a:prstGeom>
                    <a:noFill/>
                  </pic:spPr>
                </pic:pic>
              </a:graphicData>
            </a:graphic>
          </wp:anchor>
        </w:drawing>
      </w:r>
    </w:p>
    <w:p>
      <w:pPr>
        <w:sectPr>
          <w:pgSz w:w="11900" w:h="16838" w:orient="portrait"/>
          <w:cols w:equalWidth="0" w:num="1">
            <w:col w:w="10160"/>
          </w:cols>
          <w:pgMar w:left="320" w:top="265"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080" w:right="60"/>
        <w:spacing w:after="0" w:line="253" w:lineRule="auto"/>
        <w:rPr>
          <w:sz w:val="20"/>
          <w:szCs w:val="20"/>
          <w:color w:val="auto"/>
        </w:rPr>
      </w:pPr>
      <w:r>
        <w:rPr>
          <w:rFonts w:ascii="Arial" w:cs="Arial" w:eastAsia="Arial" w:hAnsi="Arial"/>
          <w:sz w:val="18"/>
          <w:szCs w:val="18"/>
          <w:color w:val="auto"/>
        </w:rPr>
        <w:t>increased by 28% over 2017 performance, despite the significant downturn in financial markets during the fourth quarter of 2018 which had a significant impact on the results of the Annuity segment. The Compensation Committee determined that the Co-CEOs and other named executive officers were rewarded, largely in the form of bonuses and awards based on Company performance, consistent with the Company’s pay-for-performance philosophy.</w:t>
      </w:r>
    </w:p>
    <w:p>
      <w:pPr>
        <w:spacing w:after="0" w:line="242" w:lineRule="exact"/>
        <w:rPr>
          <w:sz w:val="20"/>
          <w:szCs w:val="20"/>
          <w:color w:val="auto"/>
        </w:rPr>
      </w:pPr>
    </w:p>
    <w:p>
      <w:pPr>
        <w:ind w:left="1080"/>
        <w:spacing w:after="0"/>
        <w:rPr>
          <w:sz w:val="20"/>
          <w:szCs w:val="20"/>
          <w:color w:val="auto"/>
        </w:rPr>
      </w:pPr>
      <w:r>
        <w:rPr>
          <w:rFonts w:ascii="Arial" w:cs="Arial" w:eastAsia="Arial" w:hAnsi="Arial"/>
          <w:sz w:val="20"/>
          <w:szCs w:val="20"/>
          <w:b w:val="1"/>
          <w:bCs w:val="1"/>
          <w:color w:val="3F3F3F"/>
        </w:rPr>
        <w:t>CEO Compensation</w:t>
      </w:r>
    </w:p>
    <w:p>
      <w:pPr>
        <w:spacing w:after="0" w:line="116" w:lineRule="exact"/>
        <w:rPr>
          <w:sz w:val="20"/>
          <w:szCs w:val="20"/>
          <w:color w:val="auto"/>
        </w:rPr>
      </w:pPr>
    </w:p>
    <w:p>
      <w:pPr>
        <w:ind w:left="1080"/>
        <w:spacing w:after="0" w:line="282" w:lineRule="auto"/>
        <w:rPr>
          <w:sz w:val="20"/>
          <w:szCs w:val="20"/>
          <w:color w:val="auto"/>
        </w:rPr>
      </w:pPr>
      <w:r>
        <w:rPr>
          <w:rFonts w:ascii="Arial" w:cs="Arial" w:eastAsia="Arial" w:hAnsi="Arial"/>
          <w:sz w:val="16"/>
          <w:szCs w:val="16"/>
          <w:color w:val="auto"/>
        </w:rPr>
        <w:t>The Company has Co-CEOs serving as principal executive officers. The Compensation Committee recognizes that the Company does not have a separate, non-principal executive officer president or chief operating officer, and the Company also does not have numerous additional senior officer designations seen at other public companies because the Co-CEOs have assumed responsibility for each such role. The Co-CEOs work together with regard to overall corporate strategy and planning, as well as in assessing and managing enterprise risks. Key factors affecting the Compensation Committee’s judgment with respect to the Co-CEOs include the nature and scope of their responsibilities and their effectiveness in leading initiatives to effectively manage capital and increase sustainable shareholder value, productivity, profitability and growth. The design of the compensation programs for the Co-CEOs reflects the Company’s leadership structure which is discussed in more detail above under</w:t>
      </w:r>
    </w:p>
    <w:p>
      <w:pPr>
        <w:spacing w:after="0" w:line="11" w:lineRule="exact"/>
        <w:rPr>
          <w:sz w:val="20"/>
          <w:szCs w:val="20"/>
          <w:color w:val="auto"/>
        </w:rPr>
      </w:pPr>
    </w:p>
    <w:p>
      <w:pPr>
        <w:ind w:left="1080" w:right="620"/>
        <w:spacing w:after="0" w:line="323" w:lineRule="auto"/>
        <w:rPr>
          <w:rFonts w:ascii="Arial" w:cs="Arial" w:eastAsia="Arial" w:hAnsi="Arial"/>
          <w:sz w:val="16"/>
          <w:szCs w:val="16"/>
          <w:color w:val="auto"/>
        </w:rPr>
      </w:pPr>
      <w:r>
        <w:rPr>
          <w:rFonts w:ascii="Arial" w:cs="Arial" w:eastAsia="Arial" w:hAnsi="Arial"/>
          <w:sz w:val="16"/>
          <w:szCs w:val="16"/>
          <w:color w:val="auto"/>
        </w:rPr>
        <w:t xml:space="preserve">“Company Information—Corporate Governance— Leadership Structure” beginning on page </w:t>
      </w:r>
      <w:hyperlink w:anchor="page26">
        <w:r>
          <w:rPr>
            <w:rFonts w:ascii="Arial" w:cs="Arial" w:eastAsia="Arial" w:hAnsi="Arial"/>
            <w:sz w:val="16"/>
            <w:szCs w:val="16"/>
            <w:u w:val="single" w:color="auto"/>
            <w:color w:val="0000EE"/>
          </w:rPr>
          <w:t>19</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w:t>
      </w:r>
    </w:p>
    <w:p>
      <w:pPr>
        <w:spacing w:after="0" w:line="30" w:lineRule="exact"/>
        <w:rPr>
          <w:sz w:val="20"/>
          <w:szCs w:val="20"/>
          <w:color w:val="auto"/>
        </w:rPr>
      </w:pPr>
    </w:p>
    <w:p>
      <w:pPr>
        <w:ind w:left="1080"/>
        <w:spacing w:after="0" w:line="268" w:lineRule="auto"/>
        <w:rPr>
          <w:sz w:val="20"/>
          <w:szCs w:val="20"/>
          <w:color w:val="auto"/>
        </w:rPr>
      </w:pPr>
      <w:r>
        <w:rPr>
          <w:rFonts w:ascii="Arial" w:cs="Arial" w:eastAsia="Arial" w:hAnsi="Arial"/>
          <w:sz w:val="17"/>
          <w:szCs w:val="17"/>
          <w:color w:val="auto"/>
        </w:rPr>
        <w:t>With respect to the Co-CEOs, as in prior years, the Compensation Committee determined that the quantifiable measurements for each Co-CEO should be identical because the Compensation Committee believes that the Co-CEOs are ultimately jointly responsible for the achievement of the Company’s objectives. Carl H.</w:t>
      </w:r>
    </w:p>
    <w:p>
      <w:pPr>
        <w:spacing w:after="0" w:line="1" w:lineRule="exact"/>
        <w:rPr>
          <w:sz w:val="20"/>
          <w:szCs w:val="20"/>
          <w:color w:val="auto"/>
        </w:rPr>
      </w:pPr>
    </w:p>
    <w:p>
      <w:pPr>
        <w:ind w:left="1080" w:right="60"/>
        <w:spacing w:after="0" w:line="281" w:lineRule="auto"/>
        <w:rPr>
          <w:sz w:val="20"/>
          <w:szCs w:val="20"/>
          <w:color w:val="auto"/>
        </w:rPr>
      </w:pPr>
      <w:r>
        <w:rPr>
          <w:rFonts w:ascii="Arial" w:cs="Arial" w:eastAsia="Arial" w:hAnsi="Arial"/>
          <w:sz w:val="16"/>
          <w:szCs w:val="16"/>
          <w:color w:val="auto"/>
        </w:rPr>
        <w:t>Lindner III also serves as CEO of AFG’s Property and Casualty Insurance Group and is primarily responsible for AFG’s property and casualty insurance operations and investor relations. S. Craig Lindner also serves as Chief Executive Officer of Great American Financial Resources, Inc. and is primarily responsible for AFG’s annuity operations and investment portfolio. Despite their different primary responsibilities, the Compensation Committee views the roles of the Co-CEOs as collaborative, as opposed to competitive, and does not seek to distinguish the performance of one from the other. Rather, the Compensation Committee scrutinized the Co-CEOs’ collective role in AFG’s achievement of operating targets, the development of management personnel,</w:t>
      </w:r>
    </w:p>
    <w:p>
      <w:pPr>
        <w:spacing w:after="0" w:line="8" w:lineRule="exact"/>
        <w:rPr>
          <w:sz w:val="20"/>
          <w:szCs w:val="20"/>
          <w:color w:val="auto"/>
        </w:rPr>
      </w:pPr>
    </w:p>
    <w:p>
      <w:pPr>
        <w:ind w:left="1080" w:right="120"/>
        <w:spacing w:after="0" w:line="302" w:lineRule="auto"/>
        <w:rPr>
          <w:sz w:val="20"/>
          <w:szCs w:val="20"/>
          <w:color w:val="auto"/>
        </w:rPr>
      </w:pPr>
      <w:r>
        <w:rPr>
          <w:rFonts w:ascii="Arial" w:cs="Arial" w:eastAsia="Arial" w:hAnsi="Arial"/>
          <w:sz w:val="16"/>
          <w:szCs w:val="16"/>
          <w:color w:val="auto"/>
        </w:rPr>
        <w:t>the performance of the investment portfolio and the development and implementation of strategic transactions and initiatives to enhance shareholder value.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The Compensation Committee believes that the evaluation by certain institutional investors and proxy advisory firms of the Company’s pay for performance alignment is distorted by combining the compensation of the two Co-CEOs and representing that the combined compensation reflects “CEO” compensation. The Compensation Committee believes that this view skews compensation analysis and unfairly penalizes the Company for its leadership structure that the Company has determined is in the best interests of shareholders. As a result, when evaluating annual overall compensation to named executive officers, consistent with the approach of certain institutional investors and proxy advisory firms, the Compensation Committee considers the compensation of the highest-paid Co-CEO as “CEO compensation” and includes the other Co-CEO in its analysis as one of the three highest-paid, non-Chief Financial Officer officers.</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color w:val="3F3F3F"/>
        </w:rPr>
        <w:t>Establishing Total Compensation Levels</w:t>
      </w:r>
    </w:p>
    <w:p>
      <w:pPr>
        <w:spacing w:after="0" w:line="116"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The Compensation Committee believes, after discussions with the Co-CEOs, that compensation levels for the Co-CEOs should be based primarily upon the Compensation Committee’s assessment of their leadership performance and potential to enhance long-term sustainable shareholder value. The Compensation Committee relies upon a combination of judgment and guidelines in determining the amount and mix of compensation elements for the Co-CEOs. The compensation levels for the other named executive officers are similarly determined by the Co-CEOs, and reviewed by the Compensation Committee, again based primarily upon the assessment of each named executive officer’s leadership performance and potential to enhance long-term sustainable shareholder value.</w:t>
      </w:r>
    </w:p>
    <w:p>
      <w:pPr>
        <w:spacing w:after="0" w:line="63"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The Compensation Committee and the Co-CEOs analyze peer groups, including the Compensation Peer Group, and industry pay rates at least annually in reviewing the appropriateness and competitiveness of the Company’s compensation programs. In analyzing market pay levels among the Compensation Peer Group, the Compensation Committee factors into its analysis the variance in size (both in terms of revenues and market capitalization) among the companies.</w:t>
      </w:r>
    </w:p>
    <w:p>
      <w:pPr>
        <w:spacing w:after="0" w:line="7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Compensation Committee utilizes the peer and industry review as a point of reference for measurement and not as a determinative factor. Although the Company seeks to offer a level of total compensation to named executive officers that is competitive with the compensation paid by companies in the Compensation Peer Group, the Company does not target or benchmark a particular percentile with respect to our executives’ total pay packages or any individual components of pay. Rather, the compensation levels and performance of the companies in the Compensation Peer Group constitute one of the many factors considered by the Compensation Committee and</w:t>
      </w:r>
    </w:p>
    <w:p>
      <w:pPr>
        <w:spacing w:after="0" w:line="200" w:lineRule="exact"/>
        <w:rPr>
          <w:sz w:val="20"/>
          <w:szCs w:val="20"/>
          <w:color w:val="auto"/>
        </w:rPr>
      </w:pPr>
    </w:p>
    <w:p>
      <w:pPr>
        <w:sectPr>
          <w:pgSz w:w="11900" w:h="16838" w:orient="portrait"/>
          <w:cols w:equalWidth="0" w:num="2">
            <w:col w:w="5380" w:space="460"/>
            <w:col w:w="4320"/>
          </w:cols>
          <w:pgMar w:left="320" w:top="265" w:right="1419" w:bottom="1440" w:gutter="0" w:footer="0" w:header="0"/>
          <w:type w:val="continuous"/>
        </w:sectPr>
      </w:pPr>
    </w:p>
    <w:p>
      <w:pPr>
        <w:spacing w:after="0" w:line="80" w:lineRule="exact"/>
        <w:rPr>
          <w:sz w:val="20"/>
          <w:szCs w:val="20"/>
          <w:color w:val="auto"/>
        </w:rPr>
      </w:pPr>
    </w:p>
    <w:p>
      <w:pPr>
        <w:ind w:left="1160"/>
        <w:spacing w:after="0"/>
        <w:tabs>
          <w:tab w:leader="none" w:pos="9960" w:val="left"/>
        </w:tabs>
        <w:rPr>
          <w:sz w:val="20"/>
          <w:szCs w:val="20"/>
          <w:color w:val="auto"/>
        </w:rPr>
      </w:pPr>
      <w:r>
        <w:rPr>
          <w:rFonts w:ascii="Arial" w:cs="Arial" w:eastAsia="Arial" w:hAnsi="Arial"/>
          <w:sz w:val="16"/>
          <w:szCs w:val="16"/>
          <w:color w:val="auto"/>
        </w:rPr>
        <w:t>2020 Proxy Statement | Compensation Discussion and Analysis</w:t>
      </w:r>
      <w:r>
        <w:rPr>
          <w:sz w:val="20"/>
          <w:szCs w:val="20"/>
          <w:color w:val="auto"/>
        </w:rPr>
        <w:tab/>
      </w: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129540</wp:posOffset>
            </wp:positionV>
            <wp:extent cx="699516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160"/>
          </w:cols>
          <w:pgMar w:left="320" w:top="265" w:right="1419" w:bottom="1440" w:gutter="0" w:footer="0" w:header="0"/>
          <w:type w:val="continuous"/>
        </w:sectPr>
      </w:pPr>
    </w:p>
    <w:bookmarkStart w:id="31" w:name="page32"/>
    <w:bookmarkEnd w:id="31"/>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6515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651510"/>
                    </a:xfrm>
                    <a:prstGeom prst="rect">
                      <a:avLst/>
                    </a:prstGeom>
                    <a:noFill/>
                  </pic:spPr>
                </pic:pic>
              </a:graphicData>
            </a:graphic>
          </wp:anchor>
        </w:drawing>
      </w:r>
    </w:p>
    <w:p>
      <w:pPr>
        <w:sectPr>
          <w:pgSz w:w="11900" w:h="16838" w:orient="portrait"/>
          <w:cols w:equalWidth="0" w:num="1">
            <w:col w:w="10160"/>
          </w:cols>
          <w:pgMar w:left="320" w:top="265" w:right="1419" w:bottom="113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080"/>
        <w:spacing w:after="0" w:line="291" w:lineRule="auto"/>
        <w:rPr>
          <w:sz w:val="20"/>
          <w:szCs w:val="20"/>
          <w:color w:val="auto"/>
        </w:rPr>
      </w:pPr>
      <w:r>
        <w:rPr>
          <w:rFonts w:ascii="Arial" w:cs="Arial" w:eastAsia="Arial" w:hAnsi="Arial"/>
          <w:sz w:val="16"/>
          <w:szCs w:val="16"/>
          <w:color w:val="auto"/>
        </w:rPr>
        <w:t>described in this Compensation Discussion and Analysis. The Compensation Peer Group, which the Compensation Committee annually reviews and updates when appropriate, is designed to reflect the Company’s business mix and to consist of companies against which the Compensation Committee believes AFG competes for talent and for shareholder investment and in the marketplace for business.</w:t>
      </w:r>
    </w:p>
    <w:p>
      <w:pPr>
        <w:spacing w:after="0" w:line="58" w:lineRule="exact"/>
        <w:rPr>
          <w:sz w:val="20"/>
          <w:szCs w:val="20"/>
          <w:color w:val="auto"/>
        </w:rPr>
      </w:pPr>
    </w:p>
    <w:p>
      <w:pPr>
        <w:ind w:left="1080"/>
        <w:spacing w:after="0" w:line="259" w:lineRule="auto"/>
        <w:rPr>
          <w:sz w:val="20"/>
          <w:szCs w:val="20"/>
          <w:color w:val="auto"/>
        </w:rPr>
      </w:pPr>
      <w:r>
        <w:rPr>
          <w:rFonts w:ascii="Arial" w:cs="Arial" w:eastAsia="Arial" w:hAnsi="Arial"/>
          <w:sz w:val="18"/>
          <w:szCs w:val="18"/>
          <w:color w:val="auto"/>
        </w:rPr>
        <w:t>Below is the Compensation Peer Group reviewed, approved and utilized by the Compensation Committee for 2019. The Compensation Peer Group is identical to the one utilized for 2018.</w:t>
      </w:r>
    </w:p>
    <w:p>
      <w:pPr>
        <w:spacing w:after="0" w:line="79" w:lineRule="exact"/>
        <w:rPr>
          <w:sz w:val="20"/>
          <w:szCs w:val="20"/>
          <w:color w:val="auto"/>
        </w:rPr>
      </w:pPr>
    </w:p>
    <w:p>
      <w:pPr>
        <w:ind w:left="1800" w:hanging="352"/>
        <w:spacing w:after="0"/>
        <w:tabs>
          <w:tab w:leader="none" w:pos="1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Alleghany Corporation</w:t>
      </w:r>
    </w:p>
    <w:p>
      <w:pPr>
        <w:spacing w:after="0" w:line="23" w:lineRule="exact"/>
        <w:rPr>
          <w:rFonts w:ascii="Arial" w:cs="Arial" w:eastAsia="Arial" w:hAnsi="Arial"/>
          <w:sz w:val="18"/>
          <w:szCs w:val="18"/>
          <w:color w:val="auto"/>
        </w:rPr>
      </w:pPr>
    </w:p>
    <w:p>
      <w:pPr>
        <w:ind w:left="1800" w:hanging="352"/>
        <w:spacing w:after="0"/>
        <w:tabs>
          <w:tab w:leader="none" w:pos="1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Arch Capital Group Ltd.</w:t>
      </w:r>
    </w:p>
    <w:p>
      <w:pPr>
        <w:spacing w:after="0" w:line="9" w:lineRule="exact"/>
        <w:rPr>
          <w:rFonts w:ascii="Arial" w:cs="Arial" w:eastAsia="Arial" w:hAnsi="Arial"/>
          <w:sz w:val="18"/>
          <w:szCs w:val="18"/>
          <w:color w:val="auto"/>
        </w:rPr>
      </w:pPr>
    </w:p>
    <w:p>
      <w:pPr>
        <w:ind w:left="1800" w:hanging="352"/>
        <w:spacing w:after="0"/>
        <w:tabs>
          <w:tab w:leader="none" w:pos="1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Assurant Inc.</w:t>
      </w:r>
    </w:p>
    <w:p>
      <w:pPr>
        <w:spacing w:after="0" w:line="9" w:lineRule="exact"/>
        <w:rPr>
          <w:rFonts w:ascii="Arial" w:cs="Arial" w:eastAsia="Arial" w:hAnsi="Arial"/>
          <w:sz w:val="18"/>
          <w:szCs w:val="18"/>
          <w:color w:val="auto"/>
        </w:rPr>
      </w:pPr>
    </w:p>
    <w:p>
      <w:pPr>
        <w:ind w:left="1800" w:hanging="352"/>
        <w:spacing w:after="0"/>
        <w:tabs>
          <w:tab w:leader="none" w:pos="1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Chubb Limited</w:t>
      </w:r>
    </w:p>
    <w:p>
      <w:pPr>
        <w:spacing w:after="0" w:line="9" w:lineRule="exact"/>
        <w:rPr>
          <w:rFonts w:ascii="Arial" w:cs="Arial" w:eastAsia="Arial" w:hAnsi="Arial"/>
          <w:sz w:val="18"/>
          <w:szCs w:val="18"/>
          <w:color w:val="auto"/>
        </w:rPr>
      </w:pPr>
    </w:p>
    <w:p>
      <w:pPr>
        <w:ind w:left="1800" w:hanging="352"/>
        <w:spacing w:after="0"/>
        <w:tabs>
          <w:tab w:leader="none" w:pos="1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Cincinnati Financial Corporation</w:t>
      </w:r>
    </w:p>
    <w:p>
      <w:pPr>
        <w:spacing w:after="0" w:line="9" w:lineRule="exact"/>
        <w:rPr>
          <w:rFonts w:ascii="Arial" w:cs="Arial" w:eastAsia="Arial" w:hAnsi="Arial"/>
          <w:sz w:val="18"/>
          <w:szCs w:val="18"/>
          <w:color w:val="auto"/>
        </w:rPr>
      </w:pPr>
    </w:p>
    <w:p>
      <w:pPr>
        <w:ind w:left="1800" w:hanging="352"/>
        <w:spacing w:after="0"/>
        <w:tabs>
          <w:tab w:leader="none" w:pos="1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CNA Financial Corp.</w:t>
      </w:r>
    </w:p>
    <w:p>
      <w:pPr>
        <w:spacing w:after="0" w:line="9" w:lineRule="exact"/>
        <w:rPr>
          <w:rFonts w:ascii="Arial" w:cs="Arial" w:eastAsia="Arial" w:hAnsi="Arial"/>
          <w:sz w:val="18"/>
          <w:szCs w:val="18"/>
          <w:color w:val="auto"/>
        </w:rPr>
      </w:pPr>
    </w:p>
    <w:p>
      <w:pPr>
        <w:ind w:left="1800" w:hanging="352"/>
        <w:spacing w:after="0"/>
        <w:tabs>
          <w:tab w:leader="none" w:pos="1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Hartford Financial Services Group, Inc.</w:t>
      </w:r>
    </w:p>
    <w:p>
      <w:pPr>
        <w:spacing w:after="0" w:line="9" w:lineRule="exact"/>
        <w:rPr>
          <w:rFonts w:ascii="Arial" w:cs="Arial" w:eastAsia="Arial" w:hAnsi="Arial"/>
          <w:sz w:val="18"/>
          <w:szCs w:val="18"/>
          <w:color w:val="auto"/>
        </w:rPr>
      </w:pPr>
    </w:p>
    <w:p>
      <w:pPr>
        <w:ind w:left="1800" w:hanging="352"/>
        <w:spacing w:after="0"/>
        <w:tabs>
          <w:tab w:leader="none" w:pos="1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Lincoln National Corporation</w:t>
      </w:r>
    </w:p>
    <w:p>
      <w:pPr>
        <w:spacing w:after="0" w:line="9" w:lineRule="exact"/>
        <w:rPr>
          <w:rFonts w:ascii="Arial" w:cs="Arial" w:eastAsia="Arial" w:hAnsi="Arial"/>
          <w:sz w:val="18"/>
          <w:szCs w:val="18"/>
          <w:color w:val="auto"/>
        </w:rPr>
      </w:pPr>
    </w:p>
    <w:p>
      <w:pPr>
        <w:ind w:left="1800" w:hanging="352"/>
        <w:spacing w:after="0"/>
        <w:tabs>
          <w:tab w:leader="none" w:pos="1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Markel Corporation</w:t>
      </w:r>
    </w:p>
    <w:p>
      <w:pPr>
        <w:spacing w:after="0" w:line="9" w:lineRule="exact"/>
        <w:rPr>
          <w:rFonts w:ascii="Arial" w:cs="Arial" w:eastAsia="Arial" w:hAnsi="Arial"/>
          <w:sz w:val="18"/>
          <w:szCs w:val="18"/>
          <w:color w:val="auto"/>
        </w:rPr>
      </w:pPr>
    </w:p>
    <w:p>
      <w:pPr>
        <w:ind w:left="1800" w:hanging="352"/>
        <w:spacing w:after="0"/>
        <w:tabs>
          <w:tab w:leader="none" w:pos="1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RLI Corp.</w:t>
      </w:r>
    </w:p>
    <w:p>
      <w:pPr>
        <w:spacing w:after="0" w:line="9" w:lineRule="exact"/>
        <w:rPr>
          <w:rFonts w:ascii="Arial" w:cs="Arial" w:eastAsia="Arial" w:hAnsi="Arial"/>
          <w:sz w:val="18"/>
          <w:szCs w:val="18"/>
          <w:color w:val="auto"/>
        </w:rPr>
      </w:pPr>
    </w:p>
    <w:p>
      <w:pPr>
        <w:ind w:left="1800" w:hanging="352"/>
        <w:spacing w:after="0"/>
        <w:tabs>
          <w:tab w:leader="none" w:pos="1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Voya Financial, Inc.</w:t>
      </w:r>
    </w:p>
    <w:p>
      <w:pPr>
        <w:spacing w:after="0" w:line="9" w:lineRule="exact"/>
        <w:rPr>
          <w:rFonts w:ascii="Arial" w:cs="Arial" w:eastAsia="Arial" w:hAnsi="Arial"/>
          <w:sz w:val="18"/>
          <w:szCs w:val="18"/>
          <w:color w:val="auto"/>
        </w:rPr>
      </w:pPr>
    </w:p>
    <w:p>
      <w:pPr>
        <w:ind w:left="1800" w:hanging="352"/>
        <w:spacing w:after="0"/>
        <w:tabs>
          <w:tab w:leader="none" w:pos="1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 R. Berkley Corporation</w:t>
      </w:r>
    </w:p>
    <w:p>
      <w:pPr>
        <w:spacing w:after="0" w:line="103" w:lineRule="exact"/>
        <w:rPr>
          <w:sz w:val="20"/>
          <w:szCs w:val="20"/>
          <w:color w:val="auto"/>
        </w:rPr>
      </w:pPr>
    </w:p>
    <w:p>
      <w:pPr>
        <w:ind w:left="1080"/>
        <w:spacing w:after="0" w:line="286" w:lineRule="auto"/>
        <w:rPr>
          <w:sz w:val="20"/>
          <w:szCs w:val="20"/>
          <w:color w:val="auto"/>
        </w:rPr>
      </w:pPr>
      <w:r>
        <w:rPr>
          <w:rFonts w:ascii="Arial" w:cs="Arial" w:eastAsia="Arial" w:hAnsi="Arial"/>
          <w:sz w:val="16"/>
          <w:szCs w:val="16"/>
          <w:color w:val="auto"/>
        </w:rPr>
        <w:t>Based upon all these factors, the Compensation Committee believes it is in AFG shareholders’ best long-term interest for the Compensation Committee to ensure that the overall level of compensation is competitive with companies in the Compensation Peer Group. The Compensation Committee continues to believe that the quality, skills and dedication of executive leaders are critical factors that drive the long-term value of the Company. Therefore, the Compensation Committee and the Co-CEOs continue to try to maintain an executive compensation program that will attract, motivate, retain and reward the highest level of executive leadership possible and align the interests of AFG’s executives with those of AFG’s shareholders.</w:t>
      </w:r>
    </w:p>
    <w:p>
      <w:pPr>
        <w:spacing w:after="0" w:line="66" w:lineRule="exact"/>
        <w:rPr>
          <w:sz w:val="20"/>
          <w:szCs w:val="20"/>
          <w:color w:val="auto"/>
        </w:rPr>
      </w:pPr>
    </w:p>
    <w:p>
      <w:pPr>
        <w:ind w:left="1080" w:right="20"/>
        <w:spacing w:after="0" w:line="286" w:lineRule="auto"/>
        <w:rPr>
          <w:sz w:val="20"/>
          <w:szCs w:val="20"/>
          <w:color w:val="auto"/>
        </w:rPr>
      </w:pPr>
      <w:r>
        <w:rPr>
          <w:rFonts w:ascii="Arial" w:cs="Arial" w:eastAsia="Arial" w:hAnsi="Arial"/>
          <w:sz w:val="16"/>
          <w:szCs w:val="16"/>
          <w:color w:val="auto"/>
        </w:rPr>
        <w:t>The Compensation Committee’s decisions concerning the specific 2019 compensation elements for the Co-CEOs were made within this framework. The Compensation Committee also considered each Co-CEO’s performance and prior-year salary, bonus and other compensation. In all cases, specific decisions involving 2019 compensation were ultimately based upon the Compensation Committee’s judgment about the Co-CEOs’ performance, potential future contributions and about whether each particular payment or award would provide an appropriate incentive and reward for performance that sustains and enhances long-term shareholder value without subjecting the Company to inappropriate or unreasonable risk.</w:t>
      </w:r>
    </w:p>
    <w:p>
      <w:pPr>
        <w:spacing w:after="0" w:line="66" w:lineRule="exact"/>
        <w:rPr>
          <w:sz w:val="20"/>
          <w:szCs w:val="20"/>
          <w:color w:val="auto"/>
        </w:rPr>
      </w:pPr>
    </w:p>
    <w:p>
      <w:pPr>
        <w:ind w:left="1080" w:right="20"/>
        <w:spacing w:after="0" w:line="301" w:lineRule="auto"/>
        <w:rPr>
          <w:sz w:val="20"/>
          <w:szCs w:val="20"/>
          <w:color w:val="auto"/>
        </w:rPr>
      </w:pPr>
      <w:r>
        <w:rPr>
          <w:rFonts w:ascii="Arial" w:cs="Arial" w:eastAsia="Arial" w:hAnsi="Arial"/>
          <w:sz w:val="16"/>
          <w:szCs w:val="16"/>
          <w:color w:val="auto"/>
        </w:rPr>
        <w:t>Among the data annually reviewed by the Compensation Committee in evaluating total compensation for the named executive officers is the Company’s total shareholder return (stock price appreciation plus dividends) as compared 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indices which include the Company, particularly the S&amp;P 400 Midcap Index and S&amp;P 500 Insurance Index. The table below shows the Company’s total shareholder return over the one, three and five-year periods ending December 31, 2019 as compared to these indices:</w:t>
      </w:r>
    </w:p>
    <w:p>
      <w:pPr>
        <w:spacing w:after="0" w:line="157" w:lineRule="exact"/>
        <w:rPr>
          <w:sz w:val="20"/>
          <w:szCs w:val="20"/>
          <w:color w:val="auto"/>
        </w:rPr>
      </w:pPr>
    </w:p>
    <w:tbl>
      <w:tblPr>
        <w:tblLayout w:type="fixed"/>
        <w:tblInd w:w="10" w:type="dxa"/>
        <w:tblCellMar>
          <w:top w:w="0" w:type="dxa"/>
          <w:left w:w="0" w:type="dxa"/>
          <w:bottom w:w="0" w:type="dxa"/>
          <w:right w:w="0" w:type="dxa"/>
        </w:tblCellMar>
      </w:tblPr>
      <w:tr>
        <w:trPr>
          <w:trHeight w:val="338"/>
        </w:trPr>
        <w:tc>
          <w:tcPr>
            <w:tcW w:w="740" w:type="dxa"/>
            <w:vAlign w:val="bottom"/>
            <w:tcBorders>
              <w:top w:val="single" w:sz="8" w:color="auto"/>
              <w:left w:val="single" w:sz="8" w:color="auto"/>
            </w:tcBorders>
            <w:shd w:val="clear" w:color="auto" w:fill="BFBFBF"/>
          </w:tcPr>
          <w:p>
            <w:pPr>
              <w:spacing w:after="0"/>
              <w:rPr>
                <w:sz w:val="24"/>
                <w:szCs w:val="24"/>
                <w:color w:val="auto"/>
              </w:rPr>
            </w:pPr>
          </w:p>
        </w:tc>
        <w:tc>
          <w:tcPr>
            <w:tcW w:w="1160" w:type="dxa"/>
            <w:vAlign w:val="bottom"/>
            <w:tcBorders>
              <w:top w:val="single" w:sz="8" w:color="auto"/>
              <w:right w:val="single" w:sz="8" w:color="auto"/>
            </w:tcBorders>
            <w:shd w:val="clear" w:color="auto" w:fill="BFBFBF"/>
          </w:tcPr>
          <w:p>
            <w:pPr>
              <w:spacing w:after="0"/>
              <w:rPr>
                <w:sz w:val="24"/>
                <w:szCs w:val="24"/>
                <w:color w:val="auto"/>
              </w:rPr>
            </w:pPr>
          </w:p>
        </w:tc>
        <w:tc>
          <w:tcPr>
            <w:tcW w:w="2420" w:type="dxa"/>
            <w:vAlign w:val="bottom"/>
            <w:tcBorders>
              <w:top w:val="single" w:sz="8" w:color="auto"/>
              <w:right w:val="single" w:sz="8" w:color="auto"/>
            </w:tcBorders>
            <w:gridSpan w:val="3"/>
            <w:shd w:val="clear" w:color="auto" w:fill="BFBFBF"/>
          </w:tcPr>
          <w:p>
            <w:pPr>
              <w:ind w:left="40"/>
              <w:spacing w:after="0"/>
              <w:rPr>
                <w:sz w:val="20"/>
                <w:szCs w:val="20"/>
                <w:color w:val="auto"/>
              </w:rPr>
            </w:pPr>
            <w:r>
              <w:rPr>
                <w:rFonts w:ascii="Arial" w:cs="Arial" w:eastAsia="Arial" w:hAnsi="Arial"/>
                <w:sz w:val="18"/>
                <w:szCs w:val="18"/>
                <w:b w:val="1"/>
                <w:bCs w:val="1"/>
                <w:color w:val="auto"/>
                <w:w w:val="93"/>
              </w:rPr>
              <w:t>Total Shareholder Return (%)</w:t>
            </w:r>
          </w:p>
        </w:tc>
      </w:tr>
      <w:tr>
        <w:trPr>
          <w:trHeight w:val="68"/>
        </w:trPr>
        <w:tc>
          <w:tcPr>
            <w:tcW w:w="740" w:type="dxa"/>
            <w:vAlign w:val="bottom"/>
            <w:tcBorders>
              <w:left w:val="single" w:sz="8" w:color="auto"/>
              <w:bottom w:val="single" w:sz="8" w:color="BFBFBF"/>
            </w:tcBorders>
            <w:shd w:val="clear" w:color="auto" w:fill="BFBFBF"/>
          </w:tcPr>
          <w:p>
            <w:pPr>
              <w:spacing w:after="0"/>
              <w:rPr>
                <w:sz w:val="5"/>
                <w:szCs w:val="5"/>
                <w:color w:val="auto"/>
              </w:rPr>
            </w:pPr>
          </w:p>
        </w:tc>
        <w:tc>
          <w:tcPr>
            <w:tcW w:w="1160" w:type="dxa"/>
            <w:vAlign w:val="bottom"/>
            <w:tcBorders>
              <w:bottom w:val="single" w:sz="8" w:color="BFBFBF"/>
              <w:right w:val="single" w:sz="8" w:color="auto"/>
            </w:tcBorders>
            <w:shd w:val="clear" w:color="auto" w:fill="BFBFBF"/>
          </w:tcPr>
          <w:p>
            <w:pPr>
              <w:spacing w:after="0"/>
              <w:rPr>
                <w:sz w:val="5"/>
                <w:szCs w:val="5"/>
                <w:color w:val="auto"/>
              </w:rPr>
            </w:pPr>
          </w:p>
        </w:tc>
        <w:tc>
          <w:tcPr>
            <w:tcW w:w="760" w:type="dxa"/>
            <w:vAlign w:val="bottom"/>
            <w:tcBorders>
              <w:bottom w:val="single" w:sz="8" w:color="auto"/>
              <w:right w:val="single" w:sz="8" w:color="BFBFBF"/>
            </w:tcBorders>
            <w:shd w:val="clear" w:color="auto" w:fill="BFBFBF"/>
          </w:tcPr>
          <w:p>
            <w:pPr>
              <w:spacing w:after="0"/>
              <w:rPr>
                <w:sz w:val="5"/>
                <w:szCs w:val="5"/>
                <w:color w:val="auto"/>
              </w:rPr>
            </w:pPr>
          </w:p>
        </w:tc>
        <w:tc>
          <w:tcPr>
            <w:tcW w:w="820" w:type="dxa"/>
            <w:vAlign w:val="bottom"/>
            <w:tcBorders>
              <w:bottom w:val="single" w:sz="8" w:color="auto"/>
              <w:right w:val="single" w:sz="8" w:color="BFBFBF"/>
            </w:tcBorders>
            <w:shd w:val="clear" w:color="auto" w:fill="BFBFBF"/>
          </w:tcPr>
          <w:p>
            <w:pPr>
              <w:spacing w:after="0"/>
              <w:rPr>
                <w:sz w:val="5"/>
                <w:szCs w:val="5"/>
                <w:color w:val="auto"/>
              </w:rPr>
            </w:pPr>
          </w:p>
        </w:tc>
        <w:tc>
          <w:tcPr>
            <w:tcW w:w="840" w:type="dxa"/>
            <w:vAlign w:val="bottom"/>
            <w:tcBorders>
              <w:bottom w:val="single" w:sz="8" w:color="auto"/>
              <w:right w:val="single" w:sz="8" w:color="auto"/>
            </w:tcBorders>
            <w:shd w:val="clear" w:color="auto" w:fill="BFBFBF"/>
          </w:tcPr>
          <w:p>
            <w:pPr>
              <w:spacing w:after="0"/>
              <w:rPr>
                <w:sz w:val="5"/>
                <w:szCs w:val="5"/>
                <w:color w:val="auto"/>
              </w:rPr>
            </w:pPr>
          </w:p>
        </w:tc>
      </w:tr>
      <w:tr>
        <w:trPr>
          <w:trHeight w:val="259"/>
        </w:trPr>
        <w:tc>
          <w:tcPr>
            <w:tcW w:w="740" w:type="dxa"/>
            <w:vAlign w:val="bottom"/>
            <w:tcBorders>
              <w:left w:val="single" w:sz="8" w:color="auto"/>
            </w:tcBorders>
            <w:shd w:val="clear" w:color="auto" w:fill="BFBFBF"/>
          </w:tcPr>
          <w:p>
            <w:pPr>
              <w:spacing w:after="0"/>
              <w:rPr>
                <w:sz w:val="22"/>
                <w:szCs w:val="22"/>
                <w:color w:val="auto"/>
              </w:rPr>
            </w:pPr>
          </w:p>
        </w:tc>
        <w:tc>
          <w:tcPr>
            <w:tcW w:w="1160" w:type="dxa"/>
            <w:vAlign w:val="bottom"/>
            <w:tcBorders>
              <w:right w:val="single" w:sz="8" w:color="auto"/>
            </w:tcBorders>
            <w:shd w:val="clear" w:color="auto" w:fill="BFBFBF"/>
          </w:tcPr>
          <w:p>
            <w:pPr>
              <w:spacing w:after="0"/>
              <w:rPr>
                <w:sz w:val="22"/>
                <w:szCs w:val="22"/>
                <w:color w:val="auto"/>
              </w:rPr>
            </w:pPr>
          </w:p>
        </w:tc>
        <w:tc>
          <w:tcPr>
            <w:tcW w:w="760" w:type="dxa"/>
            <w:vAlign w:val="bottom"/>
            <w:tcBorders>
              <w:right w:val="single" w:sz="8" w:color="auto"/>
            </w:tcBorders>
            <w:shd w:val="clear" w:color="auto" w:fill="BFBFBF"/>
          </w:tcPr>
          <w:p>
            <w:pPr>
              <w:ind w:left="180"/>
              <w:spacing w:after="0"/>
              <w:rPr>
                <w:sz w:val="20"/>
                <w:szCs w:val="20"/>
                <w:color w:val="auto"/>
              </w:rPr>
            </w:pPr>
            <w:r>
              <w:rPr>
                <w:rFonts w:ascii="Arial" w:cs="Arial" w:eastAsia="Arial" w:hAnsi="Arial"/>
                <w:sz w:val="18"/>
                <w:szCs w:val="18"/>
                <w:b w:val="1"/>
                <w:bCs w:val="1"/>
                <w:color w:val="auto"/>
              </w:rPr>
              <w:t>One</w:t>
            </w:r>
          </w:p>
        </w:tc>
        <w:tc>
          <w:tcPr>
            <w:tcW w:w="820" w:type="dxa"/>
            <w:vAlign w:val="bottom"/>
            <w:tcBorders>
              <w:right w:val="single" w:sz="8" w:color="auto"/>
            </w:tcBorders>
            <w:shd w:val="clear" w:color="auto" w:fill="BFBFBF"/>
          </w:tcPr>
          <w:p>
            <w:pPr>
              <w:jc w:val="right"/>
              <w:ind w:right="130"/>
              <w:spacing w:after="0"/>
              <w:rPr>
                <w:sz w:val="20"/>
                <w:szCs w:val="20"/>
                <w:color w:val="auto"/>
              </w:rPr>
            </w:pPr>
            <w:r>
              <w:rPr>
                <w:rFonts w:ascii="Arial" w:cs="Arial" w:eastAsia="Arial" w:hAnsi="Arial"/>
                <w:sz w:val="18"/>
                <w:szCs w:val="18"/>
                <w:b w:val="1"/>
                <w:bCs w:val="1"/>
                <w:color w:val="auto"/>
              </w:rPr>
              <w:t>Three</w:t>
            </w:r>
          </w:p>
        </w:tc>
        <w:tc>
          <w:tcPr>
            <w:tcW w:w="840" w:type="dxa"/>
            <w:vAlign w:val="bottom"/>
            <w:tcBorders>
              <w:right w:val="single" w:sz="8" w:color="auto"/>
            </w:tcBorders>
            <w:shd w:val="clear" w:color="auto" w:fill="BFBFBF"/>
          </w:tcPr>
          <w:p>
            <w:pPr>
              <w:jc w:val="right"/>
              <w:ind w:right="190"/>
              <w:spacing w:after="0"/>
              <w:rPr>
                <w:sz w:val="20"/>
                <w:szCs w:val="20"/>
                <w:color w:val="auto"/>
              </w:rPr>
            </w:pPr>
            <w:r>
              <w:rPr>
                <w:rFonts w:ascii="Arial" w:cs="Arial" w:eastAsia="Arial" w:hAnsi="Arial"/>
                <w:sz w:val="18"/>
                <w:szCs w:val="18"/>
                <w:b w:val="1"/>
                <w:bCs w:val="1"/>
                <w:color w:val="auto"/>
              </w:rPr>
              <w:t>Five</w:t>
            </w:r>
          </w:p>
        </w:tc>
      </w:tr>
      <w:tr>
        <w:trPr>
          <w:trHeight w:val="234"/>
        </w:trPr>
        <w:tc>
          <w:tcPr>
            <w:tcW w:w="740" w:type="dxa"/>
            <w:vAlign w:val="bottom"/>
            <w:tcBorders>
              <w:left w:val="single" w:sz="8" w:color="auto"/>
            </w:tcBorders>
            <w:shd w:val="clear" w:color="auto" w:fill="BFBFBF"/>
          </w:tcPr>
          <w:p>
            <w:pPr>
              <w:spacing w:after="0"/>
              <w:rPr>
                <w:sz w:val="20"/>
                <w:szCs w:val="20"/>
                <w:color w:val="auto"/>
              </w:rPr>
            </w:pPr>
          </w:p>
        </w:tc>
        <w:tc>
          <w:tcPr>
            <w:tcW w:w="1160" w:type="dxa"/>
            <w:vAlign w:val="bottom"/>
            <w:tcBorders>
              <w:right w:val="single" w:sz="8" w:color="auto"/>
            </w:tcBorders>
            <w:shd w:val="clear" w:color="auto" w:fill="BFBFBF"/>
          </w:tcPr>
          <w:p>
            <w:pPr>
              <w:spacing w:after="0"/>
              <w:rPr>
                <w:sz w:val="20"/>
                <w:szCs w:val="20"/>
                <w:color w:val="auto"/>
              </w:rPr>
            </w:pPr>
          </w:p>
        </w:tc>
        <w:tc>
          <w:tcPr>
            <w:tcW w:w="760" w:type="dxa"/>
            <w:vAlign w:val="bottom"/>
            <w:tcBorders>
              <w:right w:val="single" w:sz="8" w:color="auto"/>
            </w:tcBorders>
            <w:shd w:val="clear" w:color="auto" w:fill="BFBFBF"/>
          </w:tcPr>
          <w:p>
            <w:pPr>
              <w:ind w:left="180"/>
              <w:spacing w:after="0"/>
              <w:rPr>
                <w:sz w:val="20"/>
                <w:szCs w:val="20"/>
                <w:color w:val="auto"/>
              </w:rPr>
            </w:pPr>
            <w:r>
              <w:rPr>
                <w:rFonts w:ascii="Arial" w:cs="Arial" w:eastAsia="Arial" w:hAnsi="Arial"/>
                <w:sz w:val="18"/>
                <w:szCs w:val="18"/>
                <w:b w:val="1"/>
                <w:bCs w:val="1"/>
                <w:color w:val="auto"/>
              </w:rPr>
              <w:t>Year</w:t>
            </w:r>
          </w:p>
        </w:tc>
        <w:tc>
          <w:tcPr>
            <w:tcW w:w="820" w:type="dxa"/>
            <w:vAlign w:val="bottom"/>
            <w:tcBorders>
              <w:right w:val="single" w:sz="8" w:color="auto"/>
            </w:tcBorders>
            <w:shd w:val="clear" w:color="auto" w:fill="BFBFBF"/>
          </w:tcPr>
          <w:p>
            <w:pPr>
              <w:jc w:val="right"/>
              <w:ind w:right="150"/>
              <w:spacing w:after="0"/>
              <w:rPr>
                <w:sz w:val="20"/>
                <w:szCs w:val="20"/>
                <w:color w:val="auto"/>
              </w:rPr>
            </w:pPr>
            <w:r>
              <w:rPr>
                <w:rFonts w:ascii="Arial" w:cs="Arial" w:eastAsia="Arial" w:hAnsi="Arial"/>
                <w:sz w:val="18"/>
                <w:szCs w:val="18"/>
                <w:b w:val="1"/>
                <w:bCs w:val="1"/>
                <w:color w:val="auto"/>
              </w:rPr>
              <w:t>Year</w:t>
            </w:r>
          </w:p>
        </w:tc>
        <w:tc>
          <w:tcPr>
            <w:tcW w:w="840" w:type="dxa"/>
            <w:vAlign w:val="bottom"/>
            <w:tcBorders>
              <w:right w:val="single" w:sz="8" w:color="auto"/>
            </w:tcBorders>
            <w:shd w:val="clear" w:color="auto" w:fill="BFBFBF"/>
          </w:tcPr>
          <w:p>
            <w:pPr>
              <w:jc w:val="right"/>
              <w:ind w:right="150"/>
              <w:spacing w:after="0"/>
              <w:rPr>
                <w:sz w:val="20"/>
                <w:szCs w:val="20"/>
                <w:color w:val="auto"/>
              </w:rPr>
            </w:pPr>
            <w:r>
              <w:rPr>
                <w:rFonts w:ascii="Arial" w:cs="Arial" w:eastAsia="Arial" w:hAnsi="Arial"/>
                <w:sz w:val="18"/>
                <w:szCs w:val="18"/>
                <w:b w:val="1"/>
                <w:bCs w:val="1"/>
                <w:color w:val="auto"/>
              </w:rPr>
              <w:t>Year</w:t>
            </w:r>
          </w:p>
        </w:tc>
      </w:tr>
      <w:tr>
        <w:trPr>
          <w:trHeight w:val="67"/>
        </w:trPr>
        <w:tc>
          <w:tcPr>
            <w:tcW w:w="740" w:type="dxa"/>
            <w:vAlign w:val="bottom"/>
            <w:tcBorders>
              <w:left w:val="single" w:sz="8" w:color="auto"/>
              <w:bottom w:val="single" w:sz="8" w:color="auto"/>
            </w:tcBorders>
            <w:shd w:val="clear" w:color="auto" w:fill="BFBFBF"/>
          </w:tcPr>
          <w:p>
            <w:pPr>
              <w:spacing w:after="0"/>
              <w:rPr>
                <w:sz w:val="5"/>
                <w:szCs w:val="5"/>
                <w:color w:val="auto"/>
              </w:rPr>
            </w:pPr>
          </w:p>
        </w:tc>
        <w:tc>
          <w:tcPr>
            <w:tcW w:w="1160" w:type="dxa"/>
            <w:vAlign w:val="bottom"/>
            <w:tcBorders>
              <w:bottom w:val="single" w:sz="8" w:color="auto"/>
              <w:right w:val="single" w:sz="8" w:color="auto"/>
            </w:tcBorders>
            <w:shd w:val="clear" w:color="auto" w:fill="BFBFBF"/>
          </w:tcPr>
          <w:p>
            <w:pPr>
              <w:spacing w:after="0"/>
              <w:rPr>
                <w:sz w:val="5"/>
                <w:szCs w:val="5"/>
                <w:color w:val="auto"/>
              </w:rPr>
            </w:pPr>
          </w:p>
        </w:tc>
        <w:tc>
          <w:tcPr>
            <w:tcW w:w="760" w:type="dxa"/>
            <w:vAlign w:val="bottom"/>
            <w:tcBorders>
              <w:bottom w:val="single" w:sz="8" w:color="auto"/>
              <w:right w:val="single" w:sz="8" w:color="auto"/>
            </w:tcBorders>
            <w:shd w:val="clear" w:color="auto" w:fill="BFBFBF"/>
          </w:tcPr>
          <w:p>
            <w:pPr>
              <w:spacing w:after="0"/>
              <w:rPr>
                <w:sz w:val="5"/>
                <w:szCs w:val="5"/>
                <w:color w:val="auto"/>
              </w:rPr>
            </w:pPr>
          </w:p>
        </w:tc>
        <w:tc>
          <w:tcPr>
            <w:tcW w:w="820" w:type="dxa"/>
            <w:vAlign w:val="bottom"/>
            <w:tcBorders>
              <w:bottom w:val="single" w:sz="8" w:color="auto"/>
              <w:right w:val="single" w:sz="8" w:color="auto"/>
            </w:tcBorders>
            <w:shd w:val="clear" w:color="auto" w:fill="BFBFBF"/>
          </w:tcPr>
          <w:p>
            <w:pPr>
              <w:spacing w:after="0"/>
              <w:rPr>
                <w:sz w:val="5"/>
                <w:szCs w:val="5"/>
                <w:color w:val="auto"/>
              </w:rPr>
            </w:pPr>
          </w:p>
        </w:tc>
        <w:tc>
          <w:tcPr>
            <w:tcW w:w="840" w:type="dxa"/>
            <w:vAlign w:val="bottom"/>
            <w:tcBorders>
              <w:bottom w:val="single" w:sz="8" w:color="auto"/>
              <w:right w:val="single" w:sz="8" w:color="auto"/>
            </w:tcBorders>
            <w:shd w:val="clear" w:color="auto" w:fill="BFBFBF"/>
          </w:tcPr>
          <w:p>
            <w:pPr>
              <w:spacing w:after="0"/>
              <w:rPr>
                <w:sz w:val="5"/>
                <w:szCs w:val="5"/>
                <w:color w:val="auto"/>
              </w:rPr>
            </w:pPr>
          </w:p>
        </w:tc>
      </w:tr>
      <w:tr>
        <w:trPr>
          <w:trHeight w:val="277"/>
        </w:trPr>
        <w:tc>
          <w:tcPr>
            <w:tcW w:w="74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AFG</w:t>
            </w:r>
          </w:p>
        </w:tc>
        <w:tc>
          <w:tcPr>
            <w:tcW w:w="116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27.07</w:t>
            </w:r>
          </w:p>
        </w:tc>
        <w:tc>
          <w:tcPr>
            <w:tcW w:w="82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color w:val="auto"/>
              </w:rPr>
              <w:t>42.76</w:t>
            </w:r>
          </w:p>
        </w:tc>
        <w:tc>
          <w:tcPr>
            <w:tcW w:w="840" w:type="dxa"/>
            <w:vAlign w:val="bottom"/>
            <w:tcBorders>
              <w:right w:val="single" w:sz="8" w:color="auto"/>
            </w:tcBorders>
          </w:tcPr>
          <w:p>
            <w:pPr>
              <w:jc w:val="right"/>
              <w:ind w:right="110"/>
              <w:spacing w:after="0"/>
              <w:rPr>
                <w:sz w:val="20"/>
                <w:szCs w:val="20"/>
                <w:color w:val="auto"/>
              </w:rPr>
            </w:pPr>
            <w:r>
              <w:rPr>
                <w:rFonts w:ascii="Arial" w:cs="Arial" w:eastAsia="Arial" w:hAnsi="Arial"/>
                <w:sz w:val="18"/>
                <w:szCs w:val="18"/>
                <w:color w:val="auto"/>
              </w:rPr>
              <w:t>119.59</w:t>
            </w:r>
          </w:p>
        </w:tc>
      </w:tr>
      <w:tr>
        <w:trPr>
          <w:trHeight w:val="68"/>
        </w:trPr>
        <w:tc>
          <w:tcPr>
            <w:tcW w:w="740" w:type="dxa"/>
            <w:vAlign w:val="bottom"/>
            <w:tcBorders>
              <w:left w:val="single" w:sz="8" w:color="auto"/>
              <w:bottom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760" w:type="dxa"/>
            <w:vAlign w:val="bottom"/>
            <w:tcBorders>
              <w:bottom w:val="single" w:sz="8" w:color="auto"/>
              <w:right w:val="single" w:sz="8" w:color="auto"/>
            </w:tcBorders>
          </w:tcPr>
          <w:p>
            <w:pPr>
              <w:spacing w:after="0"/>
              <w:rPr>
                <w:sz w:val="5"/>
                <w:szCs w:val="5"/>
                <w:color w:val="auto"/>
              </w:rPr>
            </w:pPr>
          </w:p>
        </w:tc>
        <w:tc>
          <w:tcPr>
            <w:tcW w:w="820" w:type="dxa"/>
            <w:vAlign w:val="bottom"/>
            <w:tcBorders>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r>
      <w:tr>
        <w:trPr>
          <w:trHeight w:val="277"/>
        </w:trPr>
        <w:tc>
          <w:tcPr>
            <w:tcW w:w="74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w w:val="90"/>
              </w:rPr>
              <w:t>S&amp;P 400</w:t>
            </w:r>
          </w:p>
        </w:tc>
        <w:tc>
          <w:tcPr>
            <w:tcW w:w="11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Midcap</w:t>
            </w:r>
          </w:p>
        </w:tc>
        <w:tc>
          <w:tcPr>
            <w:tcW w:w="76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26.17</w:t>
            </w:r>
          </w:p>
        </w:tc>
        <w:tc>
          <w:tcPr>
            <w:tcW w:w="82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color w:val="auto"/>
              </w:rPr>
              <w:t>30.37</w:t>
            </w:r>
          </w:p>
        </w:tc>
        <w:tc>
          <w:tcPr>
            <w:tcW w:w="840" w:type="dxa"/>
            <w:vAlign w:val="bottom"/>
            <w:tcBorders>
              <w:right w:val="single" w:sz="8" w:color="auto"/>
            </w:tcBorders>
          </w:tcPr>
          <w:p>
            <w:pPr>
              <w:jc w:val="right"/>
              <w:ind w:right="110"/>
              <w:spacing w:after="0"/>
              <w:rPr>
                <w:sz w:val="20"/>
                <w:szCs w:val="20"/>
                <w:color w:val="auto"/>
              </w:rPr>
            </w:pPr>
            <w:r>
              <w:rPr>
                <w:rFonts w:ascii="Arial" w:cs="Arial" w:eastAsia="Arial" w:hAnsi="Arial"/>
                <w:sz w:val="18"/>
                <w:szCs w:val="18"/>
                <w:color w:val="auto"/>
              </w:rPr>
              <w:t>53.96</w:t>
            </w:r>
          </w:p>
        </w:tc>
      </w:tr>
      <w:tr>
        <w:trPr>
          <w:trHeight w:val="68"/>
        </w:trPr>
        <w:tc>
          <w:tcPr>
            <w:tcW w:w="740" w:type="dxa"/>
            <w:vAlign w:val="bottom"/>
            <w:tcBorders>
              <w:left w:val="single" w:sz="8" w:color="auto"/>
              <w:bottom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760" w:type="dxa"/>
            <w:vAlign w:val="bottom"/>
            <w:tcBorders>
              <w:bottom w:val="single" w:sz="8" w:color="auto"/>
              <w:right w:val="single" w:sz="8" w:color="auto"/>
            </w:tcBorders>
          </w:tcPr>
          <w:p>
            <w:pPr>
              <w:spacing w:after="0"/>
              <w:rPr>
                <w:sz w:val="5"/>
                <w:szCs w:val="5"/>
                <w:color w:val="auto"/>
              </w:rPr>
            </w:pPr>
          </w:p>
        </w:tc>
        <w:tc>
          <w:tcPr>
            <w:tcW w:w="820" w:type="dxa"/>
            <w:vAlign w:val="bottom"/>
            <w:tcBorders>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r>
      <w:tr>
        <w:trPr>
          <w:trHeight w:val="277"/>
        </w:trPr>
        <w:tc>
          <w:tcPr>
            <w:tcW w:w="74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90"/>
              </w:rPr>
              <w:t>S&amp;P 500</w:t>
            </w:r>
          </w:p>
        </w:tc>
        <w:tc>
          <w:tcPr>
            <w:tcW w:w="11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Insurance</w:t>
            </w:r>
          </w:p>
        </w:tc>
        <w:tc>
          <w:tcPr>
            <w:tcW w:w="76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29.38</w:t>
            </w:r>
          </w:p>
        </w:tc>
        <w:tc>
          <w:tcPr>
            <w:tcW w:w="820" w:type="dxa"/>
            <w:vAlign w:val="bottom"/>
            <w:tcBorders>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33.48</w:t>
            </w:r>
          </w:p>
        </w:tc>
        <w:tc>
          <w:tcPr>
            <w:tcW w:w="840" w:type="dxa"/>
            <w:vAlign w:val="bottom"/>
            <w:tcBorders>
              <w:bottom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60.60</w:t>
            </w:r>
          </w:p>
        </w:tc>
      </w:tr>
    </w:tbl>
    <w:p>
      <w:pPr>
        <w:spacing w:after="0" w:line="94"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Based on its review, the Compensation Committee found the named executive officers’ total compensation to be reasonable and consistent with the objectives of the Company’s compensation programs and generally aligned performance versus peers.</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3F3F3F"/>
        </w:rPr>
        <w:t>Change in Control</w:t>
      </w:r>
    </w:p>
    <w:p>
      <w:pPr>
        <w:spacing w:after="0" w:line="116"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No named executive officer is a party to an employment or other agreement providing for severance or change in control payments.</w:t>
      </w:r>
    </w:p>
    <w:p>
      <w:pPr>
        <w:spacing w:after="0" w:line="76"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Awards under the Senior Executive Long Term Incentive Compensation Plan and the Company’s shareholder-approved equity incentive plans in effect through 2015 contain provisions for an acceleration of vesting, applicable to all participants, of awards upon a change in control.</w:t>
      </w:r>
    </w:p>
    <w:p>
      <w:pPr>
        <w:spacing w:after="0" w:line="53"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Awards under the Company’s shareholder-approved equity incentive plan currently in effect do not provide for automatic acceleration of awards for any participant, including the named executive officers. These awards include a “double trigger,” which means that, if the awards are assumed by the surviving entity in the change of control, vesting of the awards will not accelerate unless the participant also has a qualifying termination of employment (by the Company without cause or by the participant for good reason). In contrast, if the surviving entity does not assume the equity awards upon the change in control, unvested awards will become vested upon the occurrence of the change in control.</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color w:val="3F3F3F"/>
        </w:rPr>
        <w:t>Tally Sheets</w:t>
      </w:r>
    </w:p>
    <w:p>
      <w:pPr>
        <w:spacing w:after="0" w:line="116"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The Compensation Committee reviews at least annually a comprehensive tally sheet compiled internally to review all elements of the named executive officers’ compensation. The tally sheet includes all of the information that is reflected in the Summary Compensation Table as well as amounts and descriptions of perquisites not required to be specifically identified by SEC regulations, generally because the amount of such items is not deemed material under applicable SEC regulations. The review by the Compensation Committee analyzes how changes in any element of compensation would impact other elements.</w:t>
      </w:r>
    </w:p>
    <w:p>
      <w:pPr>
        <w:spacing w:after="0" w:line="200" w:lineRule="exact"/>
        <w:rPr>
          <w:sz w:val="20"/>
          <w:szCs w:val="20"/>
          <w:color w:val="auto"/>
        </w:rPr>
      </w:pPr>
    </w:p>
    <w:p>
      <w:pPr>
        <w:sectPr>
          <w:pgSz w:w="11900" w:h="16838" w:orient="portrait"/>
          <w:cols w:equalWidth="0" w:num="2">
            <w:col w:w="5400" w:space="440"/>
            <w:col w:w="4320"/>
          </w:cols>
          <w:pgMar w:left="320" w:top="265" w:right="1419" w:bottom="1137" w:gutter="0" w:footer="0" w:header="0"/>
          <w:type w:val="continuous"/>
        </w:sectPr>
      </w:pPr>
    </w:p>
    <w:p>
      <w:pPr>
        <w:spacing w:after="0" w:line="84" w:lineRule="exact"/>
        <w:rPr>
          <w:sz w:val="20"/>
          <w:szCs w:val="20"/>
          <w:color w:val="auto"/>
        </w:rPr>
      </w:pPr>
    </w:p>
    <w:p>
      <w:pPr>
        <w:ind w:left="1160"/>
        <w:spacing w:after="0"/>
        <w:tabs>
          <w:tab w:leader="none" w:pos="9960" w:val="left"/>
        </w:tabs>
        <w:rPr>
          <w:sz w:val="20"/>
          <w:szCs w:val="20"/>
          <w:color w:val="auto"/>
        </w:rPr>
      </w:pPr>
      <w:r>
        <w:rPr>
          <w:rFonts w:ascii="Arial" w:cs="Arial" w:eastAsia="Arial" w:hAnsi="Arial"/>
          <w:sz w:val="16"/>
          <w:szCs w:val="16"/>
          <w:color w:val="auto"/>
        </w:rPr>
        <w:t>2020 Proxy Statement | Compensation Discussion and Analysis</w:t>
      </w:r>
      <w:r>
        <w:rPr>
          <w:sz w:val="20"/>
          <w:szCs w:val="20"/>
          <w:color w:val="auto"/>
        </w:rPr>
        <w:tab/>
      </w: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129540</wp:posOffset>
            </wp:positionV>
            <wp:extent cx="699516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160"/>
          </w:cols>
          <w:pgMar w:left="320" w:top="265" w:right="1419" w:bottom="1137" w:gutter="0" w:footer="0" w:header="0"/>
          <w:type w:val="continuous"/>
        </w:sectPr>
      </w:pPr>
    </w:p>
    <w:bookmarkStart w:id="32" w:name="page33"/>
    <w:bookmarkEnd w:id="32"/>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6515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651510"/>
                    </a:xfrm>
                    <a:prstGeom prst="rect">
                      <a:avLst/>
                    </a:prstGeom>
                    <a:noFill/>
                  </pic:spPr>
                </pic:pic>
              </a:graphicData>
            </a:graphic>
          </wp:anchor>
        </w:drawing>
      </w:r>
    </w:p>
    <w:p>
      <w:pPr>
        <w:sectPr>
          <w:pgSz w:w="11900" w:h="16838" w:orient="portrait"/>
          <w:cols w:equalWidth="0" w:num="1">
            <w:col w:w="10140"/>
          </w:cols>
          <w:pgMar w:left="320" w:top="265" w:right="1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080" w:right="20"/>
        <w:spacing w:after="0" w:line="289" w:lineRule="auto"/>
        <w:rPr>
          <w:sz w:val="20"/>
          <w:szCs w:val="20"/>
          <w:color w:val="auto"/>
        </w:rPr>
      </w:pPr>
      <w:r>
        <w:rPr>
          <w:rFonts w:ascii="Arial" w:cs="Arial" w:eastAsia="Arial" w:hAnsi="Arial"/>
          <w:sz w:val="16"/>
          <w:szCs w:val="16"/>
          <w:color w:val="auto"/>
        </w:rPr>
        <w:t>Such analysis has become an important component in the Compensation Committee’s review of named executive officer compensation as various components, including perquisites, are deemed by the Compensation Committee to be important elements of an executive’s overall compensation. This also allows the Compensation Committee to make compensation decisions and evaluate management recommendations based upon a complete analysis of a named executive’s total compensation.</w:t>
      </w:r>
    </w:p>
    <w:p>
      <w:pPr>
        <w:spacing w:after="0" w:line="58" w:lineRule="exact"/>
        <w:rPr>
          <w:sz w:val="20"/>
          <w:szCs w:val="20"/>
          <w:color w:val="auto"/>
        </w:rPr>
      </w:pPr>
    </w:p>
    <w:p>
      <w:pPr>
        <w:ind w:left="1080" w:right="100"/>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With regard to perquisites paid to the Co-CEOs, the Compensation Committee noted the annual limitations described under “Perquisites and Other Personal Benefits” on page </w:t>
      </w:r>
      <w:hyperlink w:anchor="page41">
        <w:r>
          <w:rPr>
            <w:rFonts w:ascii="Arial" w:cs="Arial" w:eastAsia="Arial" w:hAnsi="Arial"/>
            <w:sz w:val="18"/>
            <w:szCs w:val="18"/>
            <w:u w:val="single" w:color="auto"/>
            <w:color w:val="0000EE"/>
          </w:rPr>
          <w:t>34</w:t>
        </w:r>
      </w:hyperlink>
      <w:r>
        <w:rPr>
          <w:rFonts w:ascii="Arial" w:cs="Arial" w:eastAsia="Arial" w:hAnsi="Arial"/>
          <w:sz w:val="18"/>
          <w:szCs w:val="18"/>
          <w:color w:val="auto"/>
        </w:rPr>
        <w:t>.</w:t>
      </w:r>
    </w:p>
    <w:p>
      <w:pPr>
        <w:spacing w:after="0" w:line="232" w:lineRule="exact"/>
        <w:rPr>
          <w:sz w:val="20"/>
          <w:szCs w:val="20"/>
          <w:color w:val="auto"/>
        </w:rPr>
      </w:pPr>
    </w:p>
    <w:p>
      <w:pPr>
        <w:ind w:left="1080"/>
        <w:spacing w:after="0"/>
        <w:rPr>
          <w:sz w:val="20"/>
          <w:szCs w:val="20"/>
          <w:color w:val="auto"/>
        </w:rPr>
      </w:pPr>
      <w:r>
        <w:rPr>
          <w:rFonts w:ascii="Arial" w:cs="Arial" w:eastAsia="Arial" w:hAnsi="Arial"/>
          <w:sz w:val="20"/>
          <w:szCs w:val="20"/>
          <w:b w:val="1"/>
          <w:bCs w:val="1"/>
          <w:color w:val="3F3F3F"/>
        </w:rPr>
        <w:t>Equity Incentive Compensation</w:t>
      </w:r>
    </w:p>
    <w:p>
      <w:pPr>
        <w:spacing w:after="0" w:line="116" w:lineRule="exact"/>
        <w:rPr>
          <w:sz w:val="20"/>
          <w:szCs w:val="20"/>
          <w:color w:val="auto"/>
        </w:rPr>
      </w:pPr>
    </w:p>
    <w:p>
      <w:pPr>
        <w:ind w:left="1080" w:right="20"/>
        <w:spacing w:after="0" w:line="286" w:lineRule="auto"/>
        <w:rPr>
          <w:sz w:val="20"/>
          <w:szCs w:val="20"/>
          <w:color w:val="auto"/>
        </w:rPr>
      </w:pPr>
      <w:r>
        <w:rPr>
          <w:rFonts w:ascii="Arial" w:cs="Arial" w:eastAsia="Arial" w:hAnsi="Arial"/>
          <w:sz w:val="16"/>
          <w:szCs w:val="16"/>
          <w:color w:val="auto"/>
        </w:rPr>
        <w:t>As part of its analysis and approval of long-term equity incentive compensation available to the named executive officers, the Compensation Committee reviewed information relative to equity wealth accumulation of the named executive officers based on previous awards. The purpose of this analysis was to determine whether prior and proposed awards are likely to be effective for retention and as performance incentives to the named executive officers. The Compensation Committee was mindful of the substantial ownership of the Company’s common shares by executive officers, particularly the Co-CEOs, and the effect of such ownership in aligning their interests with those of all of the Company’s shareholders.</w:t>
      </w:r>
    </w:p>
    <w:p>
      <w:pPr>
        <w:spacing w:after="0" w:line="206" w:lineRule="exact"/>
        <w:rPr>
          <w:sz w:val="20"/>
          <w:szCs w:val="20"/>
          <w:color w:val="auto"/>
        </w:rPr>
      </w:pPr>
    </w:p>
    <w:p>
      <w:pPr>
        <w:ind w:left="1080"/>
        <w:spacing w:after="0"/>
        <w:rPr>
          <w:sz w:val="20"/>
          <w:szCs w:val="20"/>
          <w:color w:val="auto"/>
        </w:rPr>
      </w:pPr>
      <w:r>
        <w:rPr>
          <w:rFonts w:ascii="Arial" w:cs="Arial" w:eastAsia="Arial" w:hAnsi="Arial"/>
          <w:sz w:val="20"/>
          <w:szCs w:val="20"/>
          <w:b w:val="1"/>
          <w:bCs w:val="1"/>
          <w:color w:val="3F3F3F"/>
        </w:rPr>
        <w:t>Internal Pay Equity</w:t>
      </w:r>
    </w:p>
    <w:p>
      <w:pPr>
        <w:spacing w:after="0" w:line="116" w:lineRule="exact"/>
        <w:rPr>
          <w:sz w:val="20"/>
          <w:szCs w:val="20"/>
          <w:color w:val="auto"/>
        </w:rPr>
      </w:pPr>
    </w:p>
    <w:p>
      <w:pPr>
        <w:ind w:left="1080"/>
        <w:spacing w:after="0" w:line="253" w:lineRule="auto"/>
        <w:rPr>
          <w:sz w:val="20"/>
          <w:szCs w:val="20"/>
          <w:color w:val="auto"/>
        </w:rPr>
      </w:pPr>
      <w:r>
        <w:rPr>
          <w:rFonts w:ascii="Arial" w:cs="Arial" w:eastAsia="Arial" w:hAnsi="Arial"/>
          <w:sz w:val="18"/>
          <w:szCs w:val="18"/>
          <w:color w:val="auto"/>
        </w:rPr>
        <w:t>The Compensation Committee does not apply fixed ratios when conducting an analysis of the relative difference between the Co-CEOs’ compensation and the compensation of the Company’s other senior executives. However, the Compensation Committee believes that the Company’s internal pay equity structure is appropriate based upon the contributions to the success of the Company and as a means of motivation to other executives and employees.</w:t>
      </w:r>
    </w:p>
    <w:p>
      <w:pPr>
        <w:spacing w:after="0" w:line="228" w:lineRule="exact"/>
        <w:rPr>
          <w:sz w:val="20"/>
          <w:szCs w:val="20"/>
          <w:color w:val="auto"/>
        </w:rPr>
      </w:pPr>
    </w:p>
    <w:p>
      <w:pPr>
        <w:ind w:left="1080"/>
        <w:spacing w:after="0"/>
        <w:rPr>
          <w:sz w:val="20"/>
          <w:szCs w:val="20"/>
          <w:color w:val="auto"/>
        </w:rPr>
      </w:pPr>
      <w:r>
        <w:rPr>
          <w:rFonts w:ascii="Arial" w:cs="Arial" w:eastAsia="Arial" w:hAnsi="Arial"/>
          <w:sz w:val="20"/>
          <w:szCs w:val="20"/>
          <w:b w:val="1"/>
          <w:bCs w:val="1"/>
          <w:color w:val="3F3F3F"/>
        </w:rPr>
        <w:t>Share Ownership Requirements</w:t>
      </w:r>
    </w:p>
    <w:p>
      <w:pPr>
        <w:spacing w:after="0" w:line="116" w:lineRule="exact"/>
        <w:rPr>
          <w:sz w:val="20"/>
          <w:szCs w:val="20"/>
          <w:color w:val="auto"/>
        </w:rPr>
      </w:pPr>
    </w:p>
    <w:p>
      <w:pPr>
        <w:ind w:left="1080" w:right="180"/>
        <w:spacing w:after="0" w:line="291" w:lineRule="auto"/>
        <w:rPr>
          <w:sz w:val="20"/>
          <w:szCs w:val="20"/>
          <w:color w:val="auto"/>
        </w:rPr>
      </w:pPr>
      <w:r>
        <w:rPr>
          <w:rFonts w:ascii="Arial" w:cs="Arial" w:eastAsia="Arial" w:hAnsi="Arial"/>
          <w:sz w:val="16"/>
          <w:szCs w:val="16"/>
          <w:color w:val="auto"/>
        </w:rPr>
        <w:t>The named executive officers and other senior executives of the Company and its subsidiaries (approximately</w:t>
      </w:r>
    </w:p>
    <w:p>
      <w:pPr>
        <w:ind w:left="1080" w:right="20"/>
        <w:spacing w:after="0" w:line="286" w:lineRule="auto"/>
        <w:rPr>
          <w:rFonts w:ascii="Arial" w:cs="Arial" w:eastAsia="Arial" w:hAnsi="Arial"/>
          <w:sz w:val="16"/>
          <w:szCs w:val="16"/>
          <w:color w:val="auto"/>
        </w:rPr>
      </w:pPr>
      <w:r>
        <w:rPr>
          <w:rFonts w:ascii="Arial" w:cs="Arial" w:eastAsia="Arial" w:hAnsi="Arial"/>
          <w:sz w:val="16"/>
          <w:szCs w:val="16"/>
          <w:color w:val="auto"/>
        </w:rPr>
        <w:t xml:space="preserve">40 persons) are subject to the Company’s share ownership requirements. Pursuant to the requirements, each Co-CEO must own five times his base salary in Company common shares while other executives must own one times his or her base salary in Company common shares. The Company has also established share ownership guidelines for its non-employee directors which are discussed below under, “Executive Compensation—Director Compensation and Stock Ownership Guidelines” on page </w:t>
      </w:r>
      <w:hyperlink w:anchor="page49">
        <w:r>
          <w:rPr>
            <w:rFonts w:ascii="Arial" w:cs="Arial" w:eastAsia="Arial" w:hAnsi="Arial"/>
            <w:sz w:val="16"/>
            <w:szCs w:val="16"/>
            <w:u w:val="single" w:color="auto"/>
            <w:color w:val="0000EE"/>
          </w:rPr>
          <w:t>41</w:t>
        </w:r>
      </w:hyperlink>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20"/>
          <w:szCs w:val="20"/>
          <w:b w:val="1"/>
          <w:bCs w:val="1"/>
          <w:color w:val="3F3F3F"/>
        </w:rPr>
        <w:t>Hedging and Pledging Policy</w:t>
      </w:r>
    </w:p>
    <w:p>
      <w:pPr>
        <w:spacing w:after="0" w:line="11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Company prohibits transactions involving hedging of Company shares by directors and executive officers. The Company’s pledging policy discourages any pledging of the Company’s common shares, including holding common shares in a margin account. In addition, directors and the Company’s executive officers are required to obtain pre-approval from the Chair of the Corporate Governance Committee before pledging shares of common shares. Such approval will be granted only if the individual can clearly demonstrate the financial capacity to repay the loan without resorting to the pledged securities and/or after a determination that the number of shares that the individual proposes to pledge is unlikely to affect the market for the common shares when viewed in relation to the market value or trading volume. No named executive officer or director pledged any Company shares at any time over the past three years.</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3F3F3F"/>
        </w:rPr>
        <w:t>Outside Consultants</w:t>
      </w:r>
    </w:p>
    <w:p>
      <w:pPr>
        <w:spacing w:after="0" w:line="1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Compensation Committee has the authority to retain and from time to time has retained outside consultants to assist in evaluating the Company’s executive compensation programs and practices.</w:t>
      </w:r>
    </w:p>
    <w:p>
      <w:pPr>
        <w:spacing w:after="0" w:line="79"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In 2015, at the recommendation of the Company’s management, the Company engaged Pearl Meyer &amp; Partners, LLC (“Pearl Meyer”) to provide an assessment of AFG’s executive compensation programs and practices. Pearl Meyer conducted a competitive pay analysis and provided pay survey data, reviewed the design of incentive plans and evaluated Compensation Committee processes and procedures, among other things. The Compensation Committee considered the information and advice provided to the Company by Pearl Meyer in connection with its review, approval and structure of compensation paid to the Co-CEOs and its oversight of the executive compensation policies of AFG. The Chairman of the Compensation Committee participated in the process with Pearl Meyer, and the final Pearl Meyer report was presented to the Compensation Committee and discussed at meetings of the Compensation Committee. The Compensation Committee adopted many of Pearl Meyer’s recommendations.</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3F3F3F"/>
        </w:rPr>
        <w:t>Tax Deductibility of Pay</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On December 22, 2017, the Tax Cuts and Job Act of 2017</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“TCJA”) was signed into law. The TCJA includes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significant changes to the rules under Section 162(m) of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Internal Revenue Code for deducting certain executive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compensation. In general, for years prior to 2018,</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Section 162(m) of the Internal Revenue Code disallowed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tax deduction to publicly held companies for compensation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paid in any year to certain executive officers in excess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$1 million per officer that did not qualify as “performance-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based compensation.”</w:t>
      </w:r>
    </w:p>
    <w:p>
      <w:pPr>
        <w:spacing w:after="0" w:line="200" w:lineRule="exact"/>
        <w:rPr>
          <w:sz w:val="20"/>
          <w:szCs w:val="20"/>
          <w:color w:val="auto"/>
        </w:rPr>
      </w:pPr>
    </w:p>
    <w:p>
      <w:pPr>
        <w:sectPr>
          <w:pgSz w:w="11900" w:h="16838" w:orient="portrait"/>
          <w:cols w:equalWidth="0" w:num="2">
            <w:col w:w="5400" w:space="440"/>
            <w:col w:w="4300"/>
          </w:cols>
          <w:pgMar w:left="320" w:top="265" w:right="1439" w:bottom="1440" w:gutter="0" w:footer="0" w:header="0"/>
          <w:type w:val="continuous"/>
        </w:sectPr>
      </w:pPr>
    </w:p>
    <w:p>
      <w:pPr>
        <w:spacing w:after="0" w:line="123" w:lineRule="exact"/>
        <w:rPr>
          <w:sz w:val="20"/>
          <w:szCs w:val="20"/>
          <w:color w:val="auto"/>
        </w:rPr>
      </w:pPr>
    </w:p>
    <w:p>
      <w:pPr>
        <w:ind w:left="1160"/>
        <w:spacing w:after="0"/>
        <w:tabs>
          <w:tab w:leader="none" w:pos="9960" w:val="left"/>
        </w:tabs>
        <w:rPr>
          <w:sz w:val="20"/>
          <w:szCs w:val="20"/>
          <w:color w:val="auto"/>
        </w:rPr>
      </w:pPr>
      <w:r>
        <w:rPr>
          <w:rFonts w:ascii="Arial" w:cs="Arial" w:eastAsia="Arial" w:hAnsi="Arial"/>
          <w:sz w:val="16"/>
          <w:szCs w:val="16"/>
          <w:color w:val="auto"/>
        </w:rPr>
        <w:t>2020 Proxy Statement | Compensation Discussion and Analysis</w:t>
      </w:r>
      <w:r>
        <w:rPr>
          <w:sz w:val="20"/>
          <w:szCs w:val="20"/>
          <w:color w:val="auto"/>
        </w:rPr>
        <w:tab/>
      </w: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137795</wp:posOffset>
            </wp:positionV>
            <wp:extent cx="699516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140"/>
          </w:cols>
          <w:pgMar w:left="320" w:top="265" w:right="1439" w:bottom="1440" w:gutter="0" w:footer="0" w:header="0"/>
          <w:type w:val="continuous"/>
        </w:sectPr>
      </w:pPr>
    </w:p>
    <w:bookmarkStart w:id="33" w:name="page34"/>
    <w:bookmarkEnd w:id="33"/>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6515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651510"/>
                    </a:xfrm>
                    <a:prstGeom prst="rect">
                      <a:avLst/>
                    </a:prstGeom>
                    <a:noFill/>
                  </pic:spPr>
                </pic:pic>
              </a:graphicData>
            </a:graphic>
          </wp:anchor>
        </w:drawing>
      </w:r>
    </w:p>
    <w:p>
      <w:pPr>
        <w:sectPr>
          <w:pgSz w:w="11900" w:h="16838" w:orient="portrait"/>
          <w:cols w:equalWidth="0" w:num="1">
            <w:col w:w="10160"/>
          </w:cols>
          <w:pgMar w:left="320" w:top="265"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080" w:right="40"/>
        <w:spacing w:after="0" w:line="291" w:lineRule="auto"/>
        <w:rPr>
          <w:sz w:val="20"/>
          <w:szCs w:val="20"/>
          <w:color w:val="auto"/>
        </w:rPr>
      </w:pPr>
      <w:r>
        <w:rPr>
          <w:rFonts w:ascii="Arial" w:cs="Arial" w:eastAsia="Arial" w:hAnsi="Arial"/>
          <w:sz w:val="16"/>
          <w:szCs w:val="16"/>
          <w:color w:val="auto"/>
        </w:rPr>
        <w:t>Under the TCJA, the exemption from Section 162(m)’s deduction limit for performance-based compensation has been repealed. The new rules generally apply to taxable years beginning after December 31, 2017, but do not apply to remuneration paid in future years pursuant to a written binding contract in effect on November 2, 2017 that is not modified in any material respect after that date.</w:t>
      </w:r>
    </w:p>
    <w:p>
      <w:pPr>
        <w:spacing w:after="0" w:line="58" w:lineRule="exact"/>
        <w:rPr>
          <w:sz w:val="20"/>
          <w:szCs w:val="20"/>
          <w:color w:val="auto"/>
        </w:rPr>
      </w:pPr>
    </w:p>
    <w:p>
      <w:pPr>
        <w:ind w:left="1080"/>
        <w:spacing w:after="0" w:line="290" w:lineRule="auto"/>
        <w:rPr>
          <w:sz w:val="20"/>
          <w:szCs w:val="20"/>
          <w:color w:val="auto"/>
        </w:rPr>
      </w:pPr>
      <w:r>
        <w:rPr>
          <w:rFonts w:ascii="Arial" w:cs="Arial" w:eastAsia="Arial" w:hAnsi="Arial"/>
          <w:sz w:val="16"/>
          <w:szCs w:val="16"/>
          <w:color w:val="auto"/>
        </w:rPr>
        <w:t>In December 2019 the Internal Revenue Service issued guidance in the form of proposed regulations with regard to the new Section 162(m) rules provided by the TCJA. Following a comment period, additional guidance is expected from the Internal Revenue Service. Despite the Compensation Committee’s efforts to structure certain incentive programs as “performance-based compensation” intended to be exempt from Section 162(m)’s deduction</w:t>
      </w:r>
    </w:p>
    <w:p>
      <w:pPr>
        <w:spacing w:after="0" w:line="332"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2020 Proxy Statement | Compensation Discussion and Analysis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limits, because of uncertainties as to the interpretation and application of the new rules, no assurance can be given that compensation intended to satisfy the requirements for exemption from Section 162(m) in fact will do so.</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3F3F3F"/>
        </w:rPr>
        <w:t>Section 409A</w:t>
      </w:r>
    </w:p>
    <w:p>
      <w:pPr>
        <w:spacing w:after="0" w:line="1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Section 409A of the Internal Revenue Code requires that “nonqualified deferred compensation” be deferred and paid under plans or arrangements that satisfy the requirements of the law with respect to the timing of deferral elections, timing of payments and certain other matters. In general, it is AFG’s intention to design and administer its compensation and benefits plans and arrangements for all of its employees so that they are either exempt from, or satisfy the requirements of, Section 409A.</w:t>
      </w:r>
    </w:p>
    <w:p>
      <w:pPr>
        <w:spacing w:after="0" w:line="279" w:lineRule="exact"/>
        <w:rPr>
          <w:sz w:val="20"/>
          <w:szCs w:val="20"/>
          <w:color w:val="auto"/>
        </w:rPr>
      </w:pPr>
    </w:p>
    <w:p>
      <w:pPr>
        <w:ind w:left="4140"/>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-3634105</wp:posOffset>
            </wp:positionH>
            <wp:positionV relativeFrom="paragraph">
              <wp:posOffset>129540</wp:posOffset>
            </wp:positionV>
            <wp:extent cx="699516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5380" w:space="460"/>
            <w:col w:w="4320"/>
          </w:cols>
          <w:pgMar w:left="320" w:top="265" w:right="1419" w:bottom="1440" w:gutter="0" w:footer="0" w:header="0"/>
          <w:type w:val="continuous"/>
        </w:sectPr>
      </w:pPr>
    </w:p>
    <w:bookmarkStart w:id="34" w:name="page35"/>
    <w:bookmarkEnd w:id="34"/>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6515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1080"/>
        <w:spacing w:after="0"/>
        <w:rPr>
          <w:sz w:val="20"/>
          <w:szCs w:val="20"/>
          <w:color w:val="auto"/>
        </w:rPr>
      </w:pPr>
      <w:r>
        <w:rPr>
          <w:rFonts w:ascii="Arial" w:cs="Arial" w:eastAsia="Arial" w:hAnsi="Arial"/>
          <w:sz w:val="20"/>
          <w:szCs w:val="20"/>
          <w:b w:val="1"/>
          <w:bCs w:val="1"/>
          <w:color w:val="3F3F3F"/>
        </w:rPr>
        <w:t>2019 Compensation Components</w:t>
      </w:r>
    </w:p>
    <w:p>
      <w:pPr>
        <w:spacing w:after="0" w:line="116" w:lineRule="exact"/>
        <w:rPr>
          <w:sz w:val="20"/>
          <w:szCs w:val="20"/>
          <w:color w:val="auto"/>
        </w:rPr>
      </w:pPr>
    </w:p>
    <w:p>
      <w:pPr>
        <w:ind w:left="1080" w:right="80"/>
        <w:spacing w:after="0" w:line="296" w:lineRule="auto"/>
        <w:rPr>
          <w:sz w:val="20"/>
          <w:szCs w:val="20"/>
          <w:color w:val="auto"/>
        </w:rPr>
      </w:pPr>
      <w:r>
        <w:rPr>
          <w:rFonts w:ascii="Arial" w:cs="Arial" w:eastAsia="Arial" w:hAnsi="Arial"/>
          <w:sz w:val="16"/>
          <w:szCs w:val="16"/>
          <w:color w:val="auto"/>
        </w:rPr>
        <w:t>The Compensation Committee continues to monitor and evaluate on an ongoing basis the mix of direct cash and equity compensation awarded to the named executive officers, and the extent to which such compensation aligns the interests of the named executive officers with those of AFG’s shareholders. In connection with this practice, the Compensation Committee annually considers and discusses the structure of the Company’s executive compensation program and the relative weighting of various compensation elements. For 2019, the principal components of compensation for named executive officers were:</w:t>
      </w:r>
    </w:p>
    <w:p>
      <w:pPr>
        <w:spacing w:after="0" w:line="53" w:lineRule="exact"/>
        <w:rPr>
          <w:sz w:val="20"/>
          <w:szCs w:val="20"/>
          <w:color w:val="auto"/>
        </w:rPr>
      </w:pPr>
    </w:p>
    <w:p>
      <w:pPr>
        <w:ind w:left="1800" w:hanging="352"/>
        <w:spacing w:after="0"/>
        <w:tabs>
          <w:tab w:leader="none" w:pos="1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 salary and annual performance-based cash bonuses;</w:t>
      </w:r>
    </w:p>
    <w:p>
      <w:pPr>
        <w:spacing w:after="0" w:line="23" w:lineRule="exact"/>
        <w:rPr>
          <w:rFonts w:ascii="Arial" w:cs="Arial" w:eastAsia="Arial" w:hAnsi="Arial"/>
          <w:sz w:val="18"/>
          <w:szCs w:val="18"/>
          <w:color w:val="auto"/>
        </w:rPr>
      </w:pPr>
    </w:p>
    <w:p>
      <w:pPr>
        <w:ind w:left="1800" w:hanging="352"/>
        <w:spacing w:after="0"/>
        <w:tabs>
          <w:tab w:leader="none" w:pos="1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long-term incentive compensation;</w:t>
      </w:r>
    </w:p>
    <w:p>
      <w:pPr>
        <w:spacing w:after="0" w:line="35" w:lineRule="exact"/>
        <w:rPr>
          <w:rFonts w:ascii="Arial" w:cs="Arial" w:eastAsia="Arial" w:hAnsi="Arial"/>
          <w:sz w:val="18"/>
          <w:szCs w:val="18"/>
          <w:color w:val="auto"/>
        </w:rPr>
      </w:pPr>
    </w:p>
    <w:p>
      <w:pPr>
        <w:ind w:left="1800" w:hanging="352"/>
        <w:spacing w:after="0"/>
        <w:tabs>
          <w:tab w:leader="none" w:pos="1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retirement and deferred compensation benefits; and</w:t>
      </w:r>
    </w:p>
    <w:p>
      <w:pPr>
        <w:spacing w:after="0" w:line="23" w:lineRule="exact"/>
        <w:rPr>
          <w:rFonts w:ascii="Arial" w:cs="Arial" w:eastAsia="Arial" w:hAnsi="Arial"/>
          <w:sz w:val="18"/>
          <w:szCs w:val="18"/>
          <w:color w:val="auto"/>
        </w:rPr>
      </w:pPr>
    </w:p>
    <w:p>
      <w:pPr>
        <w:ind w:left="1800" w:hanging="352"/>
        <w:spacing w:after="0"/>
        <w:tabs>
          <w:tab w:leader="none" w:pos="1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perquisites and other personal benefits.</w:t>
      </w:r>
    </w:p>
    <w:p>
      <w:pPr>
        <w:spacing w:after="0" w:line="15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Each of these components plays a different strategic role in the Company’s compensation program:</w:t>
      </w:r>
    </w:p>
    <w:p>
      <w:pPr>
        <w:spacing w:after="0" w:line="206" w:lineRule="exact"/>
        <w:rPr>
          <w:sz w:val="20"/>
          <w:szCs w:val="20"/>
          <w:color w:val="auto"/>
        </w:rPr>
      </w:pPr>
    </w:p>
    <w:tbl>
      <w:tblPr>
        <w:tblLayout w:type="fixed"/>
        <w:tblInd w:w="1090" w:type="dxa"/>
        <w:tblCellMar>
          <w:top w:w="0" w:type="dxa"/>
          <w:left w:w="0" w:type="dxa"/>
          <w:bottom w:w="0" w:type="dxa"/>
          <w:right w:w="0" w:type="dxa"/>
        </w:tblCellMar>
      </w:tblPr>
      <w:tr>
        <w:trPr>
          <w:trHeight w:val="338"/>
        </w:trPr>
        <w:tc>
          <w:tcPr>
            <w:tcW w:w="3640" w:type="dxa"/>
            <w:vAlign w:val="bottom"/>
            <w:tcBorders>
              <w:top w:val="single" w:sz="8" w:color="auto"/>
              <w:left w:val="single" w:sz="8" w:color="auto"/>
              <w:right w:val="single" w:sz="8" w:color="auto"/>
            </w:tcBorders>
            <w:shd w:val="clear" w:color="auto" w:fill="BFBFBF"/>
          </w:tcPr>
          <w:p>
            <w:pPr>
              <w:ind w:left="900"/>
              <w:spacing w:after="0"/>
              <w:rPr>
                <w:sz w:val="20"/>
                <w:szCs w:val="20"/>
                <w:color w:val="auto"/>
              </w:rPr>
            </w:pPr>
            <w:r>
              <w:rPr>
                <w:rFonts w:ascii="Arial" w:cs="Arial" w:eastAsia="Arial" w:hAnsi="Arial"/>
                <w:sz w:val="18"/>
                <w:szCs w:val="18"/>
                <w:b w:val="1"/>
                <w:bCs w:val="1"/>
                <w:color w:val="auto"/>
              </w:rPr>
              <w:t>Compensation Element</w:t>
            </w:r>
          </w:p>
        </w:tc>
        <w:tc>
          <w:tcPr>
            <w:tcW w:w="340" w:type="dxa"/>
            <w:vAlign w:val="bottom"/>
            <w:tcBorders>
              <w:top w:val="single" w:sz="8" w:color="auto"/>
            </w:tcBorders>
            <w:shd w:val="clear" w:color="auto" w:fill="BFBFBF"/>
          </w:tcPr>
          <w:p>
            <w:pPr>
              <w:spacing w:after="0"/>
              <w:rPr>
                <w:sz w:val="24"/>
                <w:szCs w:val="24"/>
                <w:color w:val="auto"/>
              </w:rPr>
            </w:pPr>
          </w:p>
        </w:tc>
        <w:tc>
          <w:tcPr>
            <w:tcW w:w="5100" w:type="dxa"/>
            <w:vAlign w:val="bottom"/>
            <w:tcBorders>
              <w:top w:val="single" w:sz="8" w:color="auto"/>
              <w:right w:val="single" w:sz="8" w:color="auto"/>
            </w:tcBorders>
            <w:shd w:val="clear" w:color="auto" w:fill="BFBFBF"/>
          </w:tcPr>
          <w:p>
            <w:pPr>
              <w:ind w:left="1180"/>
              <w:spacing w:after="0"/>
              <w:rPr>
                <w:sz w:val="20"/>
                <w:szCs w:val="20"/>
                <w:color w:val="auto"/>
              </w:rPr>
            </w:pPr>
            <w:r>
              <w:rPr>
                <w:rFonts w:ascii="Arial" w:cs="Arial" w:eastAsia="Arial" w:hAnsi="Arial"/>
                <w:sz w:val="18"/>
                <w:szCs w:val="18"/>
                <w:b w:val="1"/>
                <w:bCs w:val="1"/>
                <w:color w:val="auto"/>
              </w:rPr>
              <w:t>Strategic Role in Compensation</w:t>
            </w:r>
          </w:p>
        </w:tc>
        <w:tc>
          <w:tcPr>
            <w:tcW w:w="0" w:type="dxa"/>
            <w:vAlign w:val="bottom"/>
          </w:tcPr>
          <w:p>
            <w:pPr>
              <w:spacing w:after="0"/>
              <w:rPr>
                <w:sz w:val="1"/>
                <w:szCs w:val="1"/>
                <w:color w:val="auto"/>
              </w:rPr>
            </w:pPr>
          </w:p>
        </w:tc>
      </w:tr>
      <w:tr>
        <w:trPr>
          <w:trHeight w:val="270"/>
        </w:trPr>
        <w:tc>
          <w:tcPr>
            <w:tcW w:w="3640" w:type="dxa"/>
            <w:vAlign w:val="bottom"/>
            <w:tcBorders>
              <w:left w:val="single" w:sz="8" w:color="auto"/>
              <w:bottom w:val="single" w:sz="8" w:color="auto"/>
              <w:right w:val="single" w:sz="8" w:color="auto"/>
            </w:tcBorders>
            <w:shd w:val="clear" w:color="auto" w:fill="BFBFBF"/>
          </w:tcPr>
          <w:p>
            <w:pPr>
              <w:spacing w:after="0"/>
              <w:rPr>
                <w:sz w:val="23"/>
                <w:szCs w:val="23"/>
                <w:color w:val="auto"/>
              </w:rPr>
            </w:pPr>
          </w:p>
        </w:tc>
        <w:tc>
          <w:tcPr>
            <w:tcW w:w="340" w:type="dxa"/>
            <w:vAlign w:val="bottom"/>
            <w:tcBorders>
              <w:bottom w:val="single" w:sz="8" w:color="auto"/>
            </w:tcBorders>
            <w:shd w:val="clear" w:color="auto" w:fill="BFBFBF"/>
          </w:tcPr>
          <w:p>
            <w:pPr>
              <w:spacing w:after="0"/>
              <w:rPr>
                <w:sz w:val="23"/>
                <w:szCs w:val="23"/>
                <w:color w:val="auto"/>
              </w:rPr>
            </w:pPr>
          </w:p>
        </w:tc>
        <w:tc>
          <w:tcPr>
            <w:tcW w:w="510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49"/>
        </w:trPr>
        <w:tc>
          <w:tcPr>
            <w:tcW w:w="36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w w:val="94"/>
              </w:rPr>
              <w:t xml:space="preserve">Base salary </w:t>
            </w:r>
            <w:r>
              <w:rPr>
                <w:rFonts w:ascii="Arial" w:cs="Arial" w:eastAsia="Arial" w:hAnsi="Arial"/>
                <w:sz w:val="18"/>
                <w:szCs w:val="18"/>
                <w:color w:val="auto"/>
                <w:w w:val="94"/>
              </w:rPr>
              <w:t>is determined based on position,</w:t>
            </w:r>
          </w:p>
        </w:tc>
        <w:tc>
          <w:tcPr>
            <w:tcW w:w="340" w:type="dxa"/>
            <w:vAlign w:val="bottom"/>
          </w:tcPr>
          <w:p>
            <w:pPr>
              <w:ind w:left="100"/>
              <w:spacing w:after="0"/>
              <w:rPr>
                <w:sz w:val="20"/>
                <w:szCs w:val="20"/>
                <w:color w:val="auto"/>
              </w:rPr>
            </w:pPr>
            <w:r>
              <w:rPr>
                <w:rFonts w:ascii="Arial" w:cs="Arial" w:eastAsia="Arial" w:hAnsi="Arial"/>
                <w:sz w:val="18"/>
                <w:szCs w:val="18"/>
                <w:color w:val="auto"/>
              </w:rPr>
              <w:t>•</w:t>
            </w:r>
          </w:p>
        </w:tc>
        <w:tc>
          <w:tcPr>
            <w:tcW w:w="51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Provides a fixed level of compensation for services rendered</w:t>
            </w:r>
          </w:p>
        </w:tc>
        <w:tc>
          <w:tcPr>
            <w:tcW w:w="0" w:type="dxa"/>
            <w:vAlign w:val="bottom"/>
          </w:tcPr>
          <w:p>
            <w:pPr>
              <w:spacing w:after="0"/>
              <w:rPr>
                <w:sz w:val="1"/>
                <w:szCs w:val="1"/>
                <w:color w:val="auto"/>
              </w:rPr>
            </w:pPr>
          </w:p>
        </w:tc>
      </w:tr>
      <w:tr>
        <w:trPr>
          <w:trHeight w:val="216"/>
        </w:trPr>
        <w:tc>
          <w:tcPr>
            <w:tcW w:w="36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w w:val="97"/>
              </w:rPr>
              <w:t>scope of responsibilities, experience, tenure,</w:t>
            </w:r>
          </w:p>
        </w:tc>
        <w:tc>
          <w:tcPr>
            <w:tcW w:w="340" w:type="dxa"/>
            <w:vAlign w:val="bottom"/>
          </w:tcPr>
          <w:p>
            <w:pPr>
              <w:spacing w:after="0"/>
              <w:rPr>
                <w:sz w:val="18"/>
                <w:szCs w:val="18"/>
                <w:color w:val="auto"/>
              </w:rPr>
            </w:pPr>
          </w:p>
        </w:tc>
        <w:tc>
          <w:tcPr>
            <w:tcW w:w="51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during the year.</w:t>
            </w:r>
          </w:p>
        </w:tc>
        <w:tc>
          <w:tcPr>
            <w:tcW w:w="0" w:type="dxa"/>
            <w:vAlign w:val="bottom"/>
          </w:tcPr>
          <w:p>
            <w:pPr>
              <w:spacing w:after="0"/>
              <w:rPr>
                <w:sz w:val="1"/>
                <w:szCs w:val="1"/>
                <w:color w:val="auto"/>
              </w:rPr>
            </w:pPr>
          </w:p>
        </w:tc>
      </w:tr>
      <w:tr>
        <w:trPr>
          <w:trHeight w:val="230"/>
        </w:trPr>
        <w:tc>
          <w:tcPr>
            <w:tcW w:w="36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qualifications and competitive data.</w:t>
            </w:r>
          </w:p>
        </w:tc>
        <w:tc>
          <w:tcPr>
            <w:tcW w:w="340" w:type="dxa"/>
            <w:vAlign w:val="bottom"/>
            <w:vMerge w:val="restart"/>
          </w:tcPr>
          <w:p>
            <w:pPr>
              <w:ind w:left="100"/>
              <w:spacing w:after="0"/>
              <w:rPr>
                <w:sz w:val="20"/>
                <w:szCs w:val="20"/>
                <w:color w:val="auto"/>
              </w:rPr>
            </w:pPr>
            <w:r>
              <w:rPr>
                <w:rFonts w:ascii="Arial" w:cs="Arial" w:eastAsia="Arial" w:hAnsi="Arial"/>
                <w:sz w:val="18"/>
                <w:szCs w:val="18"/>
                <w:color w:val="auto"/>
              </w:rPr>
              <w:t>•</w:t>
            </w:r>
          </w:p>
        </w:tc>
        <w:tc>
          <w:tcPr>
            <w:tcW w:w="510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Attracts and retains executive talent.</w:t>
            </w:r>
          </w:p>
        </w:tc>
        <w:tc>
          <w:tcPr>
            <w:tcW w:w="0" w:type="dxa"/>
            <w:vAlign w:val="bottom"/>
          </w:tcPr>
          <w:p>
            <w:pPr>
              <w:spacing w:after="0"/>
              <w:rPr>
                <w:sz w:val="1"/>
                <w:szCs w:val="1"/>
                <w:color w:val="auto"/>
              </w:rPr>
            </w:pPr>
          </w:p>
        </w:tc>
      </w:tr>
      <w:tr>
        <w:trPr>
          <w:trHeight w:val="108"/>
        </w:trPr>
        <w:tc>
          <w:tcPr>
            <w:tcW w:w="3640" w:type="dxa"/>
            <w:vAlign w:val="bottom"/>
            <w:tcBorders>
              <w:left w:val="single" w:sz="8" w:color="auto"/>
              <w:right w:val="single" w:sz="8" w:color="auto"/>
            </w:tcBorders>
          </w:tcPr>
          <w:p>
            <w:pPr>
              <w:spacing w:after="0"/>
              <w:rPr>
                <w:sz w:val="9"/>
                <w:szCs w:val="9"/>
                <w:color w:val="auto"/>
              </w:rPr>
            </w:pPr>
          </w:p>
        </w:tc>
        <w:tc>
          <w:tcPr>
            <w:tcW w:w="340" w:type="dxa"/>
            <w:vAlign w:val="bottom"/>
            <w:vMerge w:val="continue"/>
          </w:tcPr>
          <w:p>
            <w:pPr>
              <w:spacing w:after="0"/>
              <w:rPr>
                <w:sz w:val="9"/>
                <w:szCs w:val="9"/>
                <w:color w:val="auto"/>
              </w:rPr>
            </w:pPr>
          </w:p>
        </w:tc>
        <w:tc>
          <w:tcPr>
            <w:tcW w:w="51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3640" w:type="dxa"/>
            <w:vAlign w:val="bottom"/>
            <w:tcBorders>
              <w:left w:val="single" w:sz="8" w:color="auto"/>
              <w:bottom w:val="single" w:sz="8" w:color="auto"/>
              <w:right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51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36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Annual cash incentive awards under the</w:t>
            </w:r>
          </w:p>
        </w:tc>
        <w:tc>
          <w:tcPr>
            <w:tcW w:w="340" w:type="dxa"/>
            <w:vAlign w:val="bottom"/>
          </w:tcPr>
          <w:p>
            <w:pPr>
              <w:ind w:left="100"/>
              <w:spacing w:after="0"/>
              <w:rPr>
                <w:sz w:val="20"/>
                <w:szCs w:val="20"/>
                <w:color w:val="auto"/>
              </w:rPr>
            </w:pPr>
            <w:r>
              <w:rPr>
                <w:rFonts w:ascii="Arial" w:cs="Arial" w:eastAsia="Arial" w:hAnsi="Arial"/>
                <w:sz w:val="18"/>
                <w:szCs w:val="18"/>
                <w:color w:val="auto"/>
              </w:rPr>
              <w:t>•</w:t>
            </w:r>
          </w:p>
        </w:tc>
        <w:tc>
          <w:tcPr>
            <w:tcW w:w="51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5"/>
              </w:rPr>
              <w:t>Provides focus on annual performance goals linked to Company</w:t>
            </w:r>
          </w:p>
        </w:tc>
        <w:tc>
          <w:tcPr>
            <w:tcW w:w="0" w:type="dxa"/>
            <w:vAlign w:val="bottom"/>
          </w:tcPr>
          <w:p>
            <w:pPr>
              <w:spacing w:after="0"/>
              <w:rPr>
                <w:sz w:val="1"/>
                <w:szCs w:val="1"/>
                <w:color w:val="auto"/>
              </w:rPr>
            </w:pPr>
          </w:p>
        </w:tc>
      </w:tr>
      <w:tr>
        <w:trPr>
          <w:trHeight w:val="220"/>
        </w:trPr>
        <w:tc>
          <w:tcPr>
            <w:tcW w:w="36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w w:val="99"/>
              </w:rPr>
              <w:t xml:space="preserve">Senior Executive Annual Bonus Plan </w:t>
            </w:r>
            <w:r>
              <w:rPr>
                <w:rFonts w:ascii="Arial" w:cs="Arial" w:eastAsia="Arial" w:hAnsi="Arial"/>
                <w:sz w:val="18"/>
                <w:szCs w:val="18"/>
                <w:color w:val="auto"/>
                <w:w w:val="99"/>
              </w:rPr>
              <w:t>are</w:t>
            </w:r>
          </w:p>
        </w:tc>
        <w:tc>
          <w:tcPr>
            <w:tcW w:w="340" w:type="dxa"/>
            <w:vAlign w:val="bottom"/>
          </w:tcPr>
          <w:p>
            <w:pPr>
              <w:spacing w:after="0"/>
              <w:rPr>
                <w:sz w:val="19"/>
                <w:szCs w:val="19"/>
                <w:color w:val="auto"/>
              </w:rPr>
            </w:pPr>
          </w:p>
        </w:tc>
        <w:tc>
          <w:tcPr>
            <w:tcW w:w="51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success and shareholder value.</w:t>
            </w:r>
          </w:p>
        </w:tc>
        <w:tc>
          <w:tcPr>
            <w:tcW w:w="0" w:type="dxa"/>
            <w:vAlign w:val="bottom"/>
          </w:tcPr>
          <w:p>
            <w:pPr>
              <w:spacing w:after="0"/>
              <w:rPr>
                <w:sz w:val="1"/>
                <w:szCs w:val="1"/>
                <w:color w:val="auto"/>
              </w:rPr>
            </w:pPr>
          </w:p>
        </w:tc>
      </w:tr>
      <w:tr>
        <w:trPr>
          <w:trHeight w:val="216"/>
        </w:trPr>
        <w:tc>
          <w:tcPr>
            <w:tcW w:w="36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w w:val="92"/>
              </w:rPr>
              <w:t>variable awards payable in large part based on</w:t>
            </w:r>
          </w:p>
        </w:tc>
        <w:tc>
          <w:tcPr>
            <w:tcW w:w="340" w:type="dxa"/>
            <w:vAlign w:val="bottom"/>
            <w:vMerge w:val="restart"/>
          </w:tcPr>
          <w:p>
            <w:pPr>
              <w:ind w:left="100"/>
              <w:spacing w:after="0"/>
              <w:rPr>
                <w:sz w:val="20"/>
                <w:szCs w:val="20"/>
                <w:color w:val="auto"/>
              </w:rPr>
            </w:pPr>
            <w:r>
              <w:rPr>
                <w:rFonts w:ascii="Arial" w:cs="Arial" w:eastAsia="Arial" w:hAnsi="Arial"/>
                <w:sz w:val="18"/>
                <w:szCs w:val="18"/>
                <w:color w:val="auto"/>
              </w:rPr>
              <w:t>•</w:t>
            </w:r>
          </w:p>
        </w:tc>
        <w:tc>
          <w:tcPr>
            <w:tcW w:w="510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w w:val="92"/>
              </w:rPr>
              <w:t>Motivates and rewards named executive officers to achieve strong</w:t>
            </w:r>
          </w:p>
        </w:tc>
        <w:tc>
          <w:tcPr>
            <w:tcW w:w="0" w:type="dxa"/>
            <w:vAlign w:val="bottom"/>
          </w:tcPr>
          <w:p>
            <w:pPr>
              <w:spacing w:after="0"/>
              <w:rPr>
                <w:sz w:val="1"/>
                <w:szCs w:val="1"/>
                <w:color w:val="auto"/>
              </w:rPr>
            </w:pPr>
          </w:p>
        </w:tc>
      </w:tr>
      <w:tr>
        <w:trPr>
          <w:trHeight w:val="108"/>
        </w:trPr>
        <w:tc>
          <w:tcPr>
            <w:tcW w:w="3640" w:type="dxa"/>
            <w:vAlign w:val="bottom"/>
            <w:tcBorders>
              <w:left w:val="single" w:sz="8" w:color="auto"/>
              <w:right w:val="single" w:sz="8" w:color="auto"/>
            </w:tcBorders>
            <w:vMerge w:val="restart"/>
          </w:tcPr>
          <w:p>
            <w:pPr>
              <w:ind w:left="140"/>
              <w:spacing w:after="0"/>
              <w:rPr>
                <w:sz w:val="20"/>
                <w:szCs w:val="20"/>
                <w:color w:val="auto"/>
              </w:rPr>
            </w:pPr>
            <w:r>
              <w:rPr>
                <w:rFonts w:ascii="Arial" w:cs="Arial" w:eastAsia="Arial" w:hAnsi="Arial"/>
                <w:sz w:val="18"/>
                <w:szCs w:val="18"/>
                <w:color w:val="auto"/>
                <w:w w:val="92"/>
              </w:rPr>
              <w:t>Company performance and results established</w:t>
            </w:r>
          </w:p>
        </w:tc>
        <w:tc>
          <w:tcPr>
            <w:tcW w:w="340" w:type="dxa"/>
            <w:vAlign w:val="bottom"/>
            <w:vMerge w:val="continue"/>
          </w:tcPr>
          <w:p>
            <w:pPr>
              <w:spacing w:after="0"/>
              <w:rPr>
                <w:sz w:val="9"/>
                <w:szCs w:val="9"/>
                <w:color w:val="auto"/>
              </w:rPr>
            </w:pPr>
          </w:p>
        </w:tc>
        <w:tc>
          <w:tcPr>
            <w:tcW w:w="51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640" w:type="dxa"/>
            <w:vAlign w:val="bottom"/>
            <w:tcBorders>
              <w:left w:val="single" w:sz="8" w:color="auto"/>
              <w:right w:val="single" w:sz="8" w:color="auto"/>
            </w:tcBorders>
            <w:vMerge w:val="continue"/>
          </w:tcPr>
          <w:p>
            <w:pPr>
              <w:spacing w:after="0"/>
              <w:rPr>
                <w:sz w:val="9"/>
                <w:szCs w:val="9"/>
                <w:color w:val="auto"/>
              </w:rPr>
            </w:pPr>
          </w:p>
        </w:tc>
        <w:tc>
          <w:tcPr>
            <w:tcW w:w="340" w:type="dxa"/>
            <w:vAlign w:val="bottom"/>
          </w:tcPr>
          <w:p>
            <w:pPr>
              <w:spacing w:after="0"/>
              <w:rPr>
                <w:sz w:val="9"/>
                <w:szCs w:val="9"/>
                <w:color w:val="auto"/>
              </w:rPr>
            </w:pPr>
          </w:p>
        </w:tc>
        <w:tc>
          <w:tcPr>
            <w:tcW w:w="510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w w:val="92"/>
              </w:rPr>
              <w:t>annual business results that will contribute to the Company’s long-</w:t>
            </w:r>
          </w:p>
        </w:tc>
        <w:tc>
          <w:tcPr>
            <w:tcW w:w="0" w:type="dxa"/>
            <w:vAlign w:val="bottom"/>
          </w:tcPr>
          <w:p>
            <w:pPr>
              <w:spacing w:after="0"/>
              <w:rPr>
                <w:sz w:val="1"/>
                <w:szCs w:val="1"/>
                <w:color w:val="auto"/>
              </w:rPr>
            </w:pPr>
          </w:p>
        </w:tc>
      </w:tr>
      <w:tr>
        <w:trPr>
          <w:trHeight w:val="108"/>
        </w:trPr>
        <w:tc>
          <w:tcPr>
            <w:tcW w:w="3640" w:type="dxa"/>
            <w:vAlign w:val="bottom"/>
            <w:tcBorders>
              <w:left w:val="single" w:sz="8" w:color="auto"/>
              <w:right w:val="single" w:sz="8" w:color="auto"/>
            </w:tcBorders>
            <w:vMerge w:val="restart"/>
          </w:tcPr>
          <w:p>
            <w:pPr>
              <w:ind w:left="140"/>
              <w:spacing w:after="0"/>
              <w:rPr>
                <w:sz w:val="20"/>
                <w:szCs w:val="20"/>
                <w:color w:val="auto"/>
              </w:rPr>
            </w:pPr>
            <w:r>
              <w:rPr>
                <w:rFonts w:ascii="Arial" w:cs="Arial" w:eastAsia="Arial" w:hAnsi="Arial"/>
                <w:sz w:val="18"/>
                <w:szCs w:val="18"/>
                <w:color w:val="auto"/>
              </w:rPr>
              <w:t>by the Compensation Committee.</w:t>
            </w:r>
          </w:p>
        </w:tc>
        <w:tc>
          <w:tcPr>
            <w:tcW w:w="340" w:type="dxa"/>
            <w:vAlign w:val="bottom"/>
          </w:tcPr>
          <w:p>
            <w:pPr>
              <w:spacing w:after="0"/>
              <w:rPr>
                <w:sz w:val="9"/>
                <w:szCs w:val="9"/>
                <w:color w:val="auto"/>
              </w:rPr>
            </w:pPr>
          </w:p>
        </w:tc>
        <w:tc>
          <w:tcPr>
            <w:tcW w:w="51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640" w:type="dxa"/>
            <w:vAlign w:val="bottom"/>
            <w:tcBorders>
              <w:left w:val="single" w:sz="8" w:color="auto"/>
              <w:right w:val="single" w:sz="8" w:color="auto"/>
            </w:tcBorders>
            <w:vMerge w:val="continue"/>
          </w:tcPr>
          <w:p>
            <w:pPr>
              <w:spacing w:after="0"/>
              <w:rPr>
                <w:sz w:val="10"/>
                <w:szCs w:val="10"/>
                <w:color w:val="auto"/>
              </w:rPr>
            </w:pPr>
          </w:p>
        </w:tc>
        <w:tc>
          <w:tcPr>
            <w:tcW w:w="340" w:type="dxa"/>
            <w:vAlign w:val="bottom"/>
          </w:tcPr>
          <w:p>
            <w:pPr>
              <w:spacing w:after="0"/>
              <w:rPr>
                <w:sz w:val="10"/>
                <w:szCs w:val="10"/>
                <w:color w:val="auto"/>
              </w:rPr>
            </w:pPr>
          </w:p>
        </w:tc>
        <w:tc>
          <w:tcPr>
            <w:tcW w:w="510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w w:val="93"/>
              </w:rPr>
              <w:t>term success without creating an incentive to take excessive risk.</w:t>
            </w:r>
          </w:p>
        </w:tc>
        <w:tc>
          <w:tcPr>
            <w:tcW w:w="0" w:type="dxa"/>
            <w:vAlign w:val="bottom"/>
          </w:tcPr>
          <w:p>
            <w:pPr>
              <w:spacing w:after="0"/>
              <w:rPr>
                <w:sz w:val="1"/>
                <w:szCs w:val="1"/>
                <w:color w:val="auto"/>
              </w:rPr>
            </w:pPr>
          </w:p>
        </w:tc>
      </w:tr>
      <w:tr>
        <w:trPr>
          <w:trHeight w:val="108"/>
        </w:trPr>
        <w:tc>
          <w:tcPr>
            <w:tcW w:w="3640" w:type="dxa"/>
            <w:vAlign w:val="bottom"/>
            <w:tcBorders>
              <w:left w:val="single" w:sz="8" w:color="auto"/>
              <w:right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51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3640" w:type="dxa"/>
            <w:vAlign w:val="bottom"/>
            <w:tcBorders>
              <w:left w:val="single" w:sz="8" w:color="auto"/>
              <w:bottom w:val="single" w:sz="8" w:color="auto"/>
              <w:right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51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36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w w:val="95"/>
              </w:rPr>
              <w:t xml:space="preserve">Long-term incentive awards </w:t>
            </w:r>
            <w:r>
              <w:rPr>
                <w:rFonts w:ascii="Arial" w:cs="Arial" w:eastAsia="Arial" w:hAnsi="Arial"/>
                <w:sz w:val="18"/>
                <w:szCs w:val="18"/>
                <w:color w:val="auto"/>
                <w:w w:val="95"/>
              </w:rPr>
              <w:t>through annual</w:t>
            </w:r>
          </w:p>
        </w:tc>
        <w:tc>
          <w:tcPr>
            <w:tcW w:w="340" w:type="dxa"/>
            <w:vAlign w:val="bottom"/>
          </w:tcPr>
          <w:p>
            <w:pPr>
              <w:ind w:left="100"/>
              <w:spacing w:after="0"/>
              <w:rPr>
                <w:sz w:val="20"/>
                <w:szCs w:val="20"/>
                <w:color w:val="auto"/>
              </w:rPr>
            </w:pPr>
            <w:r>
              <w:rPr>
                <w:rFonts w:ascii="Arial" w:cs="Arial" w:eastAsia="Arial" w:hAnsi="Arial"/>
                <w:sz w:val="18"/>
                <w:szCs w:val="18"/>
                <w:color w:val="auto"/>
              </w:rPr>
              <w:t>•</w:t>
            </w:r>
          </w:p>
        </w:tc>
        <w:tc>
          <w:tcPr>
            <w:tcW w:w="51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Ensures that the named executive officers have a significant</w:t>
            </w:r>
          </w:p>
        </w:tc>
        <w:tc>
          <w:tcPr>
            <w:tcW w:w="0" w:type="dxa"/>
            <w:vAlign w:val="bottom"/>
          </w:tcPr>
          <w:p>
            <w:pPr>
              <w:spacing w:after="0"/>
              <w:rPr>
                <w:sz w:val="1"/>
                <w:szCs w:val="1"/>
                <w:color w:val="auto"/>
              </w:rPr>
            </w:pPr>
          </w:p>
        </w:tc>
      </w:tr>
      <w:tr>
        <w:trPr>
          <w:trHeight w:val="216"/>
        </w:trPr>
        <w:tc>
          <w:tcPr>
            <w:tcW w:w="36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restricted share grants.</w:t>
            </w:r>
          </w:p>
        </w:tc>
        <w:tc>
          <w:tcPr>
            <w:tcW w:w="340" w:type="dxa"/>
            <w:vAlign w:val="bottom"/>
          </w:tcPr>
          <w:p>
            <w:pPr>
              <w:spacing w:after="0"/>
              <w:rPr>
                <w:sz w:val="18"/>
                <w:szCs w:val="18"/>
                <w:color w:val="auto"/>
              </w:rPr>
            </w:pPr>
          </w:p>
        </w:tc>
        <w:tc>
          <w:tcPr>
            <w:tcW w:w="51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continuing interest in the long-term financial success of the</w:t>
            </w:r>
          </w:p>
        </w:tc>
        <w:tc>
          <w:tcPr>
            <w:tcW w:w="0" w:type="dxa"/>
            <w:vAlign w:val="bottom"/>
          </w:tcPr>
          <w:p>
            <w:pPr>
              <w:spacing w:after="0"/>
              <w:rPr>
                <w:sz w:val="1"/>
                <w:szCs w:val="1"/>
                <w:color w:val="auto"/>
              </w:rPr>
            </w:pPr>
          </w:p>
        </w:tc>
      </w:tr>
      <w:tr>
        <w:trPr>
          <w:trHeight w:val="230"/>
        </w:trPr>
        <w:tc>
          <w:tcPr>
            <w:tcW w:w="3640" w:type="dxa"/>
            <w:vAlign w:val="bottom"/>
            <w:tcBorders>
              <w:left w:val="single" w:sz="8" w:color="auto"/>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51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Company.</w:t>
            </w:r>
          </w:p>
        </w:tc>
        <w:tc>
          <w:tcPr>
            <w:tcW w:w="0" w:type="dxa"/>
            <w:vAlign w:val="bottom"/>
          </w:tcPr>
          <w:p>
            <w:pPr>
              <w:spacing w:after="0"/>
              <w:rPr>
                <w:sz w:val="1"/>
                <w:szCs w:val="1"/>
                <w:color w:val="auto"/>
              </w:rPr>
            </w:pPr>
          </w:p>
        </w:tc>
      </w:tr>
      <w:tr>
        <w:trPr>
          <w:trHeight w:val="310"/>
        </w:trPr>
        <w:tc>
          <w:tcPr>
            <w:tcW w:w="3640" w:type="dxa"/>
            <w:vAlign w:val="bottom"/>
            <w:tcBorders>
              <w:left w:val="single" w:sz="8" w:color="auto"/>
              <w:right w:val="single" w:sz="8" w:color="auto"/>
            </w:tcBorders>
          </w:tcPr>
          <w:p>
            <w:pPr>
              <w:spacing w:after="0"/>
              <w:rPr>
                <w:sz w:val="24"/>
                <w:szCs w:val="24"/>
                <w:color w:val="auto"/>
              </w:rPr>
            </w:pPr>
          </w:p>
        </w:tc>
        <w:tc>
          <w:tcPr>
            <w:tcW w:w="340" w:type="dxa"/>
            <w:vAlign w:val="bottom"/>
          </w:tcPr>
          <w:p>
            <w:pPr>
              <w:ind w:left="100"/>
              <w:spacing w:after="0"/>
              <w:rPr>
                <w:sz w:val="20"/>
                <w:szCs w:val="20"/>
                <w:color w:val="auto"/>
              </w:rPr>
            </w:pPr>
            <w:r>
              <w:rPr>
                <w:rFonts w:ascii="Arial" w:cs="Arial" w:eastAsia="Arial" w:hAnsi="Arial"/>
                <w:sz w:val="18"/>
                <w:szCs w:val="18"/>
                <w:color w:val="auto"/>
              </w:rPr>
              <w:t>•</w:t>
            </w:r>
          </w:p>
        </w:tc>
        <w:tc>
          <w:tcPr>
            <w:tcW w:w="51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2"/>
              </w:rPr>
              <w:t>Aligns the interests of the named executive officers with Company</w:t>
            </w:r>
          </w:p>
        </w:tc>
        <w:tc>
          <w:tcPr>
            <w:tcW w:w="0" w:type="dxa"/>
            <w:vAlign w:val="bottom"/>
          </w:tcPr>
          <w:p>
            <w:pPr>
              <w:spacing w:after="0"/>
              <w:rPr>
                <w:sz w:val="1"/>
                <w:szCs w:val="1"/>
                <w:color w:val="auto"/>
              </w:rPr>
            </w:pPr>
          </w:p>
        </w:tc>
      </w:tr>
      <w:tr>
        <w:trPr>
          <w:trHeight w:val="230"/>
        </w:trPr>
        <w:tc>
          <w:tcPr>
            <w:tcW w:w="3640" w:type="dxa"/>
            <w:vAlign w:val="bottom"/>
            <w:tcBorders>
              <w:left w:val="single" w:sz="8" w:color="auto"/>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51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shareholders.</w:t>
            </w:r>
          </w:p>
        </w:tc>
        <w:tc>
          <w:tcPr>
            <w:tcW w:w="0" w:type="dxa"/>
            <w:vAlign w:val="bottom"/>
          </w:tcPr>
          <w:p>
            <w:pPr>
              <w:spacing w:after="0"/>
              <w:rPr>
                <w:sz w:val="1"/>
                <w:szCs w:val="1"/>
                <w:color w:val="auto"/>
              </w:rPr>
            </w:pPr>
          </w:p>
        </w:tc>
      </w:tr>
      <w:tr>
        <w:trPr>
          <w:trHeight w:val="283"/>
        </w:trPr>
        <w:tc>
          <w:tcPr>
            <w:tcW w:w="3640" w:type="dxa"/>
            <w:vAlign w:val="bottom"/>
            <w:tcBorders>
              <w:left w:val="single" w:sz="8" w:color="auto"/>
              <w:right w:val="single" w:sz="8" w:color="auto"/>
            </w:tcBorders>
          </w:tcPr>
          <w:p>
            <w:pPr>
              <w:spacing w:after="0"/>
              <w:rPr>
                <w:sz w:val="24"/>
                <w:szCs w:val="24"/>
                <w:color w:val="auto"/>
              </w:rPr>
            </w:pPr>
          </w:p>
        </w:tc>
        <w:tc>
          <w:tcPr>
            <w:tcW w:w="340" w:type="dxa"/>
            <w:vAlign w:val="bottom"/>
          </w:tcPr>
          <w:p>
            <w:pPr>
              <w:ind w:left="100"/>
              <w:spacing w:after="0"/>
              <w:rPr>
                <w:sz w:val="20"/>
                <w:szCs w:val="20"/>
                <w:color w:val="auto"/>
              </w:rPr>
            </w:pPr>
            <w:r>
              <w:rPr>
                <w:rFonts w:ascii="Arial" w:cs="Arial" w:eastAsia="Arial" w:hAnsi="Arial"/>
                <w:sz w:val="18"/>
                <w:szCs w:val="18"/>
                <w:color w:val="auto"/>
              </w:rPr>
              <w:t>•</w:t>
            </w:r>
          </w:p>
        </w:tc>
        <w:tc>
          <w:tcPr>
            <w:tcW w:w="51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1"/>
              </w:rPr>
              <w:t>Encourages decisions and rewards performance that contributes to</w:t>
            </w:r>
          </w:p>
        </w:tc>
        <w:tc>
          <w:tcPr>
            <w:tcW w:w="0" w:type="dxa"/>
            <w:vAlign w:val="bottom"/>
          </w:tcPr>
          <w:p>
            <w:pPr>
              <w:spacing w:after="0"/>
              <w:rPr>
                <w:sz w:val="1"/>
                <w:szCs w:val="1"/>
                <w:color w:val="auto"/>
              </w:rPr>
            </w:pPr>
          </w:p>
        </w:tc>
      </w:tr>
      <w:tr>
        <w:trPr>
          <w:trHeight w:val="230"/>
        </w:trPr>
        <w:tc>
          <w:tcPr>
            <w:tcW w:w="3640" w:type="dxa"/>
            <w:vAlign w:val="bottom"/>
            <w:tcBorders>
              <w:left w:val="single" w:sz="8" w:color="auto"/>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51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the long-term Company success.</w:t>
            </w:r>
          </w:p>
        </w:tc>
        <w:tc>
          <w:tcPr>
            <w:tcW w:w="0" w:type="dxa"/>
            <w:vAlign w:val="bottom"/>
          </w:tcPr>
          <w:p>
            <w:pPr>
              <w:spacing w:after="0"/>
              <w:rPr>
                <w:sz w:val="1"/>
                <w:szCs w:val="1"/>
                <w:color w:val="auto"/>
              </w:rPr>
            </w:pPr>
          </w:p>
        </w:tc>
      </w:tr>
      <w:tr>
        <w:trPr>
          <w:trHeight w:val="297"/>
        </w:trPr>
        <w:tc>
          <w:tcPr>
            <w:tcW w:w="3640" w:type="dxa"/>
            <w:vAlign w:val="bottom"/>
            <w:tcBorders>
              <w:left w:val="single" w:sz="8" w:color="auto"/>
              <w:right w:val="single" w:sz="8" w:color="auto"/>
            </w:tcBorders>
          </w:tcPr>
          <w:p>
            <w:pPr>
              <w:spacing w:after="0"/>
              <w:rPr>
                <w:sz w:val="24"/>
                <w:szCs w:val="24"/>
                <w:color w:val="auto"/>
              </w:rPr>
            </w:pPr>
          </w:p>
        </w:tc>
        <w:tc>
          <w:tcPr>
            <w:tcW w:w="340" w:type="dxa"/>
            <w:vAlign w:val="bottom"/>
          </w:tcPr>
          <w:p>
            <w:pPr>
              <w:ind w:left="100"/>
              <w:spacing w:after="0"/>
              <w:rPr>
                <w:sz w:val="20"/>
                <w:szCs w:val="20"/>
                <w:color w:val="auto"/>
              </w:rPr>
            </w:pPr>
            <w:r>
              <w:rPr>
                <w:rFonts w:ascii="Arial" w:cs="Arial" w:eastAsia="Arial" w:hAnsi="Arial"/>
                <w:sz w:val="18"/>
                <w:szCs w:val="18"/>
                <w:color w:val="auto"/>
              </w:rPr>
              <w:t>•</w:t>
            </w:r>
          </w:p>
        </w:tc>
        <w:tc>
          <w:tcPr>
            <w:tcW w:w="51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Encourages executive retention.</w:t>
            </w:r>
          </w:p>
        </w:tc>
        <w:tc>
          <w:tcPr>
            <w:tcW w:w="0" w:type="dxa"/>
            <w:vAlign w:val="bottom"/>
          </w:tcPr>
          <w:p>
            <w:pPr>
              <w:spacing w:after="0"/>
              <w:rPr>
                <w:sz w:val="1"/>
                <w:szCs w:val="1"/>
                <w:color w:val="auto"/>
              </w:rPr>
            </w:pPr>
          </w:p>
        </w:tc>
      </w:tr>
      <w:tr>
        <w:trPr>
          <w:trHeight w:val="297"/>
        </w:trPr>
        <w:tc>
          <w:tcPr>
            <w:tcW w:w="3640" w:type="dxa"/>
            <w:vAlign w:val="bottom"/>
            <w:tcBorders>
              <w:left w:val="single" w:sz="8" w:color="auto"/>
              <w:right w:val="single" w:sz="8" w:color="auto"/>
            </w:tcBorders>
          </w:tcPr>
          <w:p>
            <w:pPr>
              <w:spacing w:after="0"/>
              <w:rPr>
                <w:sz w:val="24"/>
                <w:szCs w:val="24"/>
                <w:color w:val="auto"/>
              </w:rPr>
            </w:pPr>
          </w:p>
        </w:tc>
        <w:tc>
          <w:tcPr>
            <w:tcW w:w="340" w:type="dxa"/>
            <w:vAlign w:val="bottom"/>
          </w:tcPr>
          <w:p>
            <w:pPr>
              <w:ind w:left="100"/>
              <w:spacing w:after="0"/>
              <w:rPr>
                <w:sz w:val="20"/>
                <w:szCs w:val="20"/>
                <w:color w:val="auto"/>
              </w:rPr>
            </w:pPr>
            <w:r>
              <w:rPr>
                <w:rFonts w:ascii="Arial" w:cs="Arial" w:eastAsia="Arial" w:hAnsi="Arial"/>
                <w:sz w:val="18"/>
                <w:szCs w:val="18"/>
                <w:color w:val="auto"/>
              </w:rPr>
              <w:t>•</w:t>
            </w:r>
          </w:p>
        </w:tc>
        <w:tc>
          <w:tcPr>
            <w:tcW w:w="51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Discourages excessive risk taking.</w:t>
            </w:r>
          </w:p>
        </w:tc>
        <w:tc>
          <w:tcPr>
            <w:tcW w:w="0" w:type="dxa"/>
            <w:vAlign w:val="bottom"/>
          </w:tcPr>
          <w:p>
            <w:pPr>
              <w:spacing w:after="0"/>
              <w:rPr>
                <w:sz w:val="1"/>
                <w:szCs w:val="1"/>
                <w:color w:val="auto"/>
              </w:rPr>
            </w:pPr>
          </w:p>
        </w:tc>
      </w:tr>
      <w:tr>
        <w:trPr>
          <w:trHeight w:val="54"/>
        </w:trPr>
        <w:tc>
          <w:tcPr>
            <w:tcW w:w="3640" w:type="dxa"/>
            <w:vAlign w:val="bottom"/>
            <w:tcBorders>
              <w:left w:val="single" w:sz="8" w:color="auto"/>
              <w:bottom w:val="single" w:sz="8" w:color="auto"/>
              <w:right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51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36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w w:val="98"/>
              </w:rPr>
              <w:t>Long-term cash awards under the Senior</w:t>
            </w:r>
          </w:p>
        </w:tc>
        <w:tc>
          <w:tcPr>
            <w:tcW w:w="340" w:type="dxa"/>
            <w:vAlign w:val="bottom"/>
          </w:tcPr>
          <w:p>
            <w:pPr>
              <w:ind w:left="100"/>
              <w:spacing w:after="0"/>
              <w:rPr>
                <w:sz w:val="20"/>
                <w:szCs w:val="20"/>
                <w:color w:val="auto"/>
              </w:rPr>
            </w:pPr>
            <w:r>
              <w:rPr>
                <w:rFonts w:ascii="Arial" w:cs="Arial" w:eastAsia="Arial" w:hAnsi="Arial"/>
                <w:sz w:val="18"/>
                <w:szCs w:val="18"/>
                <w:color w:val="auto"/>
              </w:rPr>
              <w:t>•</w:t>
            </w:r>
          </w:p>
        </w:tc>
        <w:tc>
          <w:tcPr>
            <w:tcW w:w="51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6"/>
              </w:rPr>
              <w:t>Encourages focus on growth in book value and return on equity</w:t>
            </w:r>
          </w:p>
        </w:tc>
        <w:tc>
          <w:tcPr>
            <w:tcW w:w="0" w:type="dxa"/>
            <w:vAlign w:val="bottom"/>
          </w:tcPr>
          <w:p>
            <w:pPr>
              <w:spacing w:after="0"/>
              <w:rPr>
                <w:sz w:val="1"/>
                <w:szCs w:val="1"/>
                <w:color w:val="auto"/>
              </w:rPr>
            </w:pPr>
          </w:p>
        </w:tc>
      </w:tr>
      <w:tr>
        <w:trPr>
          <w:trHeight w:val="216"/>
        </w:trPr>
        <w:tc>
          <w:tcPr>
            <w:tcW w:w="36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Executive Long Term Incentive</w:t>
            </w:r>
          </w:p>
        </w:tc>
        <w:tc>
          <w:tcPr>
            <w:tcW w:w="340" w:type="dxa"/>
            <w:vAlign w:val="bottom"/>
          </w:tcPr>
          <w:p>
            <w:pPr>
              <w:spacing w:after="0"/>
              <w:rPr>
                <w:sz w:val="18"/>
                <w:szCs w:val="18"/>
                <w:color w:val="auto"/>
              </w:rPr>
            </w:pPr>
          </w:p>
        </w:tc>
        <w:tc>
          <w:tcPr>
            <w:tcW w:w="51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growth, primary drivers of long-term shareholder value.</w:t>
            </w:r>
          </w:p>
        </w:tc>
        <w:tc>
          <w:tcPr>
            <w:tcW w:w="0" w:type="dxa"/>
            <w:vAlign w:val="bottom"/>
          </w:tcPr>
          <w:p>
            <w:pPr>
              <w:spacing w:after="0"/>
              <w:rPr>
                <w:sz w:val="1"/>
                <w:szCs w:val="1"/>
                <w:color w:val="auto"/>
              </w:rPr>
            </w:pPr>
          </w:p>
        </w:tc>
      </w:tr>
      <w:tr>
        <w:trPr>
          <w:trHeight w:val="234"/>
        </w:trPr>
        <w:tc>
          <w:tcPr>
            <w:tcW w:w="36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Compensation Plan</w:t>
            </w:r>
            <w:r>
              <w:rPr>
                <w:rFonts w:ascii="Arial" w:cs="Arial" w:eastAsia="Arial" w:hAnsi="Arial"/>
                <w:sz w:val="18"/>
                <w:szCs w:val="18"/>
                <w:color w:val="auto"/>
              </w:rPr>
              <w:t>.</w:t>
            </w:r>
          </w:p>
        </w:tc>
        <w:tc>
          <w:tcPr>
            <w:tcW w:w="340" w:type="dxa"/>
            <w:vAlign w:val="bottom"/>
            <w:vMerge w:val="restart"/>
          </w:tcPr>
          <w:p>
            <w:pPr>
              <w:ind w:left="100"/>
              <w:spacing w:after="0"/>
              <w:rPr>
                <w:sz w:val="20"/>
                <w:szCs w:val="20"/>
                <w:color w:val="auto"/>
              </w:rPr>
            </w:pPr>
            <w:r>
              <w:rPr>
                <w:rFonts w:ascii="Arial" w:cs="Arial" w:eastAsia="Arial" w:hAnsi="Arial"/>
                <w:sz w:val="18"/>
                <w:szCs w:val="18"/>
                <w:color w:val="auto"/>
              </w:rPr>
              <w:t>•</w:t>
            </w:r>
          </w:p>
        </w:tc>
        <w:tc>
          <w:tcPr>
            <w:tcW w:w="510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w w:val="97"/>
              </w:rPr>
              <w:t>Encourages retention through three-year performance periods.</w:t>
            </w:r>
          </w:p>
        </w:tc>
        <w:tc>
          <w:tcPr>
            <w:tcW w:w="0" w:type="dxa"/>
            <w:vAlign w:val="bottom"/>
          </w:tcPr>
          <w:p>
            <w:pPr>
              <w:spacing w:after="0"/>
              <w:rPr>
                <w:sz w:val="1"/>
                <w:szCs w:val="1"/>
                <w:color w:val="auto"/>
              </w:rPr>
            </w:pPr>
          </w:p>
        </w:tc>
      </w:tr>
      <w:tr>
        <w:trPr>
          <w:trHeight w:val="108"/>
        </w:trPr>
        <w:tc>
          <w:tcPr>
            <w:tcW w:w="3640" w:type="dxa"/>
            <w:vAlign w:val="bottom"/>
            <w:tcBorders>
              <w:left w:val="single" w:sz="8" w:color="auto"/>
              <w:right w:val="single" w:sz="8" w:color="auto"/>
            </w:tcBorders>
          </w:tcPr>
          <w:p>
            <w:pPr>
              <w:spacing w:after="0"/>
              <w:rPr>
                <w:sz w:val="9"/>
                <w:szCs w:val="9"/>
                <w:color w:val="auto"/>
              </w:rPr>
            </w:pPr>
          </w:p>
        </w:tc>
        <w:tc>
          <w:tcPr>
            <w:tcW w:w="340" w:type="dxa"/>
            <w:vAlign w:val="bottom"/>
            <w:vMerge w:val="continue"/>
          </w:tcPr>
          <w:p>
            <w:pPr>
              <w:spacing w:after="0"/>
              <w:rPr>
                <w:sz w:val="9"/>
                <w:szCs w:val="9"/>
                <w:color w:val="auto"/>
              </w:rPr>
            </w:pPr>
          </w:p>
        </w:tc>
        <w:tc>
          <w:tcPr>
            <w:tcW w:w="51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97"/>
        </w:trPr>
        <w:tc>
          <w:tcPr>
            <w:tcW w:w="3640" w:type="dxa"/>
            <w:vAlign w:val="bottom"/>
            <w:tcBorders>
              <w:left w:val="single" w:sz="8" w:color="auto"/>
              <w:right w:val="single" w:sz="8" w:color="auto"/>
            </w:tcBorders>
          </w:tcPr>
          <w:p>
            <w:pPr>
              <w:spacing w:after="0"/>
              <w:rPr>
                <w:sz w:val="24"/>
                <w:szCs w:val="24"/>
                <w:color w:val="auto"/>
              </w:rPr>
            </w:pPr>
          </w:p>
        </w:tc>
        <w:tc>
          <w:tcPr>
            <w:tcW w:w="340" w:type="dxa"/>
            <w:vAlign w:val="bottom"/>
          </w:tcPr>
          <w:p>
            <w:pPr>
              <w:ind w:left="100"/>
              <w:spacing w:after="0"/>
              <w:rPr>
                <w:sz w:val="20"/>
                <w:szCs w:val="20"/>
                <w:color w:val="auto"/>
              </w:rPr>
            </w:pPr>
            <w:r>
              <w:rPr>
                <w:rFonts w:ascii="Arial" w:cs="Arial" w:eastAsia="Arial" w:hAnsi="Arial"/>
                <w:sz w:val="18"/>
                <w:szCs w:val="18"/>
                <w:color w:val="auto"/>
              </w:rPr>
              <w:t>•</w:t>
            </w:r>
          </w:p>
        </w:tc>
        <w:tc>
          <w:tcPr>
            <w:tcW w:w="51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Long-term focus discourages excessive risk taking.</w:t>
            </w:r>
          </w:p>
        </w:tc>
        <w:tc>
          <w:tcPr>
            <w:tcW w:w="0" w:type="dxa"/>
            <w:vAlign w:val="bottom"/>
          </w:tcPr>
          <w:p>
            <w:pPr>
              <w:spacing w:after="0"/>
              <w:rPr>
                <w:sz w:val="1"/>
                <w:szCs w:val="1"/>
                <w:color w:val="auto"/>
              </w:rPr>
            </w:pPr>
          </w:p>
        </w:tc>
      </w:tr>
      <w:tr>
        <w:trPr>
          <w:trHeight w:val="54"/>
        </w:trPr>
        <w:tc>
          <w:tcPr>
            <w:tcW w:w="3640" w:type="dxa"/>
            <w:vAlign w:val="bottom"/>
            <w:tcBorders>
              <w:left w:val="single" w:sz="8" w:color="auto"/>
              <w:bottom w:val="single" w:sz="8" w:color="auto"/>
              <w:right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51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36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 xml:space="preserve">Retirement benefits </w:t>
            </w:r>
            <w:r>
              <w:rPr>
                <w:rFonts w:ascii="Arial" w:cs="Arial" w:eastAsia="Arial" w:hAnsi="Arial"/>
                <w:sz w:val="18"/>
                <w:szCs w:val="18"/>
                <w:color w:val="auto"/>
              </w:rPr>
              <w:t>which provide</w:t>
            </w:r>
          </w:p>
        </w:tc>
        <w:tc>
          <w:tcPr>
            <w:tcW w:w="340" w:type="dxa"/>
            <w:vAlign w:val="bottom"/>
          </w:tcPr>
          <w:p>
            <w:pPr>
              <w:ind w:left="100"/>
              <w:spacing w:after="0"/>
              <w:rPr>
                <w:sz w:val="20"/>
                <w:szCs w:val="20"/>
                <w:color w:val="auto"/>
              </w:rPr>
            </w:pPr>
            <w:r>
              <w:rPr>
                <w:rFonts w:ascii="Arial" w:cs="Arial" w:eastAsia="Arial" w:hAnsi="Arial"/>
                <w:sz w:val="18"/>
                <w:szCs w:val="18"/>
                <w:color w:val="auto"/>
              </w:rPr>
              <w:t>•</w:t>
            </w:r>
          </w:p>
        </w:tc>
        <w:tc>
          <w:tcPr>
            <w:tcW w:w="51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3"/>
              </w:rPr>
              <w:t>Provides qualified retirement benefits through Company matching</w:t>
            </w:r>
          </w:p>
        </w:tc>
        <w:tc>
          <w:tcPr>
            <w:tcW w:w="0" w:type="dxa"/>
            <w:vAlign w:val="bottom"/>
          </w:tcPr>
          <w:p>
            <w:pPr>
              <w:spacing w:after="0"/>
              <w:rPr>
                <w:sz w:val="1"/>
                <w:szCs w:val="1"/>
                <w:color w:val="auto"/>
              </w:rPr>
            </w:pPr>
          </w:p>
        </w:tc>
      </w:tr>
      <w:tr>
        <w:trPr>
          <w:trHeight w:val="216"/>
        </w:trPr>
        <w:tc>
          <w:tcPr>
            <w:tcW w:w="36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competitive retirement benefits that are</w:t>
            </w:r>
          </w:p>
        </w:tc>
        <w:tc>
          <w:tcPr>
            <w:tcW w:w="340" w:type="dxa"/>
            <w:vAlign w:val="bottom"/>
          </w:tcPr>
          <w:p>
            <w:pPr>
              <w:spacing w:after="0"/>
              <w:rPr>
                <w:sz w:val="18"/>
                <w:szCs w:val="18"/>
                <w:color w:val="auto"/>
              </w:rPr>
            </w:pPr>
          </w:p>
        </w:tc>
        <w:tc>
          <w:tcPr>
            <w:tcW w:w="51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9"/>
              </w:rPr>
              <w:t>of a percentage of contributions in a defined contribution plan.</w:t>
            </w:r>
          </w:p>
        </w:tc>
        <w:tc>
          <w:tcPr>
            <w:tcW w:w="0" w:type="dxa"/>
            <w:vAlign w:val="bottom"/>
          </w:tcPr>
          <w:p>
            <w:pPr>
              <w:spacing w:after="0"/>
              <w:rPr>
                <w:sz w:val="1"/>
                <w:szCs w:val="1"/>
                <w:color w:val="auto"/>
              </w:rPr>
            </w:pPr>
          </w:p>
        </w:tc>
      </w:tr>
      <w:tr>
        <w:trPr>
          <w:trHeight w:val="216"/>
        </w:trPr>
        <w:tc>
          <w:tcPr>
            <w:tcW w:w="36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w w:val="96"/>
              </w:rPr>
              <w:t>generally comparable to those provided to all</w:t>
            </w:r>
          </w:p>
        </w:tc>
        <w:tc>
          <w:tcPr>
            <w:tcW w:w="340" w:type="dxa"/>
            <w:vAlign w:val="bottom"/>
            <w:vMerge w:val="restart"/>
          </w:tcPr>
          <w:p>
            <w:pPr>
              <w:ind w:left="100"/>
              <w:spacing w:after="0"/>
              <w:rPr>
                <w:sz w:val="20"/>
                <w:szCs w:val="20"/>
                <w:color w:val="auto"/>
              </w:rPr>
            </w:pPr>
            <w:r>
              <w:rPr>
                <w:rFonts w:ascii="Arial" w:cs="Arial" w:eastAsia="Arial" w:hAnsi="Arial"/>
                <w:sz w:val="18"/>
                <w:szCs w:val="18"/>
                <w:color w:val="auto"/>
              </w:rPr>
              <w:t>•</w:t>
            </w:r>
          </w:p>
        </w:tc>
        <w:tc>
          <w:tcPr>
            <w:tcW w:w="510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w w:val="92"/>
              </w:rPr>
              <w:t>Provides non-qualified contributions where tax law limits amounts.</w:t>
            </w:r>
          </w:p>
        </w:tc>
        <w:tc>
          <w:tcPr>
            <w:tcW w:w="0" w:type="dxa"/>
            <w:vAlign w:val="bottom"/>
          </w:tcPr>
          <w:p>
            <w:pPr>
              <w:spacing w:after="0"/>
              <w:rPr>
                <w:sz w:val="1"/>
                <w:szCs w:val="1"/>
                <w:color w:val="auto"/>
              </w:rPr>
            </w:pPr>
          </w:p>
        </w:tc>
      </w:tr>
      <w:tr>
        <w:trPr>
          <w:trHeight w:val="122"/>
        </w:trPr>
        <w:tc>
          <w:tcPr>
            <w:tcW w:w="3640" w:type="dxa"/>
            <w:vAlign w:val="bottom"/>
            <w:tcBorders>
              <w:left w:val="single" w:sz="8" w:color="auto"/>
              <w:right w:val="single" w:sz="8" w:color="auto"/>
            </w:tcBorders>
            <w:vMerge w:val="restart"/>
          </w:tcPr>
          <w:p>
            <w:pPr>
              <w:ind w:left="140"/>
              <w:spacing w:after="0"/>
              <w:rPr>
                <w:sz w:val="20"/>
                <w:szCs w:val="20"/>
                <w:color w:val="auto"/>
              </w:rPr>
            </w:pPr>
            <w:r>
              <w:rPr>
                <w:rFonts w:ascii="Arial" w:cs="Arial" w:eastAsia="Arial" w:hAnsi="Arial"/>
                <w:sz w:val="18"/>
                <w:szCs w:val="18"/>
                <w:color w:val="auto"/>
              </w:rPr>
              <w:t>employees.</w:t>
            </w:r>
          </w:p>
        </w:tc>
        <w:tc>
          <w:tcPr>
            <w:tcW w:w="340" w:type="dxa"/>
            <w:vAlign w:val="bottom"/>
            <w:vMerge w:val="continue"/>
          </w:tcPr>
          <w:p>
            <w:pPr>
              <w:spacing w:after="0"/>
              <w:rPr>
                <w:sz w:val="10"/>
                <w:szCs w:val="10"/>
                <w:color w:val="auto"/>
              </w:rPr>
            </w:pPr>
          </w:p>
        </w:tc>
        <w:tc>
          <w:tcPr>
            <w:tcW w:w="51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640" w:type="dxa"/>
            <w:vAlign w:val="bottom"/>
            <w:tcBorders>
              <w:left w:val="single" w:sz="8" w:color="auto"/>
              <w:right w:val="single" w:sz="8" w:color="auto"/>
            </w:tcBorders>
            <w:vMerge w:val="continue"/>
          </w:tcPr>
          <w:p>
            <w:pPr>
              <w:spacing w:after="0"/>
              <w:rPr>
                <w:sz w:val="9"/>
                <w:szCs w:val="9"/>
                <w:color w:val="auto"/>
              </w:rPr>
            </w:pPr>
          </w:p>
        </w:tc>
        <w:tc>
          <w:tcPr>
            <w:tcW w:w="340" w:type="dxa"/>
            <w:vAlign w:val="bottom"/>
            <w:vMerge w:val="restart"/>
          </w:tcPr>
          <w:p>
            <w:pPr>
              <w:ind w:left="100"/>
              <w:spacing w:after="0"/>
              <w:rPr>
                <w:sz w:val="20"/>
                <w:szCs w:val="20"/>
                <w:color w:val="auto"/>
              </w:rPr>
            </w:pPr>
            <w:r>
              <w:rPr>
                <w:rFonts w:ascii="Arial" w:cs="Arial" w:eastAsia="Arial" w:hAnsi="Arial"/>
                <w:sz w:val="18"/>
                <w:szCs w:val="18"/>
                <w:color w:val="auto"/>
              </w:rPr>
              <w:t>•</w:t>
            </w:r>
          </w:p>
        </w:tc>
        <w:tc>
          <w:tcPr>
            <w:tcW w:w="510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Attracts executive talent.</w:t>
            </w:r>
          </w:p>
        </w:tc>
        <w:tc>
          <w:tcPr>
            <w:tcW w:w="0" w:type="dxa"/>
            <w:vAlign w:val="bottom"/>
          </w:tcPr>
          <w:p>
            <w:pPr>
              <w:spacing w:after="0"/>
              <w:rPr>
                <w:sz w:val="1"/>
                <w:szCs w:val="1"/>
                <w:color w:val="auto"/>
              </w:rPr>
            </w:pPr>
          </w:p>
        </w:tc>
      </w:tr>
      <w:tr>
        <w:trPr>
          <w:trHeight w:val="189"/>
        </w:trPr>
        <w:tc>
          <w:tcPr>
            <w:tcW w:w="3640" w:type="dxa"/>
            <w:vAlign w:val="bottom"/>
            <w:tcBorders>
              <w:left w:val="single" w:sz="8" w:color="auto"/>
              <w:right w:val="single" w:sz="8" w:color="auto"/>
            </w:tcBorders>
          </w:tcPr>
          <w:p>
            <w:pPr>
              <w:spacing w:after="0"/>
              <w:rPr>
                <w:sz w:val="16"/>
                <w:szCs w:val="16"/>
                <w:color w:val="auto"/>
              </w:rPr>
            </w:pPr>
          </w:p>
        </w:tc>
        <w:tc>
          <w:tcPr>
            <w:tcW w:w="340" w:type="dxa"/>
            <w:vAlign w:val="bottom"/>
            <w:vMerge w:val="continue"/>
          </w:tcPr>
          <w:p>
            <w:pPr>
              <w:spacing w:after="0"/>
              <w:rPr>
                <w:sz w:val="16"/>
                <w:szCs w:val="16"/>
                <w:color w:val="auto"/>
              </w:rPr>
            </w:pPr>
          </w:p>
        </w:tc>
        <w:tc>
          <w:tcPr>
            <w:tcW w:w="510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97"/>
        </w:trPr>
        <w:tc>
          <w:tcPr>
            <w:tcW w:w="3640" w:type="dxa"/>
            <w:vAlign w:val="bottom"/>
            <w:tcBorders>
              <w:left w:val="single" w:sz="8" w:color="auto"/>
              <w:right w:val="single" w:sz="8" w:color="auto"/>
            </w:tcBorders>
          </w:tcPr>
          <w:p>
            <w:pPr>
              <w:spacing w:after="0"/>
              <w:rPr>
                <w:sz w:val="24"/>
                <w:szCs w:val="24"/>
                <w:color w:val="auto"/>
              </w:rPr>
            </w:pPr>
          </w:p>
        </w:tc>
        <w:tc>
          <w:tcPr>
            <w:tcW w:w="340" w:type="dxa"/>
            <w:vAlign w:val="bottom"/>
          </w:tcPr>
          <w:p>
            <w:pPr>
              <w:ind w:left="100"/>
              <w:spacing w:after="0"/>
              <w:rPr>
                <w:sz w:val="20"/>
                <w:szCs w:val="20"/>
                <w:color w:val="auto"/>
              </w:rPr>
            </w:pPr>
            <w:r>
              <w:rPr>
                <w:rFonts w:ascii="Arial" w:cs="Arial" w:eastAsia="Arial" w:hAnsi="Arial"/>
                <w:sz w:val="18"/>
                <w:szCs w:val="18"/>
                <w:color w:val="auto"/>
              </w:rPr>
              <w:t>•</w:t>
            </w:r>
          </w:p>
        </w:tc>
        <w:tc>
          <w:tcPr>
            <w:tcW w:w="51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1"/>
              </w:rPr>
              <w:t>Provides the opportunity to accrue a reasonable retirement benefit.</w:t>
            </w:r>
          </w:p>
        </w:tc>
        <w:tc>
          <w:tcPr>
            <w:tcW w:w="0" w:type="dxa"/>
            <w:vAlign w:val="bottom"/>
          </w:tcPr>
          <w:p>
            <w:pPr>
              <w:spacing w:after="0"/>
              <w:rPr>
                <w:sz w:val="1"/>
                <w:szCs w:val="1"/>
                <w:color w:val="auto"/>
              </w:rPr>
            </w:pPr>
          </w:p>
        </w:tc>
      </w:tr>
      <w:tr>
        <w:trPr>
          <w:trHeight w:val="54"/>
        </w:trPr>
        <w:tc>
          <w:tcPr>
            <w:tcW w:w="3640" w:type="dxa"/>
            <w:vAlign w:val="bottom"/>
            <w:tcBorders>
              <w:left w:val="single" w:sz="8" w:color="auto"/>
              <w:bottom w:val="single" w:sz="8" w:color="auto"/>
              <w:right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51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36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w w:val="95"/>
              </w:rPr>
              <w:t xml:space="preserve">Deferred compensation </w:t>
            </w:r>
            <w:r>
              <w:rPr>
                <w:rFonts w:ascii="Arial" w:cs="Arial" w:eastAsia="Arial" w:hAnsi="Arial"/>
                <w:sz w:val="18"/>
                <w:szCs w:val="18"/>
                <w:color w:val="auto"/>
                <w:w w:val="95"/>
              </w:rPr>
              <w:t>elections, which are</w:t>
            </w:r>
          </w:p>
        </w:tc>
        <w:tc>
          <w:tcPr>
            <w:tcW w:w="340" w:type="dxa"/>
            <w:vAlign w:val="bottom"/>
          </w:tcPr>
          <w:p>
            <w:pPr>
              <w:ind w:left="100"/>
              <w:spacing w:after="0"/>
              <w:rPr>
                <w:sz w:val="20"/>
                <w:szCs w:val="20"/>
                <w:color w:val="auto"/>
              </w:rPr>
            </w:pPr>
            <w:r>
              <w:rPr>
                <w:rFonts w:ascii="Arial" w:cs="Arial" w:eastAsia="Arial" w:hAnsi="Arial"/>
                <w:sz w:val="18"/>
                <w:szCs w:val="18"/>
                <w:color w:val="auto"/>
              </w:rPr>
              <w:t>•</w:t>
            </w:r>
          </w:p>
        </w:tc>
        <w:tc>
          <w:tcPr>
            <w:tcW w:w="51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3"/>
              </w:rPr>
              <w:t>Permits named executive officers to defer receipt of all or any part</w:t>
            </w:r>
          </w:p>
        </w:tc>
        <w:tc>
          <w:tcPr>
            <w:tcW w:w="0" w:type="dxa"/>
            <w:vAlign w:val="bottom"/>
          </w:tcPr>
          <w:p>
            <w:pPr>
              <w:spacing w:after="0"/>
              <w:rPr>
                <w:sz w:val="1"/>
                <w:szCs w:val="1"/>
                <w:color w:val="auto"/>
              </w:rPr>
            </w:pPr>
          </w:p>
        </w:tc>
      </w:tr>
      <w:tr>
        <w:trPr>
          <w:trHeight w:val="216"/>
        </w:trPr>
        <w:tc>
          <w:tcPr>
            <w:tcW w:w="36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w w:val="94"/>
              </w:rPr>
              <w:t>voluntary and permit deferral of base salary or</w:t>
            </w:r>
          </w:p>
        </w:tc>
        <w:tc>
          <w:tcPr>
            <w:tcW w:w="340" w:type="dxa"/>
            <w:vAlign w:val="bottom"/>
          </w:tcPr>
          <w:p>
            <w:pPr>
              <w:spacing w:after="0"/>
              <w:rPr>
                <w:sz w:val="18"/>
                <w:szCs w:val="18"/>
                <w:color w:val="auto"/>
              </w:rPr>
            </w:pPr>
          </w:p>
        </w:tc>
        <w:tc>
          <w:tcPr>
            <w:tcW w:w="51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of their base salary and/or annual cash bonus.</w:t>
            </w:r>
          </w:p>
        </w:tc>
        <w:tc>
          <w:tcPr>
            <w:tcW w:w="0" w:type="dxa"/>
            <w:vAlign w:val="bottom"/>
          </w:tcPr>
          <w:p>
            <w:pPr>
              <w:spacing w:after="0"/>
              <w:rPr>
                <w:sz w:val="1"/>
                <w:szCs w:val="1"/>
                <w:color w:val="auto"/>
              </w:rPr>
            </w:pPr>
          </w:p>
        </w:tc>
      </w:tr>
      <w:tr>
        <w:trPr>
          <w:trHeight w:val="216"/>
        </w:trPr>
        <w:tc>
          <w:tcPr>
            <w:tcW w:w="36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w w:val="94"/>
              </w:rPr>
              <w:t>bonus into our common shares and/or cash at</w:t>
            </w:r>
          </w:p>
        </w:tc>
        <w:tc>
          <w:tcPr>
            <w:tcW w:w="340" w:type="dxa"/>
            <w:vAlign w:val="bottom"/>
            <w:vMerge w:val="restart"/>
          </w:tcPr>
          <w:p>
            <w:pPr>
              <w:ind w:left="100"/>
              <w:spacing w:after="0"/>
              <w:rPr>
                <w:sz w:val="20"/>
                <w:szCs w:val="20"/>
                <w:color w:val="auto"/>
              </w:rPr>
            </w:pPr>
            <w:r>
              <w:rPr>
                <w:rFonts w:ascii="Arial" w:cs="Arial" w:eastAsia="Arial" w:hAnsi="Arial"/>
                <w:sz w:val="18"/>
                <w:szCs w:val="18"/>
                <w:color w:val="auto"/>
              </w:rPr>
              <w:t>•</w:t>
            </w:r>
          </w:p>
        </w:tc>
        <w:tc>
          <w:tcPr>
            <w:tcW w:w="510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w w:val="95"/>
              </w:rPr>
              <w:t>Provides a retention feature through reasonable return potential.</w:t>
            </w:r>
          </w:p>
        </w:tc>
        <w:tc>
          <w:tcPr>
            <w:tcW w:w="0" w:type="dxa"/>
            <w:vAlign w:val="bottom"/>
          </w:tcPr>
          <w:p>
            <w:pPr>
              <w:spacing w:after="0"/>
              <w:rPr>
                <w:sz w:val="1"/>
                <w:szCs w:val="1"/>
                <w:color w:val="auto"/>
              </w:rPr>
            </w:pPr>
          </w:p>
        </w:tc>
      </w:tr>
      <w:tr>
        <w:trPr>
          <w:trHeight w:val="122"/>
        </w:trPr>
        <w:tc>
          <w:tcPr>
            <w:tcW w:w="3640" w:type="dxa"/>
            <w:vAlign w:val="bottom"/>
            <w:tcBorders>
              <w:left w:val="single" w:sz="8" w:color="auto"/>
              <w:right w:val="single" w:sz="8" w:color="auto"/>
            </w:tcBorders>
            <w:vMerge w:val="restart"/>
          </w:tcPr>
          <w:p>
            <w:pPr>
              <w:ind w:left="140"/>
              <w:spacing w:after="0"/>
              <w:rPr>
                <w:sz w:val="20"/>
                <w:szCs w:val="20"/>
                <w:color w:val="auto"/>
              </w:rPr>
            </w:pPr>
            <w:r>
              <w:rPr>
                <w:rFonts w:ascii="Arial" w:cs="Arial" w:eastAsia="Arial" w:hAnsi="Arial"/>
                <w:sz w:val="18"/>
                <w:szCs w:val="18"/>
                <w:color w:val="auto"/>
              </w:rPr>
              <w:t>an interest rate determined annually.</w:t>
            </w:r>
          </w:p>
        </w:tc>
        <w:tc>
          <w:tcPr>
            <w:tcW w:w="340" w:type="dxa"/>
            <w:vAlign w:val="bottom"/>
            <w:vMerge w:val="continue"/>
          </w:tcPr>
          <w:p>
            <w:pPr>
              <w:spacing w:after="0"/>
              <w:rPr>
                <w:sz w:val="10"/>
                <w:szCs w:val="10"/>
                <w:color w:val="auto"/>
              </w:rPr>
            </w:pPr>
          </w:p>
        </w:tc>
        <w:tc>
          <w:tcPr>
            <w:tcW w:w="51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640" w:type="dxa"/>
            <w:vAlign w:val="bottom"/>
            <w:tcBorders>
              <w:left w:val="single" w:sz="8" w:color="auto"/>
              <w:right w:val="single" w:sz="8" w:color="auto"/>
            </w:tcBorders>
            <w:vMerge w:val="continue"/>
          </w:tcPr>
          <w:p>
            <w:pPr>
              <w:spacing w:after="0"/>
              <w:rPr>
                <w:sz w:val="9"/>
                <w:szCs w:val="9"/>
                <w:color w:val="auto"/>
              </w:rPr>
            </w:pPr>
          </w:p>
        </w:tc>
        <w:tc>
          <w:tcPr>
            <w:tcW w:w="340" w:type="dxa"/>
            <w:vAlign w:val="bottom"/>
            <w:vMerge w:val="restart"/>
          </w:tcPr>
          <w:p>
            <w:pPr>
              <w:ind w:left="100"/>
              <w:spacing w:after="0"/>
              <w:rPr>
                <w:sz w:val="20"/>
                <w:szCs w:val="20"/>
                <w:color w:val="auto"/>
              </w:rPr>
            </w:pPr>
            <w:r>
              <w:rPr>
                <w:rFonts w:ascii="Arial" w:cs="Arial" w:eastAsia="Arial" w:hAnsi="Arial"/>
                <w:sz w:val="18"/>
                <w:szCs w:val="18"/>
                <w:color w:val="auto"/>
              </w:rPr>
              <w:t>•</w:t>
            </w:r>
          </w:p>
        </w:tc>
        <w:tc>
          <w:tcPr>
            <w:tcW w:w="510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w w:val="93"/>
              </w:rPr>
              <w:t>Provides an attractive tax planning opportunity designed to attract</w:t>
            </w:r>
          </w:p>
        </w:tc>
        <w:tc>
          <w:tcPr>
            <w:tcW w:w="0" w:type="dxa"/>
            <w:vAlign w:val="bottom"/>
          </w:tcPr>
          <w:p>
            <w:pPr>
              <w:spacing w:after="0"/>
              <w:rPr>
                <w:sz w:val="1"/>
                <w:szCs w:val="1"/>
                <w:color w:val="auto"/>
              </w:rPr>
            </w:pPr>
          </w:p>
        </w:tc>
      </w:tr>
      <w:tr>
        <w:trPr>
          <w:trHeight w:val="175"/>
        </w:trPr>
        <w:tc>
          <w:tcPr>
            <w:tcW w:w="3640" w:type="dxa"/>
            <w:vAlign w:val="bottom"/>
            <w:tcBorders>
              <w:left w:val="single" w:sz="8" w:color="auto"/>
              <w:right w:val="single" w:sz="8" w:color="auto"/>
            </w:tcBorders>
          </w:tcPr>
          <w:p>
            <w:pPr>
              <w:spacing w:after="0"/>
              <w:rPr>
                <w:sz w:val="15"/>
                <w:szCs w:val="15"/>
                <w:color w:val="auto"/>
              </w:rPr>
            </w:pPr>
          </w:p>
        </w:tc>
        <w:tc>
          <w:tcPr>
            <w:tcW w:w="340" w:type="dxa"/>
            <w:vAlign w:val="bottom"/>
            <w:vMerge w:val="continue"/>
          </w:tcPr>
          <w:p>
            <w:pPr>
              <w:spacing w:after="0"/>
              <w:rPr>
                <w:sz w:val="15"/>
                <w:szCs w:val="15"/>
                <w:color w:val="auto"/>
              </w:rPr>
            </w:pPr>
          </w:p>
        </w:tc>
        <w:tc>
          <w:tcPr>
            <w:tcW w:w="510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640" w:type="dxa"/>
            <w:vAlign w:val="bottom"/>
            <w:tcBorders>
              <w:left w:val="single" w:sz="8" w:color="auto"/>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51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and retain executives.</w:t>
            </w:r>
          </w:p>
        </w:tc>
        <w:tc>
          <w:tcPr>
            <w:tcW w:w="0" w:type="dxa"/>
            <w:vAlign w:val="bottom"/>
          </w:tcPr>
          <w:p>
            <w:pPr>
              <w:spacing w:after="0"/>
              <w:rPr>
                <w:sz w:val="1"/>
                <w:szCs w:val="1"/>
                <w:color w:val="auto"/>
              </w:rPr>
            </w:pPr>
          </w:p>
        </w:tc>
      </w:tr>
      <w:tr>
        <w:trPr>
          <w:trHeight w:val="54"/>
        </w:trPr>
        <w:tc>
          <w:tcPr>
            <w:tcW w:w="3640" w:type="dxa"/>
            <w:vAlign w:val="bottom"/>
            <w:tcBorders>
              <w:left w:val="single" w:sz="8" w:color="auto"/>
              <w:bottom w:val="single" w:sz="8" w:color="auto"/>
              <w:right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51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36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 xml:space="preserve">Perquisites </w:t>
            </w:r>
            <w:r>
              <w:rPr>
                <w:rFonts w:ascii="Arial" w:cs="Arial" w:eastAsia="Arial" w:hAnsi="Arial"/>
                <w:sz w:val="18"/>
                <w:szCs w:val="18"/>
                <w:color w:val="auto"/>
              </w:rPr>
              <w:t>including health care; life,</w:t>
            </w:r>
          </w:p>
        </w:tc>
        <w:tc>
          <w:tcPr>
            <w:tcW w:w="340" w:type="dxa"/>
            <w:vAlign w:val="bottom"/>
          </w:tcPr>
          <w:p>
            <w:pPr>
              <w:ind w:left="100"/>
              <w:spacing w:after="0"/>
              <w:rPr>
                <w:sz w:val="20"/>
                <w:szCs w:val="20"/>
                <w:color w:val="auto"/>
              </w:rPr>
            </w:pPr>
            <w:r>
              <w:rPr>
                <w:rFonts w:ascii="Arial" w:cs="Arial" w:eastAsia="Arial" w:hAnsi="Arial"/>
                <w:sz w:val="18"/>
                <w:szCs w:val="18"/>
                <w:color w:val="auto"/>
              </w:rPr>
              <w:t>•</w:t>
            </w:r>
          </w:p>
        </w:tc>
        <w:tc>
          <w:tcPr>
            <w:tcW w:w="51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4"/>
              </w:rPr>
              <w:t>Provides competitive compensation elements designed to attract</w:t>
            </w:r>
          </w:p>
        </w:tc>
        <w:tc>
          <w:tcPr>
            <w:tcW w:w="0" w:type="dxa"/>
            <w:vAlign w:val="bottom"/>
          </w:tcPr>
          <w:p>
            <w:pPr>
              <w:spacing w:after="0"/>
              <w:rPr>
                <w:sz w:val="1"/>
                <w:szCs w:val="1"/>
                <w:color w:val="auto"/>
              </w:rPr>
            </w:pPr>
          </w:p>
        </w:tc>
      </w:tr>
      <w:tr>
        <w:trPr>
          <w:trHeight w:val="216"/>
        </w:trPr>
        <w:tc>
          <w:tcPr>
            <w:tcW w:w="36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w w:val="99"/>
              </w:rPr>
              <w:t>disability, auto and home insurance; aircraft</w:t>
            </w:r>
          </w:p>
        </w:tc>
        <w:tc>
          <w:tcPr>
            <w:tcW w:w="340" w:type="dxa"/>
            <w:vAlign w:val="bottom"/>
          </w:tcPr>
          <w:p>
            <w:pPr>
              <w:spacing w:after="0"/>
              <w:rPr>
                <w:sz w:val="18"/>
                <w:szCs w:val="18"/>
                <w:color w:val="auto"/>
              </w:rPr>
            </w:pPr>
          </w:p>
        </w:tc>
        <w:tc>
          <w:tcPr>
            <w:tcW w:w="51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and retain executive talent.</w:t>
            </w:r>
          </w:p>
        </w:tc>
        <w:tc>
          <w:tcPr>
            <w:tcW w:w="0" w:type="dxa"/>
            <w:vAlign w:val="bottom"/>
          </w:tcPr>
          <w:p>
            <w:pPr>
              <w:spacing w:after="0"/>
              <w:rPr>
                <w:sz w:val="1"/>
                <w:szCs w:val="1"/>
                <w:color w:val="auto"/>
              </w:rPr>
            </w:pPr>
          </w:p>
        </w:tc>
      </w:tr>
      <w:tr>
        <w:trPr>
          <w:trHeight w:val="216"/>
        </w:trPr>
        <w:tc>
          <w:tcPr>
            <w:tcW w:w="36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usage; entertainment; and administrative</w:t>
            </w:r>
          </w:p>
        </w:tc>
        <w:tc>
          <w:tcPr>
            <w:tcW w:w="340" w:type="dxa"/>
            <w:vAlign w:val="bottom"/>
            <w:vMerge w:val="restart"/>
          </w:tcPr>
          <w:p>
            <w:pPr>
              <w:ind w:left="100"/>
              <w:spacing w:after="0"/>
              <w:rPr>
                <w:sz w:val="20"/>
                <w:szCs w:val="20"/>
                <w:color w:val="auto"/>
              </w:rPr>
            </w:pPr>
            <w:r>
              <w:rPr>
                <w:rFonts w:ascii="Arial" w:cs="Arial" w:eastAsia="Arial" w:hAnsi="Arial"/>
                <w:sz w:val="18"/>
                <w:szCs w:val="18"/>
                <w:color w:val="auto"/>
              </w:rPr>
              <w:t>•</w:t>
            </w:r>
          </w:p>
        </w:tc>
        <w:tc>
          <w:tcPr>
            <w:tcW w:w="510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w w:val="92"/>
              </w:rPr>
              <w:t>Personal use of Company aircraft enhances security and personal</w:t>
            </w:r>
          </w:p>
        </w:tc>
        <w:tc>
          <w:tcPr>
            <w:tcW w:w="0" w:type="dxa"/>
            <w:vAlign w:val="bottom"/>
          </w:tcPr>
          <w:p>
            <w:pPr>
              <w:spacing w:after="0"/>
              <w:rPr>
                <w:sz w:val="1"/>
                <w:szCs w:val="1"/>
                <w:color w:val="auto"/>
              </w:rPr>
            </w:pPr>
          </w:p>
        </w:tc>
      </w:tr>
      <w:tr>
        <w:trPr>
          <w:trHeight w:val="81"/>
        </w:trPr>
        <w:tc>
          <w:tcPr>
            <w:tcW w:w="3640" w:type="dxa"/>
            <w:vAlign w:val="bottom"/>
            <w:tcBorders>
              <w:left w:val="single" w:sz="8" w:color="auto"/>
              <w:right w:val="single" w:sz="8" w:color="auto"/>
            </w:tcBorders>
            <w:vMerge w:val="restart"/>
          </w:tcPr>
          <w:p>
            <w:pPr>
              <w:ind w:left="140"/>
              <w:spacing w:after="0"/>
              <w:rPr>
                <w:sz w:val="20"/>
                <w:szCs w:val="20"/>
                <w:color w:val="auto"/>
              </w:rPr>
            </w:pPr>
            <w:r>
              <w:rPr>
                <w:rFonts w:ascii="Arial" w:cs="Arial" w:eastAsia="Arial" w:hAnsi="Arial"/>
                <w:sz w:val="18"/>
                <w:szCs w:val="18"/>
                <w:color w:val="auto"/>
              </w:rPr>
              <w:t>services.</w:t>
            </w:r>
          </w:p>
        </w:tc>
        <w:tc>
          <w:tcPr>
            <w:tcW w:w="340" w:type="dxa"/>
            <w:vAlign w:val="bottom"/>
            <w:vMerge w:val="continue"/>
          </w:tcPr>
          <w:p>
            <w:pPr>
              <w:spacing w:after="0"/>
              <w:rPr>
                <w:sz w:val="7"/>
                <w:szCs w:val="7"/>
                <w:color w:val="auto"/>
              </w:rPr>
            </w:pPr>
          </w:p>
        </w:tc>
        <w:tc>
          <w:tcPr>
            <w:tcW w:w="51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3640" w:type="dxa"/>
            <w:vAlign w:val="bottom"/>
            <w:tcBorders>
              <w:left w:val="single" w:sz="8" w:color="auto"/>
              <w:right w:val="single" w:sz="8" w:color="auto"/>
            </w:tcBorders>
            <w:vMerge w:val="continue"/>
          </w:tcPr>
          <w:p>
            <w:pPr>
              <w:spacing w:after="0"/>
              <w:rPr>
                <w:sz w:val="12"/>
                <w:szCs w:val="12"/>
                <w:color w:val="auto"/>
              </w:rPr>
            </w:pPr>
          </w:p>
        </w:tc>
        <w:tc>
          <w:tcPr>
            <w:tcW w:w="340" w:type="dxa"/>
            <w:vAlign w:val="bottom"/>
          </w:tcPr>
          <w:p>
            <w:pPr>
              <w:spacing w:after="0"/>
              <w:rPr>
                <w:sz w:val="12"/>
                <w:szCs w:val="12"/>
                <w:color w:val="auto"/>
              </w:rPr>
            </w:pPr>
          </w:p>
        </w:tc>
        <w:tc>
          <w:tcPr>
            <w:tcW w:w="510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safety as well as enhancing productivity.</w:t>
            </w:r>
          </w:p>
        </w:tc>
        <w:tc>
          <w:tcPr>
            <w:tcW w:w="0" w:type="dxa"/>
            <w:vAlign w:val="bottom"/>
          </w:tcPr>
          <w:p>
            <w:pPr>
              <w:spacing w:after="0"/>
              <w:rPr>
                <w:sz w:val="1"/>
                <w:szCs w:val="1"/>
                <w:color w:val="auto"/>
              </w:rPr>
            </w:pPr>
          </w:p>
        </w:tc>
      </w:tr>
      <w:tr>
        <w:trPr>
          <w:trHeight w:val="81"/>
        </w:trPr>
        <w:tc>
          <w:tcPr>
            <w:tcW w:w="3640" w:type="dxa"/>
            <w:vAlign w:val="bottom"/>
            <w:tcBorders>
              <w:left w:val="single" w:sz="8" w:color="auto"/>
              <w:bottom w:val="single" w:sz="8" w:color="auto"/>
              <w:right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510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160"/>
          </w:cols>
          <w:pgMar w:left="320" w:top="265" w:right="1419" w:bottom="651" w:gutter="0" w:footer="0" w:header="0"/>
        </w:sectPr>
      </w:pPr>
    </w:p>
    <w:p>
      <w:pPr>
        <w:spacing w:after="0" w:line="114" w:lineRule="exact"/>
        <w:rPr>
          <w:sz w:val="20"/>
          <w:szCs w:val="20"/>
          <w:color w:val="auto"/>
        </w:rPr>
      </w:pPr>
    </w:p>
    <w:p>
      <w:pPr>
        <w:ind w:left="1160"/>
        <w:spacing w:after="0"/>
        <w:tabs>
          <w:tab w:leader="none" w:pos="9960" w:val="left"/>
        </w:tabs>
        <w:rPr>
          <w:sz w:val="20"/>
          <w:szCs w:val="20"/>
          <w:color w:val="auto"/>
        </w:rPr>
      </w:pPr>
      <w:r>
        <w:rPr>
          <w:rFonts w:ascii="Arial" w:cs="Arial" w:eastAsia="Arial" w:hAnsi="Arial"/>
          <w:sz w:val="16"/>
          <w:szCs w:val="16"/>
          <w:color w:val="auto"/>
        </w:rPr>
        <w:t>2020 Proxy Statement | Compensation Discussion and Analysis</w:t>
      </w:r>
      <w:r>
        <w:rPr>
          <w:sz w:val="20"/>
          <w:szCs w:val="20"/>
          <w:color w:val="auto"/>
        </w:rPr>
        <w:tab/>
      </w: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129540</wp:posOffset>
            </wp:positionV>
            <wp:extent cx="699516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160"/>
          </w:cols>
          <w:pgMar w:left="320" w:top="265" w:right="1419" w:bottom="651" w:gutter="0" w:footer="0" w:header="0"/>
          <w:type w:val="continuous"/>
        </w:sectPr>
      </w:pPr>
    </w:p>
    <w:bookmarkStart w:id="35" w:name="page36"/>
    <w:bookmarkEnd w:id="35"/>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6515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651510"/>
                    </a:xfrm>
                    <a:prstGeom prst="rect">
                      <a:avLst/>
                    </a:prstGeom>
                    <a:noFill/>
                  </pic:spPr>
                </pic:pic>
              </a:graphicData>
            </a:graphic>
          </wp:anchor>
        </w:drawing>
      </w:r>
    </w:p>
    <w:p>
      <w:pPr>
        <w:sectPr>
          <w:pgSz w:w="11900" w:h="16838" w:orient="portrait"/>
          <w:cols w:equalWidth="0" w:num="1">
            <w:col w:w="10160"/>
          </w:cols>
          <w:pgMar w:left="320" w:top="265"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080"/>
        <w:spacing w:after="0"/>
        <w:rPr>
          <w:sz w:val="20"/>
          <w:szCs w:val="20"/>
          <w:color w:val="auto"/>
        </w:rPr>
      </w:pPr>
      <w:r>
        <w:rPr>
          <w:rFonts w:ascii="Arial" w:cs="Arial" w:eastAsia="Arial" w:hAnsi="Arial"/>
          <w:sz w:val="20"/>
          <w:szCs w:val="20"/>
          <w:b w:val="1"/>
          <w:bCs w:val="1"/>
          <w:color w:val="3F3F3F"/>
        </w:rPr>
        <w:t>Compensation Risk Analysis</w:t>
      </w:r>
    </w:p>
    <w:p>
      <w:pPr>
        <w:spacing w:after="0" w:line="130" w:lineRule="exact"/>
        <w:rPr>
          <w:sz w:val="20"/>
          <w:szCs w:val="20"/>
          <w:color w:val="auto"/>
        </w:rPr>
      </w:pPr>
    </w:p>
    <w:p>
      <w:pPr>
        <w:ind w:left="1080"/>
        <w:spacing w:after="0" w:line="285" w:lineRule="auto"/>
        <w:rPr>
          <w:sz w:val="20"/>
          <w:szCs w:val="20"/>
          <w:color w:val="auto"/>
        </w:rPr>
      </w:pPr>
      <w:r>
        <w:rPr>
          <w:rFonts w:ascii="Arial" w:cs="Arial" w:eastAsia="Arial" w:hAnsi="Arial"/>
          <w:sz w:val="16"/>
          <w:szCs w:val="16"/>
          <w:color w:val="auto"/>
        </w:rPr>
        <w:t>The Compensation Committee has reviewed the risk profile of the components of AFG’s executive compensation programs, including the performance objectives and target and maximum levels used in connection with incentive awards. The Company analyzes and structures its overall compensation program to discourage excessive risk-taking through a balanced use of compensation vehicles and metrics with an overall goal of delivering sustained long-term shareholder value while aligning executives’ interests with those of shareholders. Further, our program makes a substantial portion of each named executive officer’s compensation contingent on delivering performance results that benefit our shareholders. The Compensation Committee believes that AFG’s executive compensation programs incentivize the appropriate level of risk-taking behavior by its named executive officers needed to grow the business, while encouraging prudent decision-making that focuses on both short-term and long-term results.</w:t>
      </w:r>
    </w:p>
    <w:p>
      <w:pPr>
        <w:spacing w:after="0" w:line="163" w:lineRule="exact"/>
        <w:rPr>
          <w:sz w:val="20"/>
          <w:szCs w:val="20"/>
          <w:color w:val="auto"/>
        </w:rPr>
      </w:pPr>
    </w:p>
    <w:p>
      <w:pPr>
        <w:ind w:left="1080" w:right="320"/>
        <w:spacing w:after="0" w:line="267" w:lineRule="auto"/>
        <w:rPr>
          <w:sz w:val="20"/>
          <w:szCs w:val="20"/>
          <w:color w:val="auto"/>
        </w:rPr>
      </w:pPr>
      <w:r>
        <w:rPr>
          <w:rFonts w:ascii="Arial" w:cs="Arial" w:eastAsia="Arial" w:hAnsi="Arial"/>
          <w:sz w:val="20"/>
          <w:szCs w:val="20"/>
          <w:b w:val="1"/>
          <w:bCs w:val="1"/>
          <w:color w:val="3F3F3F"/>
        </w:rPr>
        <w:t>Compensation Committee Discussions with Co-CEOs</w:t>
      </w:r>
    </w:p>
    <w:p>
      <w:pPr>
        <w:spacing w:after="0" w:line="64" w:lineRule="exact"/>
        <w:rPr>
          <w:sz w:val="20"/>
          <w:szCs w:val="20"/>
          <w:color w:val="auto"/>
        </w:rPr>
      </w:pPr>
    </w:p>
    <w:p>
      <w:pPr>
        <w:ind w:left="1080" w:right="160"/>
        <w:spacing w:after="0" w:line="258" w:lineRule="auto"/>
        <w:rPr>
          <w:sz w:val="20"/>
          <w:szCs w:val="20"/>
          <w:color w:val="auto"/>
        </w:rPr>
      </w:pPr>
      <w:r>
        <w:rPr>
          <w:rFonts w:ascii="Arial" w:cs="Arial" w:eastAsia="Arial" w:hAnsi="Arial"/>
          <w:sz w:val="18"/>
          <w:szCs w:val="18"/>
          <w:color w:val="auto"/>
        </w:rPr>
        <w:t>Our Co-CEOs determine the compensation for the named executive officers other than themselves.</w:t>
      </w:r>
    </w:p>
    <w:p>
      <w:pPr>
        <w:spacing w:after="0" w:line="1" w:lineRule="exact"/>
        <w:rPr>
          <w:sz w:val="20"/>
          <w:szCs w:val="20"/>
          <w:color w:val="auto"/>
        </w:rPr>
      </w:pPr>
    </w:p>
    <w:p>
      <w:pPr>
        <w:ind w:left="1080" w:right="40"/>
        <w:spacing w:after="0" w:line="268" w:lineRule="auto"/>
        <w:rPr>
          <w:sz w:val="20"/>
          <w:szCs w:val="20"/>
          <w:color w:val="auto"/>
        </w:rPr>
      </w:pPr>
      <w:r>
        <w:rPr>
          <w:rFonts w:ascii="Arial" w:cs="Arial" w:eastAsia="Arial" w:hAnsi="Arial"/>
          <w:sz w:val="17"/>
          <w:szCs w:val="17"/>
          <w:color w:val="auto"/>
        </w:rPr>
        <w:t>The Compensation Committee annually reviews the components of compensation for the named executive officers other than the Co-CEOs, the levels of compensation determined by the Co-CEOs and the performance of the other named executive officers with the Co-CEOs. The Compensation Committee makes recommendations to the Board and the Co-CEOs with respect to general non-Co-CEO compensation, incentive-compensation plans and equity-based plans.</w:t>
      </w:r>
    </w:p>
    <w:p>
      <w:pPr>
        <w:spacing w:after="0" w:line="73" w:lineRule="exact"/>
        <w:rPr>
          <w:sz w:val="20"/>
          <w:szCs w:val="20"/>
          <w:color w:val="auto"/>
        </w:rPr>
      </w:pPr>
    </w:p>
    <w:p>
      <w:pPr>
        <w:ind w:left="1080"/>
        <w:spacing w:after="0" w:line="286" w:lineRule="auto"/>
        <w:rPr>
          <w:sz w:val="20"/>
          <w:szCs w:val="20"/>
          <w:color w:val="auto"/>
        </w:rPr>
      </w:pPr>
      <w:r>
        <w:rPr>
          <w:rFonts w:ascii="Arial" w:cs="Arial" w:eastAsia="Arial" w:hAnsi="Arial"/>
          <w:sz w:val="16"/>
          <w:szCs w:val="16"/>
          <w:color w:val="auto"/>
        </w:rPr>
        <w:t>Our Co-CEOs discuss with the Compensation Committee their evaluation of the Company’s performance, their performance, their current and future compensation levels, and the reported compensation of named executive officers at the Compensation Peer Group companies before the Compensation Committee determines annual and long-term incentive compensation for the Co-CEOs. Specifically, the Co-CEOs recommend consideration of AFG’s business plan in connection with annual compensation objectives and targets. The Compensation Committee considers this input in connection with its review and approval of corporate goals and objectives relevant to Co-CEO compensation, deliberation of Co-CEO performance in light of those goals and objectives, and determination of Co-CEO compensation levels based on this evaluation.</w:t>
      </w:r>
    </w:p>
    <w:p>
      <w:pPr>
        <w:spacing w:after="0" w:line="59" w:lineRule="exact"/>
        <w:rPr>
          <w:sz w:val="20"/>
          <w:szCs w:val="20"/>
          <w:color w:val="auto"/>
        </w:rPr>
      </w:pPr>
    </w:p>
    <w:p>
      <w:pPr>
        <w:ind w:left="1080" w:right="20"/>
        <w:spacing w:after="0" w:line="301" w:lineRule="auto"/>
        <w:rPr>
          <w:sz w:val="20"/>
          <w:szCs w:val="20"/>
          <w:color w:val="auto"/>
        </w:rPr>
      </w:pPr>
      <w:r>
        <w:rPr>
          <w:rFonts w:ascii="Arial" w:cs="Arial" w:eastAsia="Arial" w:hAnsi="Arial"/>
          <w:sz w:val="16"/>
          <w:szCs w:val="16"/>
          <w:color w:val="auto"/>
        </w:rPr>
        <w:t>The Co-CEOs believe that Mr. Consolino and Mr. Berding each plays a collaborative role with the Co-CEOs in the achievement of AFG’s business plan and budgeted targets. In recognition of these roles, the compensation components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for Mr. Consolino and Mr. Berding are identical to those of the Co-CEOs, and each can earn performance-based compensation on similar terms to the Co-CEOs.</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3F3F3F"/>
        </w:rPr>
        <w:t>Base Salary</w:t>
      </w:r>
    </w:p>
    <w:p>
      <w:pPr>
        <w:spacing w:after="0" w:line="116"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The Company pays salaries designed to attract and retain superior leaders. After reviewing compiled data and materials as discussed above, the Compensation Committee determines annual base salaries for the Co-CEOs that are appropriate, in its subjective judgment, based on each Co-CEO’s responsibilities and performance and input from the Co-CEOs themselves. The Co-CEOs set salaries for the other named executive officers, which are reviewed by the Compensation Committee. The Co-CEOs believe that such salaries are appropriate in light of the levels of responsibility of such officers and their individual contributions to the Company’s success.</w:t>
      </w:r>
    </w:p>
    <w:p>
      <w:pPr>
        <w:spacing w:after="0" w:line="60" w:lineRule="exact"/>
        <w:rPr>
          <w:sz w:val="20"/>
          <w:szCs w:val="20"/>
          <w:color w:val="auto"/>
        </w:rPr>
      </w:pPr>
    </w:p>
    <w:p>
      <w:pPr>
        <w:ind w:right="360"/>
        <w:spacing w:after="0" w:line="286" w:lineRule="auto"/>
        <w:rPr>
          <w:sz w:val="20"/>
          <w:szCs w:val="20"/>
          <w:color w:val="auto"/>
        </w:rPr>
      </w:pPr>
      <w:r>
        <w:rPr>
          <w:rFonts w:ascii="Arial" w:cs="Arial" w:eastAsia="Arial" w:hAnsi="Arial"/>
          <w:sz w:val="16"/>
          <w:szCs w:val="16"/>
          <w:color w:val="auto"/>
        </w:rPr>
        <w:t>Annual base salaries for the Co-CEOs were unchanged from 2010 to 2018. During 2018, the Compensation Committee discussed the annual base salaries and determined that an increase of $100,000, from</w:t>
      </w:r>
    </w:p>
    <w:p>
      <w:pPr>
        <w:spacing w:after="0" w:line="1" w:lineRule="exact"/>
        <w:rPr>
          <w:sz w:val="20"/>
          <w:szCs w:val="20"/>
          <w:color w:val="auto"/>
        </w:rPr>
      </w:pPr>
    </w:p>
    <w:p>
      <w:pPr>
        <w:jc w:val="both"/>
        <w:ind w:right="200"/>
        <w:spacing w:after="0" w:line="277" w:lineRule="auto"/>
        <w:rPr>
          <w:sz w:val="20"/>
          <w:szCs w:val="20"/>
          <w:color w:val="auto"/>
        </w:rPr>
      </w:pPr>
      <w:r>
        <w:rPr>
          <w:rFonts w:ascii="Arial" w:cs="Arial" w:eastAsia="Arial" w:hAnsi="Arial"/>
          <w:sz w:val="17"/>
          <w:szCs w:val="17"/>
          <w:color w:val="auto"/>
        </w:rPr>
        <w:t>$1.15 million to $1.25 million was appropriate in light of the Company’s sustained performance. No change to the Co-CEO base salary was made in 2019.</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color w:val="3F3F3F"/>
        </w:rPr>
        <w:t>Senior Executive Annual Bonus Plan</w:t>
      </w:r>
    </w:p>
    <w:p>
      <w:pPr>
        <w:spacing w:after="0" w:line="116" w:lineRule="exact"/>
        <w:rPr>
          <w:sz w:val="20"/>
          <w:szCs w:val="20"/>
          <w:color w:val="auto"/>
        </w:rPr>
      </w:pPr>
    </w:p>
    <w:p>
      <w:pPr>
        <w:spacing w:after="0" w:line="313" w:lineRule="auto"/>
        <w:rPr>
          <w:sz w:val="20"/>
          <w:szCs w:val="20"/>
          <w:color w:val="auto"/>
        </w:rPr>
      </w:pPr>
      <w:r>
        <w:rPr>
          <w:rFonts w:ascii="Arial" w:cs="Arial" w:eastAsia="Arial" w:hAnsi="Arial"/>
          <w:sz w:val="15"/>
          <w:szCs w:val="15"/>
          <w:color w:val="auto"/>
        </w:rPr>
        <w:t>The named executive officers can earn annual performance-based cash bonuses that reward current year performance of AFG under the Company’s Senior Executive Annual Bonus Plan. The Company believes that the overall performance of AFG is substantially related to the performance of its executives. If earned, the Company pays cash bonuses in the first quarter for the prior year’s performance.</w:t>
      </w:r>
    </w:p>
    <w:p>
      <w:pPr>
        <w:spacing w:after="0" w:line="4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Awards to the Co-CEOs, Mr. Consolino and Mr. Berding under the Senior Executive Annual Bonus Plan for 2019 performance were based on Company performance metrics as measured by Operating EPS, Specialty Property and Casualty Earnings (Specialty P&amp;C Earnings) and Annuity Earnings. The Compensation Committee has determined that Operating EPS, Specialty P&amp;C Earnings and Annuity Earnings are the primary drivers of shareholder value. The Operating EPS component target amount represented about 36% of the total target bonus. In order to approximate the Company’s segment business mix, the Compensation Committee weighted the remaining target bonus amounts at 60% for the Specialty P&amp;C Earnings component and 40% for the Annuity Earnings component.</w:t>
      </w:r>
    </w:p>
    <w:p>
      <w:pPr>
        <w:spacing w:after="0" w:line="6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Consistent with prior years, one-half of Mr. Peraino’s and Ms. Gillis’ annual bonus was based on Operating EPS with the remaining one-half subjectively determined as described in more detail below.</w:t>
      </w:r>
    </w:p>
    <w:p>
      <w:pPr>
        <w:spacing w:after="0" w:line="200" w:lineRule="exact"/>
        <w:rPr>
          <w:sz w:val="20"/>
          <w:szCs w:val="20"/>
          <w:color w:val="auto"/>
        </w:rPr>
      </w:pPr>
    </w:p>
    <w:p>
      <w:pPr>
        <w:sectPr>
          <w:pgSz w:w="11900" w:h="16838" w:orient="portrait"/>
          <w:cols w:equalWidth="0" w:num="2">
            <w:col w:w="5400" w:space="440"/>
            <w:col w:w="4320"/>
          </w:cols>
          <w:pgMar w:left="320" w:top="265" w:right="1419" w:bottom="1440" w:gutter="0" w:footer="0" w:header="0"/>
          <w:type w:val="continuous"/>
        </w:sectPr>
      </w:pPr>
    </w:p>
    <w:p>
      <w:pPr>
        <w:spacing w:after="0" w:line="99" w:lineRule="exact"/>
        <w:rPr>
          <w:sz w:val="20"/>
          <w:szCs w:val="20"/>
          <w:color w:val="auto"/>
        </w:rPr>
      </w:pPr>
    </w:p>
    <w:p>
      <w:pPr>
        <w:ind w:left="1160"/>
        <w:spacing w:after="0"/>
        <w:tabs>
          <w:tab w:leader="none" w:pos="9960" w:val="left"/>
        </w:tabs>
        <w:rPr>
          <w:sz w:val="20"/>
          <w:szCs w:val="20"/>
          <w:color w:val="auto"/>
        </w:rPr>
      </w:pPr>
      <w:r>
        <w:rPr>
          <w:rFonts w:ascii="Arial" w:cs="Arial" w:eastAsia="Arial" w:hAnsi="Arial"/>
          <w:sz w:val="16"/>
          <w:szCs w:val="16"/>
          <w:color w:val="auto"/>
        </w:rPr>
        <w:t>2020 Proxy Statement | Compensation Discussion and Analysis</w:t>
      </w:r>
      <w:r>
        <w:rPr>
          <w:sz w:val="20"/>
          <w:szCs w:val="20"/>
          <w:color w:val="auto"/>
        </w:rPr>
        <w:tab/>
      </w: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129540</wp:posOffset>
            </wp:positionV>
            <wp:extent cx="699516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160"/>
          </w:cols>
          <w:pgMar w:left="320" w:top="265" w:right="1419" w:bottom="1440" w:gutter="0" w:footer="0" w:header="0"/>
          <w:type w:val="continuous"/>
        </w:sectPr>
      </w:pPr>
    </w:p>
    <w:bookmarkStart w:id="36" w:name="page37"/>
    <w:bookmarkEnd w:id="36"/>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6515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651510"/>
                    </a:xfrm>
                    <a:prstGeom prst="rect">
                      <a:avLst/>
                    </a:prstGeom>
                    <a:noFill/>
                  </pic:spPr>
                </pic:pic>
              </a:graphicData>
            </a:graphic>
          </wp:anchor>
        </w:drawing>
      </w:r>
    </w:p>
    <w:p>
      <w:pPr>
        <w:sectPr>
          <w:pgSz w:w="11900" w:h="16838" w:orient="portrait"/>
          <w:cols w:equalWidth="0" w:num="1">
            <w:col w:w="10160"/>
          </w:cols>
          <w:pgMar w:left="320" w:top="265"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080"/>
        <w:spacing w:after="0" w:line="287" w:lineRule="auto"/>
        <w:rPr>
          <w:sz w:val="20"/>
          <w:szCs w:val="20"/>
          <w:color w:val="auto"/>
        </w:rPr>
      </w:pPr>
      <w:r>
        <w:rPr>
          <w:rFonts w:ascii="Arial" w:cs="Arial" w:eastAsia="Arial" w:hAnsi="Arial"/>
          <w:sz w:val="16"/>
          <w:szCs w:val="16"/>
          <w:color w:val="auto"/>
        </w:rPr>
        <w:t>The Compensation Committee delineated levels of achievement under each Company performance component. For results below a defined threshold, no bonus would be earned for the relevant component. For Operating EPS, levels were established for target bonus and maximum bonus. For Specialty P&amp;C Earnings and Annuity Earnings, thresholds were established for a minimum bonus, target bonus and maximum bonus. The Compensation Committee determined that exceeding the highest threshold under any component would reflect significant outperformance by the Company or the applicable operating segment and merited payment of the maximum bonus amounts.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The Compensation Committee established the performance metrics ranges for 2019 after reviewing the Company’s 2019 business plan prepared by management, approved by the Co-CEOs and reviewed with the Board of Directors. Results for each component are determined from the Company’s results reported consistent with past practice. The Senior Executive Annual Bonus Plan includes provisions for adjustments to performance thresholds in the event of a modification of the methodology of Company reporting for any measure. Any modification would result in an adjustment, as determined by the Compensation Committee, in a manner that provides for an identical bonus payment for the affected component based on identical adjusted results.</w:t>
      </w:r>
    </w:p>
    <w:p>
      <w:pPr>
        <w:spacing w:after="0" w:line="81" w:lineRule="exact"/>
        <w:rPr>
          <w:sz w:val="20"/>
          <w:szCs w:val="20"/>
          <w:color w:val="auto"/>
        </w:rPr>
      </w:pPr>
    </w:p>
    <w:p>
      <w:pPr>
        <w:sectPr>
          <w:pgSz w:w="11900" w:h="16838" w:orient="portrait"/>
          <w:cols w:equalWidth="0" w:num="2">
            <w:col w:w="5400" w:space="440"/>
            <w:col w:w="4320"/>
          </w:cols>
          <w:pgMar w:left="320" w:top="265" w:right="1419" w:bottom="1440" w:gutter="0" w:footer="0" w:header="0"/>
          <w:type w:val="continuous"/>
        </w:sectPr>
      </w:pPr>
    </w:p>
    <w:p>
      <w:pPr>
        <w:ind w:left="1080"/>
        <w:spacing w:after="0"/>
        <w:rPr>
          <w:sz w:val="20"/>
          <w:szCs w:val="20"/>
          <w:color w:val="auto"/>
        </w:rPr>
      </w:pPr>
      <w:r>
        <w:rPr>
          <w:rFonts w:ascii="Arial" w:cs="Arial" w:eastAsia="Arial" w:hAnsi="Arial"/>
          <w:sz w:val="20"/>
          <w:szCs w:val="20"/>
          <w:b w:val="1"/>
          <w:bCs w:val="1"/>
          <w:color w:val="3F3F3F"/>
        </w:rPr>
        <w:t>Senior Executive Annual Bonus Plan-2019 Targets and Results</w:t>
      </w:r>
    </w:p>
    <w:p>
      <w:pPr>
        <w:spacing w:after="0" w:line="116" w:lineRule="exact"/>
        <w:rPr>
          <w:sz w:val="20"/>
          <w:szCs w:val="20"/>
          <w:color w:val="auto"/>
        </w:rPr>
      </w:pPr>
    </w:p>
    <w:p>
      <w:pPr>
        <w:ind w:left="1080" w:right="40"/>
        <w:spacing w:after="0" w:line="301" w:lineRule="auto"/>
        <w:rPr>
          <w:sz w:val="20"/>
          <w:szCs w:val="20"/>
          <w:color w:val="auto"/>
        </w:rPr>
      </w:pPr>
      <w:r>
        <w:rPr>
          <w:rFonts w:ascii="Arial" w:cs="Arial" w:eastAsia="Arial" w:hAnsi="Arial"/>
          <w:sz w:val="16"/>
          <w:szCs w:val="16"/>
          <w:color w:val="auto"/>
        </w:rPr>
        <w:t>The target bonus for each component of the Senior Executive Annual Bonus Plan and the overall target and maximum bonuses for each named executive officer are set forth in the table below. For each Company performance component, named executive officers would receive no bonus amount for results below a threshold. Where results for any metric fell within performance ranges, the bonus amount earned for the component was to be determined by straight-line interpolation.</w:t>
      </w:r>
    </w:p>
    <w:p>
      <w:pPr>
        <w:spacing w:after="0" w:line="138" w:lineRule="exact"/>
        <w:rPr>
          <w:sz w:val="20"/>
          <w:szCs w:val="20"/>
          <w:color w:val="auto"/>
        </w:rPr>
      </w:pPr>
    </w:p>
    <w:tbl>
      <w:tblPr>
        <w:tblLayout w:type="fixed"/>
        <w:tblInd w:w="1090" w:type="dxa"/>
        <w:tblCellMar>
          <w:top w:w="0" w:type="dxa"/>
          <w:left w:w="0" w:type="dxa"/>
          <w:bottom w:w="0" w:type="dxa"/>
          <w:right w:w="0" w:type="dxa"/>
        </w:tblCellMar>
      </w:tblPr>
      <w:tr>
        <w:trPr>
          <w:trHeight w:val="265"/>
        </w:trPr>
        <w:tc>
          <w:tcPr>
            <w:tcW w:w="2380" w:type="dxa"/>
            <w:vAlign w:val="bottom"/>
            <w:tcBorders>
              <w:top w:val="single" w:sz="8" w:color="auto"/>
              <w:left w:val="single" w:sz="8" w:color="auto"/>
              <w:right w:val="single" w:sz="8" w:color="auto"/>
            </w:tcBorders>
            <w:shd w:val="clear" w:color="auto" w:fill="BFBFBF"/>
          </w:tcPr>
          <w:p>
            <w:pPr>
              <w:spacing w:after="0"/>
              <w:rPr>
                <w:sz w:val="23"/>
                <w:szCs w:val="23"/>
                <w:color w:val="auto"/>
              </w:rPr>
            </w:pPr>
          </w:p>
        </w:tc>
        <w:tc>
          <w:tcPr>
            <w:tcW w:w="1340" w:type="dxa"/>
            <w:vAlign w:val="bottom"/>
            <w:tcBorders>
              <w:top w:val="single" w:sz="8" w:color="auto"/>
              <w:right w:val="single" w:sz="8" w:color="auto"/>
            </w:tcBorders>
            <w:shd w:val="clear" w:color="auto" w:fill="BFBFBF"/>
          </w:tcPr>
          <w:p>
            <w:pPr>
              <w:spacing w:after="0"/>
              <w:rPr>
                <w:sz w:val="23"/>
                <w:szCs w:val="23"/>
                <w:color w:val="auto"/>
              </w:rPr>
            </w:pPr>
          </w:p>
        </w:tc>
        <w:tc>
          <w:tcPr>
            <w:tcW w:w="1000" w:type="dxa"/>
            <w:vAlign w:val="bottom"/>
            <w:tcBorders>
              <w:top w:val="single" w:sz="8" w:color="auto"/>
              <w:right w:val="single" w:sz="8" w:color="auto"/>
            </w:tcBorders>
            <w:shd w:val="clear" w:color="auto" w:fill="BFBFBF"/>
          </w:tcPr>
          <w:p>
            <w:pPr>
              <w:ind w:left="100"/>
              <w:spacing w:after="0"/>
              <w:rPr>
                <w:sz w:val="20"/>
                <w:szCs w:val="20"/>
                <w:color w:val="auto"/>
              </w:rPr>
            </w:pPr>
            <w:r>
              <w:rPr>
                <w:rFonts w:ascii="Arial" w:cs="Arial" w:eastAsia="Arial" w:hAnsi="Arial"/>
                <w:sz w:val="18"/>
                <w:szCs w:val="18"/>
                <w:b w:val="1"/>
                <w:bCs w:val="1"/>
                <w:color w:val="auto"/>
              </w:rPr>
              <w:t>Specialty</w:t>
            </w:r>
          </w:p>
        </w:tc>
        <w:tc>
          <w:tcPr>
            <w:tcW w:w="980" w:type="dxa"/>
            <w:vAlign w:val="bottom"/>
            <w:tcBorders>
              <w:top w:val="single" w:sz="8" w:color="auto"/>
              <w:right w:val="single" w:sz="8" w:color="auto"/>
            </w:tcBorders>
            <w:shd w:val="clear" w:color="auto" w:fill="BFBFBF"/>
          </w:tcPr>
          <w:p>
            <w:pPr>
              <w:spacing w:after="0"/>
              <w:rPr>
                <w:sz w:val="23"/>
                <w:szCs w:val="23"/>
                <w:color w:val="auto"/>
              </w:rPr>
            </w:pPr>
          </w:p>
        </w:tc>
        <w:tc>
          <w:tcPr>
            <w:tcW w:w="1240" w:type="dxa"/>
            <w:vAlign w:val="bottom"/>
            <w:tcBorders>
              <w:top w:val="single" w:sz="8" w:color="auto"/>
              <w:right w:val="single" w:sz="8" w:color="auto"/>
            </w:tcBorders>
            <w:shd w:val="clear" w:color="auto" w:fill="BFBFBF"/>
          </w:tcPr>
          <w:p>
            <w:pPr>
              <w:spacing w:after="0"/>
              <w:rPr>
                <w:sz w:val="23"/>
                <w:szCs w:val="23"/>
                <w:color w:val="auto"/>
              </w:rPr>
            </w:pPr>
          </w:p>
        </w:tc>
        <w:tc>
          <w:tcPr>
            <w:tcW w:w="940" w:type="dxa"/>
            <w:vAlign w:val="bottom"/>
            <w:tcBorders>
              <w:top w:val="single" w:sz="8" w:color="auto"/>
              <w:right w:val="single" w:sz="8" w:color="auto"/>
            </w:tcBorders>
            <w:shd w:val="clear" w:color="auto" w:fill="BFBFBF"/>
          </w:tcPr>
          <w:p>
            <w:pPr>
              <w:spacing w:after="0"/>
              <w:rPr>
                <w:sz w:val="23"/>
                <w:szCs w:val="23"/>
                <w:color w:val="auto"/>
              </w:rPr>
            </w:pPr>
          </w:p>
        </w:tc>
        <w:tc>
          <w:tcPr>
            <w:tcW w:w="1200" w:type="dxa"/>
            <w:vAlign w:val="bottom"/>
            <w:tcBorders>
              <w:top w:val="single" w:sz="8" w:color="auto"/>
              <w:right w:val="single" w:sz="8" w:color="auto"/>
            </w:tcBorders>
            <w:shd w:val="clear" w:color="auto" w:fill="BFBFBF"/>
          </w:tcPr>
          <w:p>
            <w:pPr>
              <w:spacing w:after="0"/>
              <w:rPr>
                <w:sz w:val="23"/>
                <w:szCs w:val="23"/>
                <w:color w:val="auto"/>
              </w:rPr>
            </w:pPr>
          </w:p>
        </w:tc>
      </w:tr>
      <w:tr>
        <w:trPr>
          <w:trHeight w:val="216"/>
        </w:trPr>
        <w:tc>
          <w:tcPr>
            <w:tcW w:w="2380" w:type="dxa"/>
            <w:vAlign w:val="bottom"/>
            <w:tcBorders>
              <w:left w:val="single" w:sz="8" w:color="auto"/>
              <w:right w:val="single" w:sz="8" w:color="auto"/>
            </w:tcBorders>
            <w:shd w:val="clear" w:color="auto" w:fill="BFBFBF"/>
          </w:tcPr>
          <w:p>
            <w:pPr>
              <w:spacing w:after="0"/>
              <w:rPr>
                <w:sz w:val="18"/>
                <w:szCs w:val="18"/>
                <w:color w:val="auto"/>
              </w:rPr>
            </w:pPr>
          </w:p>
        </w:tc>
        <w:tc>
          <w:tcPr>
            <w:tcW w:w="1340" w:type="dxa"/>
            <w:vAlign w:val="bottom"/>
            <w:tcBorders>
              <w:right w:val="single" w:sz="8" w:color="auto"/>
            </w:tcBorders>
            <w:shd w:val="clear" w:color="auto" w:fill="BFBFBF"/>
          </w:tcPr>
          <w:p>
            <w:pPr>
              <w:spacing w:after="0"/>
              <w:rPr>
                <w:sz w:val="18"/>
                <w:szCs w:val="18"/>
                <w:color w:val="auto"/>
              </w:rPr>
            </w:pPr>
          </w:p>
        </w:tc>
        <w:tc>
          <w:tcPr>
            <w:tcW w:w="1000" w:type="dxa"/>
            <w:vAlign w:val="bottom"/>
            <w:tcBorders>
              <w:right w:val="single" w:sz="8" w:color="auto"/>
            </w:tcBorders>
            <w:shd w:val="clear" w:color="auto" w:fill="BFBFBF"/>
          </w:tcPr>
          <w:p>
            <w:pPr>
              <w:jc w:val="right"/>
              <w:ind w:right="250"/>
              <w:spacing w:after="0"/>
              <w:rPr>
                <w:sz w:val="20"/>
                <w:szCs w:val="20"/>
                <w:color w:val="auto"/>
              </w:rPr>
            </w:pPr>
            <w:r>
              <w:rPr>
                <w:rFonts w:ascii="Arial" w:cs="Arial" w:eastAsia="Arial" w:hAnsi="Arial"/>
                <w:sz w:val="18"/>
                <w:szCs w:val="18"/>
                <w:b w:val="1"/>
                <w:bCs w:val="1"/>
                <w:color w:val="auto"/>
              </w:rPr>
              <w:t>P&amp;C</w:t>
            </w:r>
          </w:p>
        </w:tc>
        <w:tc>
          <w:tcPr>
            <w:tcW w:w="980" w:type="dxa"/>
            <w:vAlign w:val="bottom"/>
            <w:tcBorders>
              <w:right w:val="single" w:sz="8" w:color="auto"/>
            </w:tcBorders>
            <w:shd w:val="clear" w:color="auto" w:fill="BFBFBF"/>
          </w:tcPr>
          <w:p>
            <w:pPr>
              <w:jc w:val="right"/>
              <w:ind w:right="130"/>
              <w:spacing w:after="0"/>
              <w:rPr>
                <w:sz w:val="20"/>
                <w:szCs w:val="20"/>
                <w:color w:val="auto"/>
              </w:rPr>
            </w:pPr>
            <w:r>
              <w:rPr>
                <w:rFonts w:ascii="Arial" w:cs="Arial" w:eastAsia="Arial" w:hAnsi="Arial"/>
                <w:sz w:val="18"/>
                <w:szCs w:val="18"/>
                <w:b w:val="1"/>
                <w:bCs w:val="1"/>
                <w:color w:val="auto"/>
              </w:rPr>
              <w:t>Annuity</w:t>
            </w:r>
          </w:p>
        </w:tc>
        <w:tc>
          <w:tcPr>
            <w:tcW w:w="1240" w:type="dxa"/>
            <w:vAlign w:val="bottom"/>
            <w:tcBorders>
              <w:right w:val="single" w:sz="8" w:color="auto"/>
            </w:tcBorders>
            <w:shd w:val="clear" w:color="auto" w:fill="BFBFBF"/>
          </w:tcPr>
          <w:p>
            <w:pPr>
              <w:spacing w:after="0"/>
              <w:rPr>
                <w:sz w:val="18"/>
                <w:szCs w:val="18"/>
                <w:color w:val="auto"/>
              </w:rPr>
            </w:pPr>
          </w:p>
        </w:tc>
        <w:tc>
          <w:tcPr>
            <w:tcW w:w="940" w:type="dxa"/>
            <w:vAlign w:val="bottom"/>
            <w:tcBorders>
              <w:right w:val="single" w:sz="8" w:color="auto"/>
            </w:tcBorders>
            <w:shd w:val="clear" w:color="auto" w:fill="BFBFBF"/>
          </w:tcPr>
          <w:p>
            <w:pPr>
              <w:jc w:val="right"/>
              <w:ind w:right="230"/>
              <w:spacing w:after="0"/>
              <w:rPr>
                <w:sz w:val="20"/>
                <w:szCs w:val="20"/>
                <w:color w:val="auto"/>
              </w:rPr>
            </w:pPr>
            <w:r>
              <w:rPr>
                <w:rFonts w:ascii="Arial" w:cs="Arial" w:eastAsia="Arial" w:hAnsi="Arial"/>
                <w:sz w:val="18"/>
                <w:szCs w:val="18"/>
                <w:b w:val="1"/>
                <w:bCs w:val="1"/>
                <w:color w:val="auto"/>
              </w:rPr>
              <w:t>Total</w:t>
            </w:r>
          </w:p>
        </w:tc>
        <w:tc>
          <w:tcPr>
            <w:tcW w:w="1200" w:type="dxa"/>
            <w:vAlign w:val="bottom"/>
            <w:tcBorders>
              <w:right w:val="single" w:sz="8" w:color="auto"/>
            </w:tcBorders>
            <w:shd w:val="clear" w:color="auto" w:fill="BFBFBF"/>
          </w:tcPr>
          <w:p>
            <w:pPr>
              <w:spacing w:after="0"/>
              <w:rPr>
                <w:sz w:val="18"/>
                <w:szCs w:val="18"/>
                <w:color w:val="auto"/>
              </w:rPr>
            </w:pPr>
          </w:p>
        </w:tc>
      </w:tr>
      <w:tr>
        <w:trPr>
          <w:trHeight w:val="216"/>
        </w:trPr>
        <w:tc>
          <w:tcPr>
            <w:tcW w:w="2380" w:type="dxa"/>
            <w:vAlign w:val="bottom"/>
            <w:tcBorders>
              <w:left w:val="single" w:sz="8" w:color="auto"/>
              <w:right w:val="single" w:sz="8" w:color="auto"/>
            </w:tcBorders>
            <w:shd w:val="clear" w:color="auto" w:fill="BFBFBF"/>
          </w:tcPr>
          <w:p>
            <w:pPr>
              <w:spacing w:after="0"/>
              <w:rPr>
                <w:sz w:val="18"/>
                <w:szCs w:val="18"/>
                <w:color w:val="auto"/>
              </w:rPr>
            </w:pPr>
          </w:p>
        </w:tc>
        <w:tc>
          <w:tcPr>
            <w:tcW w:w="1340" w:type="dxa"/>
            <w:vAlign w:val="bottom"/>
            <w:tcBorders>
              <w:right w:val="single" w:sz="8" w:color="auto"/>
            </w:tcBorders>
            <w:shd w:val="clear" w:color="auto" w:fill="BFBFBF"/>
          </w:tcPr>
          <w:p>
            <w:pPr>
              <w:jc w:val="center"/>
              <w:spacing w:after="0"/>
              <w:rPr>
                <w:sz w:val="20"/>
                <w:szCs w:val="20"/>
                <w:color w:val="auto"/>
              </w:rPr>
            </w:pPr>
            <w:r>
              <w:rPr>
                <w:rFonts w:ascii="Arial" w:cs="Arial" w:eastAsia="Arial" w:hAnsi="Arial"/>
                <w:sz w:val="18"/>
                <w:szCs w:val="18"/>
                <w:b w:val="1"/>
                <w:bCs w:val="1"/>
                <w:color w:val="auto"/>
                <w:w w:val="91"/>
              </w:rPr>
              <w:t>Operating</w:t>
            </w:r>
          </w:p>
        </w:tc>
        <w:tc>
          <w:tcPr>
            <w:tcW w:w="1000" w:type="dxa"/>
            <w:vAlign w:val="bottom"/>
            <w:tcBorders>
              <w:right w:val="single" w:sz="8" w:color="auto"/>
            </w:tcBorders>
            <w:shd w:val="clear" w:color="auto" w:fill="BFBFBF"/>
          </w:tcPr>
          <w:p>
            <w:pPr>
              <w:ind w:left="100"/>
              <w:spacing w:after="0"/>
              <w:rPr>
                <w:sz w:val="20"/>
                <w:szCs w:val="20"/>
                <w:color w:val="auto"/>
              </w:rPr>
            </w:pPr>
            <w:r>
              <w:rPr>
                <w:rFonts w:ascii="Arial" w:cs="Arial" w:eastAsia="Arial" w:hAnsi="Arial"/>
                <w:sz w:val="18"/>
                <w:szCs w:val="18"/>
                <w:b w:val="1"/>
                <w:bCs w:val="1"/>
                <w:color w:val="auto"/>
              </w:rPr>
              <w:t>Earnings</w:t>
            </w:r>
          </w:p>
        </w:tc>
        <w:tc>
          <w:tcPr>
            <w:tcW w:w="980" w:type="dxa"/>
            <w:vAlign w:val="bottom"/>
            <w:tcBorders>
              <w:right w:val="single" w:sz="8" w:color="auto"/>
            </w:tcBorders>
            <w:shd w:val="clear" w:color="auto" w:fill="BFBFBF"/>
          </w:tcPr>
          <w:p>
            <w:pPr>
              <w:ind w:left="100"/>
              <w:spacing w:after="0"/>
              <w:rPr>
                <w:sz w:val="20"/>
                <w:szCs w:val="20"/>
                <w:color w:val="auto"/>
              </w:rPr>
            </w:pPr>
            <w:r>
              <w:rPr>
                <w:rFonts w:ascii="Arial" w:cs="Arial" w:eastAsia="Arial" w:hAnsi="Arial"/>
                <w:sz w:val="18"/>
                <w:szCs w:val="18"/>
                <w:b w:val="1"/>
                <w:bCs w:val="1"/>
                <w:color w:val="auto"/>
              </w:rPr>
              <w:t>Earnings</w:t>
            </w:r>
          </w:p>
        </w:tc>
        <w:tc>
          <w:tcPr>
            <w:tcW w:w="1240" w:type="dxa"/>
            <w:vAlign w:val="bottom"/>
            <w:tcBorders>
              <w:right w:val="single" w:sz="8" w:color="auto"/>
            </w:tcBorders>
            <w:shd w:val="clear" w:color="auto" w:fill="BFBFBF"/>
          </w:tcPr>
          <w:p>
            <w:pPr>
              <w:jc w:val="right"/>
              <w:ind w:right="30"/>
              <w:spacing w:after="0"/>
              <w:rPr>
                <w:sz w:val="20"/>
                <w:szCs w:val="20"/>
                <w:color w:val="auto"/>
              </w:rPr>
            </w:pPr>
            <w:r>
              <w:rPr>
                <w:rFonts w:ascii="Arial" w:cs="Arial" w:eastAsia="Arial" w:hAnsi="Arial"/>
                <w:sz w:val="18"/>
                <w:szCs w:val="18"/>
                <w:b w:val="1"/>
                <w:bCs w:val="1"/>
                <w:color w:val="auto"/>
                <w:w w:val="95"/>
              </w:rPr>
              <w:t>Discretionary</w:t>
            </w:r>
          </w:p>
        </w:tc>
        <w:tc>
          <w:tcPr>
            <w:tcW w:w="940" w:type="dxa"/>
            <w:vAlign w:val="bottom"/>
            <w:tcBorders>
              <w:right w:val="single" w:sz="8" w:color="auto"/>
            </w:tcBorders>
            <w:shd w:val="clear" w:color="auto" w:fill="BFBFBF"/>
          </w:tcPr>
          <w:p>
            <w:pPr>
              <w:jc w:val="right"/>
              <w:ind w:right="150"/>
              <w:spacing w:after="0"/>
              <w:rPr>
                <w:sz w:val="20"/>
                <w:szCs w:val="20"/>
                <w:color w:val="auto"/>
              </w:rPr>
            </w:pPr>
            <w:r>
              <w:rPr>
                <w:rFonts w:ascii="Arial" w:cs="Arial" w:eastAsia="Arial" w:hAnsi="Arial"/>
                <w:sz w:val="18"/>
                <w:szCs w:val="18"/>
                <w:b w:val="1"/>
                <w:bCs w:val="1"/>
                <w:color w:val="auto"/>
              </w:rPr>
              <w:t>Target</w:t>
            </w:r>
          </w:p>
        </w:tc>
        <w:tc>
          <w:tcPr>
            <w:tcW w:w="1200" w:type="dxa"/>
            <w:vAlign w:val="bottom"/>
            <w:tcBorders>
              <w:right w:val="single" w:sz="8" w:color="auto"/>
            </w:tcBorders>
            <w:shd w:val="clear" w:color="auto" w:fill="BFBFBF"/>
          </w:tcPr>
          <w:p>
            <w:pPr>
              <w:spacing w:after="0"/>
              <w:rPr>
                <w:sz w:val="18"/>
                <w:szCs w:val="18"/>
                <w:color w:val="auto"/>
              </w:rPr>
            </w:pPr>
          </w:p>
        </w:tc>
      </w:tr>
      <w:tr>
        <w:trPr>
          <w:trHeight w:val="293"/>
        </w:trPr>
        <w:tc>
          <w:tcPr>
            <w:tcW w:w="2380" w:type="dxa"/>
            <w:vAlign w:val="bottom"/>
            <w:tcBorders>
              <w:left w:val="single" w:sz="8" w:color="auto"/>
              <w:bottom w:val="single" w:sz="8" w:color="BFBFBF"/>
              <w:right w:val="single" w:sz="8" w:color="auto"/>
            </w:tcBorders>
            <w:shd w:val="clear" w:color="auto" w:fill="BFBFBF"/>
          </w:tcPr>
          <w:p>
            <w:pPr>
              <w:ind w:left="920"/>
              <w:spacing w:after="0"/>
              <w:rPr>
                <w:sz w:val="20"/>
                <w:szCs w:val="20"/>
                <w:color w:val="auto"/>
              </w:rPr>
            </w:pPr>
            <w:r>
              <w:rPr>
                <w:rFonts w:ascii="Arial" w:cs="Arial" w:eastAsia="Arial" w:hAnsi="Arial"/>
                <w:sz w:val="18"/>
                <w:szCs w:val="18"/>
                <w:b w:val="1"/>
                <w:bCs w:val="1"/>
                <w:color w:val="auto"/>
              </w:rPr>
              <w:t>Name</w:t>
            </w:r>
          </w:p>
        </w:tc>
        <w:tc>
          <w:tcPr>
            <w:tcW w:w="1340" w:type="dxa"/>
            <w:vAlign w:val="bottom"/>
            <w:tcBorders>
              <w:bottom w:val="single" w:sz="8" w:color="BFBFBF"/>
              <w:right w:val="single" w:sz="8" w:color="auto"/>
            </w:tcBorders>
            <w:shd w:val="clear" w:color="auto" w:fill="BFBFBF"/>
          </w:tcPr>
          <w:p>
            <w:pPr>
              <w:ind w:left="80"/>
              <w:spacing w:after="0"/>
              <w:rPr>
                <w:sz w:val="20"/>
                <w:szCs w:val="20"/>
                <w:color w:val="auto"/>
              </w:rPr>
            </w:pPr>
            <w:r>
              <w:rPr>
                <w:rFonts w:ascii="Arial" w:cs="Arial" w:eastAsia="Arial" w:hAnsi="Arial"/>
                <w:sz w:val="18"/>
                <w:szCs w:val="18"/>
                <w:b w:val="1"/>
                <w:bCs w:val="1"/>
                <w:color w:val="auto"/>
                <w:w w:val="99"/>
              </w:rPr>
              <w:t>EPS Target ($)</w:t>
            </w:r>
          </w:p>
        </w:tc>
        <w:tc>
          <w:tcPr>
            <w:tcW w:w="1000" w:type="dxa"/>
            <w:vAlign w:val="bottom"/>
            <w:tcBorders>
              <w:bottom w:val="single" w:sz="8" w:color="BFBFBF"/>
              <w:right w:val="single" w:sz="8" w:color="auto"/>
            </w:tcBorders>
            <w:shd w:val="clear" w:color="auto" w:fill="BFBFBF"/>
          </w:tcPr>
          <w:p>
            <w:pPr>
              <w:ind w:left="100"/>
              <w:spacing w:after="0"/>
              <w:rPr>
                <w:sz w:val="20"/>
                <w:szCs w:val="20"/>
                <w:color w:val="auto"/>
              </w:rPr>
            </w:pPr>
            <w:r>
              <w:rPr>
                <w:rFonts w:ascii="Arial" w:cs="Arial" w:eastAsia="Arial" w:hAnsi="Arial"/>
                <w:sz w:val="18"/>
                <w:szCs w:val="18"/>
                <w:b w:val="1"/>
                <w:bCs w:val="1"/>
                <w:color w:val="auto"/>
              </w:rPr>
              <w:t>Target ($)</w:t>
            </w:r>
          </w:p>
        </w:tc>
        <w:tc>
          <w:tcPr>
            <w:tcW w:w="980" w:type="dxa"/>
            <w:vAlign w:val="bottom"/>
            <w:tcBorders>
              <w:bottom w:val="single" w:sz="8" w:color="BFBFBF"/>
              <w:right w:val="single" w:sz="8" w:color="auto"/>
            </w:tcBorders>
            <w:shd w:val="clear" w:color="auto" w:fill="BFBFBF"/>
          </w:tcPr>
          <w:p>
            <w:pPr>
              <w:ind w:left="80"/>
              <w:spacing w:after="0"/>
              <w:rPr>
                <w:sz w:val="20"/>
                <w:szCs w:val="20"/>
                <w:color w:val="auto"/>
              </w:rPr>
            </w:pPr>
            <w:r>
              <w:rPr>
                <w:rFonts w:ascii="Arial" w:cs="Arial" w:eastAsia="Arial" w:hAnsi="Arial"/>
                <w:sz w:val="18"/>
                <w:szCs w:val="18"/>
                <w:b w:val="1"/>
                <w:bCs w:val="1"/>
                <w:color w:val="auto"/>
              </w:rPr>
              <w:t>Target ($)</w:t>
            </w:r>
          </w:p>
        </w:tc>
        <w:tc>
          <w:tcPr>
            <w:tcW w:w="1240" w:type="dxa"/>
            <w:vAlign w:val="bottom"/>
            <w:tcBorders>
              <w:bottom w:val="single" w:sz="8" w:color="BFBFBF"/>
              <w:right w:val="single" w:sz="8" w:color="auto"/>
            </w:tcBorders>
            <w:shd w:val="clear" w:color="auto" w:fill="BFBFBF"/>
          </w:tcPr>
          <w:p>
            <w:pPr>
              <w:jc w:val="right"/>
              <w:ind w:right="170"/>
              <w:spacing w:after="0"/>
              <w:rPr>
                <w:sz w:val="20"/>
                <w:szCs w:val="20"/>
                <w:color w:val="auto"/>
              </w:rPr>
            </w:pPr>
            <w:r>
              <w:rPr>
                <w:rFonts w:ascii="Arial" w:cs="Arial" w:eastAsia="Arial" w:hAnsi="Arial"/>
                <w:sz w:val="18"/>
                <w:szCs w:val="18"/>
                <w:b w:val="1"/>
                <w:bCs w:val="1"/>
                <w:color w:val="auto"/>
              </w:rPr>
              <w:t>Target ($)</w:t>
            </w:r>
          </w:p>
        </w:tc>
        <w:tc>
          <w:tcPr>
            <w:tcW w:w="940" w:type="dxa"/>
            <w:vAlign w:val="bottom"/>
            <w:tcBorders>
              <w:bottom w:val="single" w:sz="8" w:color="BFBFBF"/>
              <w:right w:val="single" w:sz="8" w:color="auto"/>
            </w:tcBorders>
            <w:shd w:val="clear" w:color="auto" w:fill="BFBFBF"/>
          </w:tcPr>
          <w:p>
            <w:pPr>
              <w:jc w:val="right"/>
              <w:ind w:right="29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BFBFBF"/>
              <w:right w:val="single" w:sz="8" w:color="auto"/>
            </w:tcBorders>
            <w:shd w:val="clear" w:color="auto" w:fill="BFBFBF"/>
          </w:tcPr>
          <w:p>
            <w:pPr>
              <w:jc w:val="right"/>
              <w:spacing w:after="0"/>
              <w:rPr>
                <w:sz w:val="20"/>
                <w:szCs w:val="20"/>
                <w:color w:val="auto"/>
              </w:rPr>
            </w:pPr>
            <w:r>
              <w:rPr>
                <w:rFonts w:ascii="Arial" w:cs="Arial" w:eastAsia="Arial" w:hAnsi="Arial"/>
                <w:sz w:val="18"/>
                <w:szCs w:val="18"/>
                <w:b w:val="1"/>
                <w:bCs w:val="1"/>
                <w:color w:val="auto"/>
              </w:rPr>
              <w:t>Maximum ($)</w:t>
            </w:r>
          </w:p>
        </w:tc>
      </w:tr>
      <w:tr>
        <w:trPr>
          <w:trHeight w:val="263"/>
        </w:trPr>
        <w:tc>
          <w:tcPr>
            <w:tcW w:w="238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Carl H. Lindner III</w:t>
            </w:r>
          </w:p>
        </w:tc>
        <w:tc>
          <w:tcPr>
            <w:tcW w:w="13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750,000</w:t>
            </w:r>
          </w:p>
        </w:tc>
        <w:tc>
          <w:tcPr>
            <w:tcW w:w="1000" w:type="dxa"/>
            <w:vAlign w:val="bottom"/>
            <w:tcBorders>
              <w:top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787,500</w:t>
            </w:r>
          </w:p>
        </w:tc>
        <w:tc>
          <w:tcPr>
            <w:tcW w:w="980" w:type="dxa"/>
            <w:vAlign w:val="bottom"/>
            <w:tcBorders>
              <w:top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525,000</w:t>
            </w:r>
          </w:p>
        </w:tc>
        <w:tc>
          <w:tcPr>
            <w:tcW w:w="1240" w:type="dxa"/>
            <w:vAlign w:val="bottom"/>
            <w:tcBorders>
              <w:top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w w:val="99"/>
              </w:rPr>
              <w:t>2,062,500</w:t>
            </w:r>
          </w:p>
        </w:tc>
        <w:tc>
          <w:tcPr>
            <w:tcW w:w="1200" w:type="dxa"/>
            <w:vAlign w:val="bottom"/>
            <w:tcBorders>
              <w:top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2,821,875</w:t>
            </w:r>
          </w:p>
        </w:tc>
      </w:tr>
      <w:tr>
        <w:trPr>
          <w:trHeight w:val="54"/>
        </w:trPr>
        <w:tc>
          <w:tcPr>
            <w:tcW w:w="2380" w:type="dxa"/>
            <w:vAlign w:val="bottom"/>
            <w:tcBorders>
              <w:left w:val="single" w:sz="8" w:color="auto"/>
              <w:bottom w:val="single" w:sz="8" w:color="auto"/>
              <w:right w:val="single" w:sz="8" w:color="auto"/>
            </w:tcBorders>
          </w:tcPr>
          <w:p>
            <w:pPr>
              <w:spacing w:after="0"/>
              <w:rPr>
                <w:sz w:val="4"/>
                <w:szCs w:val="4"/>
                <w:color w:val="auto"/>
              </w:rPr>
            </w:pPr>
          </w:p>
        </w:tc>
        <w:tc>
          <w:tcPr>
            <w:tcW w:w="1340" w:type="dxa"/>
            <w:vAlign w:val="bottom"/>
            <w:tcBorders>
              <w:bottom w:val="single" w:sz="8" w:color="auto"/>
              <w:right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98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94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r>
      <w:tr>
        <w:trPr>
          <w:trHeight w:val="264"/>
        </w:trPr>
        <w:tc>
          <w:tcPr>
            <w:tcW w:w="23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 Craig Lindner</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750,000</w:t>
            </w:r>
          </w:p>
        </w:tc>
        <w:tc>
          <w:tcPr>
            <w:tcW w:w="100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color w:val="auto"/>
              </w:rPr>
              <w:t>787,500</w:t>
            </w:r>
          </w:p>
        </w:tc>
        <w:tc>
          <w:tcPr>
            <w:tcW w:w="98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color w:val="auto"/>
              </w:rPr>
              <w:t>525,000</w:t>
            </w:r>
          </w:p>
        </w:tc>
        <w:tc>
          <w:tcPr>
            <w:tcW w:w="1240" w:type="dxa"/>
            <w:vAlign w:val="bottom"/>
            <w:tcBorders>
              <w:right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w w:val="99"/>
              </w:rPr>
              <w:t>2,062,500</w:t>
            </w:r>
          </w:p>
        </w:tc>
        <w:tc>
          <w:tcPr>
            <w:tcW w:w="120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color w:val="auto"/>
              </w:rPr>
              <w:t>2,821,875</w:t>
            </w:r>
          </w:p>
        </w:tc>
      </w:tr>
      <w:tr>
        <w:trPr>
          <w:trHeight w:val="54"/>
        </w:trPr>
        <w:tc>
          <w:tcPr>
            <w:tcW w:w="2380" w:type="dxa"/>
            <w:vAlign w:val="bottom"/>
            <w:tcBorders>
              <w:left w:val="single" w:sz="8" w:color="auto"/>
              <w:bottom w:val="single" w:sz="8" w:color="auto"/>
              <w:right w:val="single" w:sz="8" w:color="auto"/>
            </w:tcBorders>
          </w:tcPr>
          <w:p>
            <w:pPr>
              <w:spacing w:after="0"/>
              <w:rPr>
                <w:sz w:val="4"/>
                <w:szCs w:val="4"/>
                <w:color w:val="auto"/>
              </w:rPr>
            </w:pPr>
          </w:p>
        </w:tc>
        <w:tc>
          <w:tcPr>
            <w:tcW w:w="1340" w:type="dxa"/>
            <w:vAlign w:val="bottom"/>
            <w:tcBorders>
              <w:bottom w:val="single" w:sz="8" w:color="auto"/>
              <w:right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98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94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r>
      <w:tr>
        <w:trPr>
          <w:trHeight w:val="264"/>
        </w:trPr>
        <w:tc>
          <w:tcPr>
            <w:tcW w:w="23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Joseph E. (Jeff) Consolino</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592,500</w:t>
            </w:r>
          </w:p>
        </w:tc>
        <w:tc>
          <w:tcPr>
            <w:tcW w:w="100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color w:val="auto"/>
              </w:rPr>
              <w:t>533,250</w:t>
            </w:r>
          </w:p>
        </w:tc>
        <w:tc>
          <w:tcPr>
            <w:tcW w:w="98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color w:val="auto"/>
              </w:rPr>
              <w:t>355,500</w:t>
            </w:r>
          </w:p>
        </w:tc>
        <w:tc>
          <w:tcPr>
            <w:tcW w:w="1240" w:type="dxa"/>
            <w:vAlign w:val="bottom"/>
            <w:tcBorders>
              <w:right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w w:val="99"/>
              </w:rPr>
              <w:t>1,481,250</w:t>
            </w:r>
          </w:p>
        </w:tc>
        <w:tc>
          <w:tcPr>
            <w:tcW w:w="120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color w:val="auto"/>
              </w:rPr>
              <w:t>1,910,813</w:t>
            </w:r>
          </w:p>
        </w:tc>
      </w:tr>
      <w:tr>
        <w:trPr>
          <w:trHeight w:val="54"/>
        </w:trPr>
        <w:tc>
          <w:tcPr>
            <w:tcW w:w="2380" w:type="dxa"/>
            <w:vAlign w:val="bottom"/>
            <w:tcBorders>
              <w:left w:val="single" w:sz="8" w:color="auto"/>
              <w:bottom w:val="single" w:sz="8" w:color="auto"/>
              <w:right w:val="single" w:sz="8" w:color="auto"/>
            </w:tcBorders>
          </w:tcPr>
          <w:p>
            <w:pPr>
              <w:spacing w:after="0"/>
              <w:rPr>
                <w:sz w:val="4"/>
                <w:szCs w:val="4"/>
                <w:color w:val="auto"/>
              </w:rPr>
            </w:pPr>
          </w:p>
        </w:tc>
        <w:tc>
          <w:tcPr>
            <w:tcW w:w="1340" w:type="dxa"/>
            <w:vAlign w:val="bottom"/>
            <w:tcBorders>
              <w:bottom w:val="single" w:sz="8" w:color="auto"/>
              <w:right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98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94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r>
      <w:tr>
        <w:trPr>
          <w:trHeight w:val="264"/>
        </w:trPr>
        <w:tc>
          <w:tcPr>
            <w:tcW w:w="23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John B. Berding</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592,500</w:t>
            </w:r>
          </w:p>
        </w:tc>
        <w:tc>
          <w:tcPr>
            <w:tcW w:w="100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color w:val="auto"/>
              </w:rPr>
              <w:t>533,250</w:t>
            </w:r>
          </w:p>
        </w:tc>
        <w:tc>
          <w:tcPr>
            <w:tcW w:w="98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color w:val="auto"/>
              </w:rPr>
              <w:t>355,500</w:t>
            </w:r>
          </w:p>
        </w:tc>
        <w:tc>
          <w:tcPr>
            <w:tcW w:w="1240" w:type="dxa"/>
            <w:vAlign w:val="bottom"/>
            <w:tcBorders>
              <w:right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w w:val="99"/>
              </w:rPr>
              <w:t>1,481,250</w:t>
            </w:r>
          </w:p>
        </w:tc>
        <w:tc>
          <w:tcPr>
            <w:tcW w:w="120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color w:val="auto"/>
              </w:rPr>
              <w:t>1,910,813</w:t>
            </w:r>
          </w:p>
        </w:tc>
      </w:tr>
      <w:tr>
        <w:trPr>
          <w:trHeight w:val="54"/>
        </w:trPr>
        <w:tc>
          <w:tcPr>
            <w:tcW w:w="2380" w:type="dxa"/>
            <w:vAlign w:val="bottom"/>
            <w:tcBorders>
              <w:left w:val="single" w:sz="8" w:color="auto"/>
              <w:bottom w:val="single" w:sz="8" w:color="auto"/>
              <w:right w:val="single" w:sz="8" w:color="auto"/>
            </w:tcBorders>
          </w:tcPr>
          <w:p>
            <w:pPr>
              <w:spacing w:after="0"/>
              <w:rPr>
                <w:sz w:val="4"/>
                <w:szCs w:val="4"/>
                <w:color w:val="auto"/>
              </w:rPr>
            </w:pPr>
          </w:p>
        </w:tc>
        <w:tc>
          <w:tcPr>
            <w:tcW w:w="1340" w:type="dxa"/>
            <w:vAlign w:val="bottom"/>
            <w:tcBorders>
              <w:bottom w:val="single" w:sz="8" w:color="auto"/>
              <w:right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98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94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r>
      <w:tr>
        <w:trPr>
          <w:trHeight w:val="264"/>
        </w:trPr>
        <w:tc>
          <w:tcPr>
            <w:tcW w:w="23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Michelle A. Gillis</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137,500</w:t>
            </w:r>
          </w:p>
        </w:tc>
        <w:tc>
          <w:tcPr>
            <w:tcW w:w="100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auto"/>
            </w:tcBorders>
          </w:tcPr>
          <w:p>
            <w:pPr>
              <w:jc w:val="right"/>
              <w:ind w:right="270"/>
              <w:spacing w:after="0"/>
              <w:rPr>
                <w:sz w:val="20"/>
                <w:szCs w:val="20"/>
                <w:color w:val="auto"/>
              </w:rPr>
            </w:pPr>
            <w:r>
              <w:rPr>
                <w:rFonts w:ascii="Arial" w:cs="Arial" w:eastAsia="Arial" w:hAnsi="Arial"/>
                <w:sz w:val="18"/>
                <w:szCs w:val="18"/>
                <w:color w:val="auto"/>
              </w:rPr>
              <w:t>137,500</w:t>
            </w:r>
          </w:p>
        </w:tc>
        <w:tc>
          <w:tcPr>
            <w:tcW w:w="9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275,000</w:t>
            </w:r>
          </w:p>
        </w:tc>
        <w:tc>
          <w:tcPr>
            <w:tcW w:w="120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color w:val="auto"/>
              </w:rPr>
              <w:t>343,750</w:t>
            </w:r>
          </w:p>
        </w:tc>
      </w:tr>
      <w:tr>
        <w:trPr>
          <w:trHeight w:val="54"/>
        </w:trPr>
        <w:tc>
          <w:tcPr>
            <w:tcW w:w="2380" w:type="dxa"/>
            <w:vAlign w:val="bottom"/>
            <w:tcBorders>
              <w:left w:val="single" w:sz="8" w:color="auto"/>
              <w:bottom w:val="single" w:sz="8" w:color="auto"/>
              <w:right w:val="single" w:sz="8" w:color="auto"/>
            </w:tcBorders>
          </w:tcPr>
          <w:p>
            <w:pPr>
              <w:spacing w:after="0"/>
              <w:rPr>
                <w:sz w:val="4"/>
                <w:szCs w:val="4"/>
                <w:color w:val="auto"/>
              </w:rPr>
            </w:pPr>
          </w:p>
        </w:tc>
        <w:tc>
          <w:tcPr>
            <w:tcW w:w="1340" w:type="dxa"/>
            <w:vAlign w:val="bottom"/>
            <w:tcBorders>
              <w:bottom w:val="single" w:sz="8" w:color="auto"/>
              <w:right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98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94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r>
      <w:tr>
        <w:trPr>
          <w:trHeight w:val="264"/>
        </w:trPr>
        <w:tc>
          <w:tcPr>
            <w:tcW w:w="23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Vito C. Peraino</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310,000</w:t>
            </w:r>
          </w:p>
        </w:tc>
        <w:tc>
          <w:tcPr>
            <w:tcW w:w="1000" w:type="dxa"/>
            <w:vAlign w:val="bottom"/>
            <w:tcBorders>
              <w:bottom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310,000</w:t>
            </w:r>
          </w:p>
        </w:tc>
        <w:tc>
          <w:tcPr>
            <w:tcW w:w="9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620,000</w:t>
            </w:r>
          </w:p>
        </w:tc>
        <w:tc>
          <w:tcPr>
            <w:tcW w:w="1200" w:type="dxa"/>
            <w:vAlign w:val="bottom"/>
            <w:tcBorders>
              <w:bottom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775,000</w:t>
            </w:r>
          </w:p>
        </w:tc>
      </w:tr>
    </w:tbl>
    <w:p>
      <w:pPr>
        <w:spacing w:after="0" w:line="103" w:lineRule="exact"/>
        <w:rPr>
          <w:sz w:val="20"/>
          <w:szCs w:val="20"/>
          <w:color w:val="auto"/>
        </w:rPr>
      </w:pPr>
    </w:p>
    <w:p>
      <w:pPr>
        <w:sectPr>
          <w:pgSz w:w="11900" w:h="16838" w:orient="portrait"/>
          <w:cols w:equalWidth="0" w:num="1">
            <w:col w:w="10160"/>
          </w:cols>
          <w:pgMar w:left="320" w:top="265" w:right="1419" w:bottom="1440" w:gutter="0" w:footer="0" w:header="0"/>
          <w:type w:val="continuous"/>
        </w:sectPr>
      </w:pPr>
    </w:p>
    <w:p>
      <w:pPr>
        <w:ind w:left="1080" w:right="400"/>
        <w:spacing w:after="0" w:line="314" w:lineRule="auto"/>
        <w:rPr>
          <w:sz w:val="20"/>
          <w:szCs w:val="20"/>
          <w:color w:val="auto"/>
        </w:rPr>
      </w:pPr>
      <w:r>
        <w:rPr>
          <w:rFonts w:ascii="Arial" w:cs="Arial" w:eastAsia="Arial" w:hAnsi="Arial"/>
          <w:sz w:val="16"/>
          <w:szCs w:val="16"/>
          <w:color w:val="auto"/>
        </w:rPr>
        <w:t xml:space="preserve">The following </w:t>
      </w:r>
      <w:r>
        <w:rPr>
          <w:rFonts w:ascii="Arial" w:cs="Arial" w:eastAsia="Arial" w:hAnsi="Arial"/>
          <w:sz w:val="16"/>
          <w:szCs w:val="16"/>
          <w:b w:val="1"/>
          <w:bCs w:val="1"/>
          <w:color w:val="auto"/>
        </w:rPr>
        <w:t>Operating EPS component</w:t>
      </w:r>
      <w:r>
        <w:rPr>
          <w:rFonts w:ascii="Arial" w:cs="Arial" w:eastAsia="Arial" w:hAnsi="Arial"/>
          <w:sz w:val="16"/>
          <w:szCs w:val="16"/>
          <w:color w:val="auto"/>
        </w:rPr>
        <w:t xml:space="preserve"> ranges determined the percentage of the corresponding bonus amount, if any, for the Operating EPS component:</w:t>
      </w:r>
    </w:p>
    <w:p>
      <w:pPr>
        <w:spacing w:after="0" w:line="147" w:lineRule="exact"/>
        <w:rPr>
          <w:sz w:val="20"/>
          <w:szCs w:val="20"/>
          <w:color w:val="auto"/>
        </w:rPr>
      </w:pPr>
    </w:p>
    <w:tbl>
      <w:tblPr>
        <w:tblLayout w:type="fixed"/>
        <w:tblInd w:w="1080" w:type="dxa"/>
        <w:tblCellMar>
          <w:top w:w="0" w:type="dxa"/>
          <w:left w:w="0" w:type="dxa"/>
          <w:bottom w:w="0" w:type="dxa"/>
          <w:right w:w="0" w:type="dxa"/>
        </w:tblCellMar>
      </w:tblPr>
      <w:tr>
        <w:trPr>
          <w:trHeight w:val="306"/>
        </w:trPr>
        <w:tc>
          <w:tcPr>
            <w:tcW w:w="1780" w:type="dxa"/>
            <w:vAlign w:val="bottom"/>
            <w:shd w:val="clear" w:color="auto" w:fill="BFBFBF"/>
          </w:tcPr>
          <w:p>
            <w:pPr>
              <w:spacing w:after="0"/>
              <w:rPr>
                <w:sz w:val="24"/>
                <w:szCs w:val="24"/>
                <w:color w:val="auto"/>
              </w:rPr>
            </w:pPr>
          </w:p>
        </w:tc>
        <w:tc>
          <w:tcPr>
            <w:tcW w:w="2540" w:type="dxa"/>
            <w:vAlign w:val="bottom"/>
            <w:shd w:val="clear" w:color="auto" w:fill="BFBFBF"/>
          </w:tcPr>
          <w:p>
            <w:pPr>
              <w:jc w:val="center"/>
              <w:ind w:right="70"/>
              <w:spacing w:after="0"/>
              <w:rPr>
                <w:sz w:val="20"/>
                <w:szCs w:val="20"/>
                <w:color w:val="auto"/>
              </w:rPr>
            </w:pPr>
            <w:r>
              <w:rPr>
                <w:rFonts w:ascii="Arial" w:cs="Arial" w:eastAsia="Arial" w:hAnsi="Arial"/>
                <w:sz w:val="18"/>
                <w:szCs w:val="18"/>
                <w:b w:val="1"/>
                <w:bCs w:val="1"/>
                <w:color w:val="auto"/>
                <w:w w:val="87"/>
              </w:rPr>
              <w:t>Percentage of Bonus</w:t>
            </w:r>
          </w:p>
        </w:tc>
      </w:tr>
      <w:tr>
        <w:trPr>
          <w:trHeight w:val="216"/>
        </w:trPr>
        <w:tc>
          <w:tcPr>
            <w:tcW w:w="1780" w:type="dxa"/>
            <w:vAlign w:val="bottom"/>
            <w:shd w:val="clear" w:color="auto" w:fill="BFBFBF"/>
          </w:tcPr>
          <w:p>
            <w:pPr>
              <w:spacing w:after="0"/>
              <w:rPr>
                <w:sz w:val="18"/>
                <w:szCs w:val="18"/>
                <w:color w:val="auto"/>
              </w:rPr>
            </w:pPr>
          </w:p>
        </w:tc>
        <w:tc>
          <w:tcPr>
            <w:tcW w:w="2540" w:type="dxa"/>
            <w:vAlign w:val="bottom"/>
            <w:shd w:val="clear" w:color="auto" w:fill="BFBFBF"/>
          </w:tcPr>
          <w:p>
            <w:pPr>
              <w:jc w:val="center"/>
              <w:ind w:right="70"/>
              <w:spacing w:after="0"/>
              <w:rPr>
                <w:sz w:val="20"/>
                <w:szCs w:val="20"/>
                <w:color w:val="auto"/>
              </w:rPr>
            </w:pPr>
            <w:r>
              <w:rPr>
                <w:rFonts w:ascii="Arial" w:cs="Arial" w:eastAsia="Arial" w:hAnsi="Arial"/>
                <w:sz w:val="18"/>
                <w:szCs w:val="18"/>
                <w:b w:val="1"/>
                <w:bCs w:val="1"/>
                <w:color w:val="auto"/>
                <w:w w:val="90"/>
              </w:rPr>
              <w:t>Target</w:t>
            </w:r>
          </w:p>
        </w:tc>
      </w:tr>
      <w:tr>
        <w:trPr>
          <w:trHeight w:val="216"/>
        </w:trPr>
        <w:tc>
          <w:tcPr>
            <w:tcW w:w="1780" w:type="dxa"/>
            <w:vAlign w:val="bottom"/>
            <w:shd w:val="clear" w:color="auto" w:fill="BFBFBF"/>
          </w:tcPr>
          <w:p>
            <w:pPr>
              <w:spacing w:after="0"/>
              <w:rPr>
                <w:sz w:val="18"/>
                <w:szCs w:val="18"/>
                <w:color w:val="auto"/>
              </w:rPr>
            </w:pPr>
          </w:p>
        </w:tc>
        <w:tc>
          <w:tcPr>
            <w:tcW w:w="2540" w:type="dxa"/>
            <w:vAlign w:val="bottom"/>
            <w:shd w:val="clear" w:color="auto" w:fill="BFBFBF"/>
          </w:tcPr>
          <w:p>
            <w:pPr>
              <w:jc w:val="center"/>
              <w:ind w:right="70"/>
              <w:spacing w:after="0"/>
              <w:rPr>
                <w:sz w:val="20"/>
                <w:szCs w:val="20"/>
                <w:color w:val="auto"/>
              </w:rPr>
            </w:pPr>
            <w:r>
              <w:rPr>
                <w:rFonts w:ascii="Arial" w:cs="Arial" w:eastAsia="Arial" w:hAnsi="Arial"/>
                <w:sz w:val="18"/>
                <w:szCs w:val="18"/>
                <w:b w:val="1"/>
                <w:bCs w:val="1"/>
                <w:color w:val="auto"/>
                <w:w w:val="89"/>
              </w:rPr>
              <w:t>to be paid for</w:t>
            </w:r>
          </w:p>
        </w:tc>
      </w:tr>
      <w:tr>
        <w:trPr>
          <w:trHeight w:val="216"/>
        </w:trPr>
        <w:tc>
          <w:tcPr>
            <w:tcW w:w="1780" w:type="dxa"/>
            <w:vAlign w:val="bottom"/>
            <w:shd w:val="clear" w:color="auto" w:fill="BFBFBF"/>
          </w:tcPr>
          <w:p>
            <w:pPr>
              <w:spacing w:after="0"/>
              <w:rPr>
                <w:sz w:val="18"/>
                <w:szCs w:val="18"/>
                <w:color w:val="auto"/>
              </w:rPr>
            </w:pPr>
          </w:p>
        </w:tc>
        <w:tc>
          <w:tcPr>
            <w:tcW w:w="2540" w:type="dxa"/>
            <w:vAlign w:val="bottom"/>
            <w:shd w:val="clear" w:color="auto" w:fill="BFBFBF"/>
          </w:tcPr>
          <w:p>
            <w:pPr>
              <w:jc w:val="center"/>
              <w:ind w:right="70"/>
              <w:spacing w:after="0"/>
              <w:rPr>
                <w:sz w:val="20"/>
                <w:szCs w:val="20"/>
                <w:color w:val="auto"/>
              </w:rPr>
            </w:pPr>
            <w:r>
              <w:rPr>
                <w:rFonts w:ascii="Arial" w:cs="Arial" w:eastAsia="Arial" w:hAnsi="Arial"/>
                <w:sz w:val="18"/>
                <w:szCs w:val="18"/>
                <w:b w:val="1"/>
                <w:bCs w:val="1"/>
                <w:color w:val="auto"/>
                <w:w w:val="93"/>
              </w:rPr>
              <w:t>Operating EPS</w:t>
            </w:r>
          </w:p>
        </w:tc>
      </w:tr>
      <w:tr>
        <w:trPr>
          <w:trHeight w:val="268"/>
        </w:trPr>
        <w:tc>
          <w:tcPr>
            <w:tcW w:w="1780" w:type="dxa"/>
            <w:vAlign w:val="bottom"/>
            <w:tcBorders>
              <w:bottom w:val="single" w:sz="8" w:color="BFBFBF"/>
            </w:tcBorders>
            <w:shd w:val="clear" w:color="auto" w:fill="BFBFBF"/>
          </w:tcPr>
          <w:p>
            <w:pPr>
              <w:jc w:val="center"/>
              <w:ind w:right="90"/>
              <w:spacing w:after="0"/>
              <w:rPr>
                <w:sz w:val="20"/>
                <w:szCs w:val="20"/>
                <w:color w:val="auto"/>
              </w:rPr>
            </w:pPr>
            <w:r>
              <w:rPr>
                <w:rFonts w:ascii="Arial" w:cs="Arial" w:eastAsia="Arial" w:hAnsi="Arial"/>
                <w:sz w:val="18"/>
                <w:szCs w:val="18"/>
                <w:b w:val="1"/>
                <w:bCs w:val="1"/>
                <w:color w:val="auto"/>
                <w:w w:val="91"/>
              </w:rPr>
              <w:t>Operating EPS</w:t>
            </w:r>
          </w:p>
        </w:tc>
        <w:tc>
          <w:tcPr>
            <w:tcW w:w="2540" w:type="dxa"/>
            <w:vAlign w:val="bottom"/>
            <w:tcBorders>
              <w:bottom w:val="single" w:sz="8" w:color="BFBFBF"/>
            </w:tcBorders>
            <w:shd w:val="clear" w:color="auto" w:fill="BFBFBF"/>
          </w:tcPr>
          <w:p>
            <w:pPr>
              <w:jc w:val="center"/>
              <w:ind w:right="30"/>
              <w:spacing w:after="0"/>
              <w:rPr>
                <w:sz w:val="20"/>
                <w:szCs w:val="20"/>
                <w:color w:val="auto"/>
              </w:rPr>
            </w:pPr>
            <w:r>
              <w:rPr>
                <w:rFonts w:ascii="Arial" w:cs="Arial" w:eastAsia="Arial" w:hAnsi="Arial"/>
                <w:sz w:val="18"/>
                <w:szCs w:val="18"/>
                <w:b w:val="1"/>
                <w:bCs w:val="1"/>
                <w:color w:val="auto"/>
                <w:w w:val="89"/>
              </w:rPr>
              <w:t>Component</w:t>
            </w:r>
          </w:p>
        </w:tc>
      </w:tr>
      <w:tr>
        <w:trPr>
          <w:trHeight w:val="270"/>
        </w:trPr>
        <w:tc>
          <w:tcPr>
            <w:tcW w:w="1780" w:type="dxa"/>
            <w:vAlign w:val="bottom"/>
          </w:tcPr>
          <w:p>
            <w:pPr>
              <w:jc w:val="center"/>
              <w:ind w:right="70"/>
              <w:spacing w:after="0"/>
              <w:rPr>
                <w:sz w:val="20"/>
                <w:szCs w:val="20"/>
                <w:color w:val="auto"/>
              </w:rPr>
            </w:pPr>
            <w:r>
              <w:rPr>
                <w:rFonts w:ascii="Arial" w:cs="Arial" w:eastAsia="Arial" w:hAnsi="Arial"/>
                <w:sz w:val="18"/>
                <w:szCs w:val="18"/>
                <w:color w:val="auto"/>
                <w:w w:val="88"/>
              </w:rPr>
              <w:t>Less than $7.73</w:t>
            </w:r>
          </w:p>
        </w:tc>
        <w:tc>
          <w:tcPr>
            <w:tcW w:w="2540" w:type="dxa"/>
            <w:vAlign w:val="bottom"/>
          </w:tcPr>
          <w:p>
            <w:pPr>
              <w:jc w:val="right"/>
              <w:ind w:right="1190"/>
              <w:spacing w:after="0"/>
              <w:rPr>
                <w:sz w:val="20"/>
                <w:szCs w:val="20"/>
                <w:color w:val="auto"/>
              </w:rPr>
            </w:pPr>
            <w:r>
              <w:rPr>
                <w:rFonts w:ascii="Arial" w:cs="Arial" w:eastAsia="Arial" w:hAnsi="Arial"/>
                <w:sz w:val="18"/>
                <w:szCs w:val="18"/>
                <w:color w:val="auto"/>
              </w:rPr>
              <w:t>0</w:t>
            </w:r>
          </w:p>
        </w:tc>
      </w:tr>
      <w:tr>
        <w:trPr>
          <w:trHeight w:val="324"/>
        </w:trPr>
        <w:tc>
          <w:tcPr>
            <w:tcW w:w="1780" w:type="dxa"/>
            <w:vAlign w:val="bottom"/>
          </w:tcPr>
          <w:p>
            <w:pPr>
              <w:jc w:val="center"/>
              <w:ind w:right="90"/>
              <w:spacing w:after="0"/>
              <w:rPr>
                <w:sz w:val="20"/>
                <w:szCs w:val="20"/>
                <w:color w:val="auto"/>
              </w:rPr>
            </w:pPr>
            <w:r>
              <w:rPr>
                <w:rFonts w:ascii="Arial" w:cs="Arial" w:eastAsia="Arial" w:hAnsi="Arial"/>
                <w:sz w:val="18"/>
                <w:szCs w:val="18"/>
                <w:color w:val="auto"/>
                <w:w w:val="88"/>
              </w:rPr>
              <w:t>$8.60</w:t>
            </w:r>
          </w:p>
        </w:tc>
        <w:tc>
          <w:tcPr>
            <w:tcW w:w="2540" w:type="dxa"/>
            <w:vAlign w:val="bottom"/>
          </w:tcPr>
          <w:p>
            <w:pPr>
              <w:jc w:val="right"/>
              <w:ind w:right="1030"/>
              <w:spacing w:after="0"/>
              <w:rPr>
                <w:sz w:val="20"/>
                <w:szCs w:val="20"/>
                <w:color w:val="auto"/>
              </w:rPr>
            </w:pPr>
            <w:r>
              <w:rPr>
                <w:rFonts w:ascii="Arial" w:cs="Arial" w:eastAsia="Arial" w:hAnsi="Arial"/>
                <w:sz w:val="18"/>
                <w:szCs w:val="18"/>
                <w:color w:val="auto"/>
              </w:rPr>
              <w:t>100%</w:t>
            </w:r>
          </w:p>
        </w:tc>
      </w:tr>
      <w:tr>
        <w:trPr>
          <w:trHeight w:val="385"/>
        </w:trPr>
        <w:tc>
          <w:tcPr>
            <w:tcW w:w="1780" w:type="dxa"/>
            <w:vAlign w:val="bottom"/>
          </w:tcPr>
          <w:p>
            <w:pPr>
              <w:jc w:val="center"/>
              <w:ind w:right="70"/>
              <w:spacing w:after="0"/>
              <w:rPr>
                <w:sz w:val="20"/>
                <w:szCs w:val="20"/>
                <w:color w:val="auto"/>
              </w:rPr>
            </w:pPr>
            <w:r>
              <w:rPr>
                <w:rFonts w:ascii="Arial" w:cs="Arial" w:eastAsia="Arial" w:hAnsi="Arial"/>
                <w:sz w:val="18"/>
                <w:szCs w:val="18"/>
                <w:color w:val="auto"/>
                <w:w w:val="90"/>
              </w:rPr>
              <w:t>$9.46 or more</w:t>
            </w:r>
          </w:p>
        </w:tc>
        <w:tc>
          <w:tcPr>
            <w:tcW w:w="2540" w:type="dxa"/>
            <w:vAlign w:val="bottom"/>
          </w:tcPr>
          <w:p>
            <w:pPr>
              <w:jc w:val="center"/>
              <w:ind w:right="30"/>
              <w:spacing w:after="0"/>
              <w:rPr>
                <w:sz w:val="20"/>
                <w:szCs w:val="20"/>
                <w:color w:val="auto"/>
              </w:rPr>
            </w:pPr>
            <w:r>
              <w:rPr>
                <w:rFonts w:ascii="Arial" w:cs="Arial" w:eastAsia="Arial" w:hAnsi="Arial"/>
                <w:sz w:val="18"/>
                <w:szCs w:val="18"/>
                <w:color w:val="auto"/>
                <w:w w:val="92"/>
              </w:rPr>
              <w:t>Maximum</w:t>
            </w:r>
            <w:r>
              <w:rPr>
                <w:rFonts w:ascii="Arial" w:cs="Arial" w:eastAsia="Arial" w:hAnsi="Arial"/>
                <w:sz w:val="29"/>
                <w:szCs w:val="29"/>
                <w:color w:val="auto"/>
                <w:w w:val="92"/>
                <w:vertAlign w:val="superscript"/>
              </w:rPr>
              <w:t>(1)</w:t>
            </w:r>
          </w:p>
        </w:tc>
      </w:tr>
    </w:tbl>
    <w:p>
      <w:pPr>
        <w:ind w:left="1440" w:right="160" w:hanging="352"/>
        <w:spacing w:after="0" w:line="237" w:lineRule="auto"/>
        <w:tabs>
          <w:tab w:leader="none" w:pos="14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175% for the Co-CEOs, 150% for Mr. Consolino and Mr. Berding and 125% for Ms. Gillis and Mr. Peraino.</w:t>
      </w:r>
    </w:p>
    <w:p>
      <w:pPr>
        <w:spacing w:after="0" w:line="79" w:lineRule="exact"/>
        <w:rPr>
          <w:sz w:val="20"/>
          <w:szCs w:val="20"/>
          <w:color w:val="auto"/>
        </w:rPr>
      </w:pPr>
    </w:p>
    <w:p>
      <w:pPr>
        <w:ind w:left="1080"/>
        <w:spacing w:after="0" w:line="272" w:lineRule="auto"/>
        <w:rPr>
          <w:sz w:val="20"/>
          <w:szCs w:val="20"/>
          <w:color w:val="auto"/>
        </w:rPr>
      </w:pPr>
      <w:r>
        <w:rPr>
          <w:rFonts w:ascii="Arial" w:cs="Arial" w:eastAsia="Arial" w:hAnsi="Arial"/>
          <w:sz w:val="17"/>
          <w:szCs w:val="17"/>
          <w:color w:val="auto"/>
        </w:rPr>
        <w:t>The Company’s Operating EPS calculation is its diluted core earnings per share as reported to shareholders in quarterly earnings releases and excludes certain items that may not be indicative of its ongoing core operations such as realized gains and losses and special charges resulting from the recurring periodic review of the Company’s asbestos and environmental exposures.</w:t>
      </w:r>
    </w:p>
    <w:p>
      <w:pPr>
        <w:spacing w:after="0" w:line="20" w:lineRule="exact"/>
        <w:rPr>
          <w:sz w:val="20"/>
          <w:szCs w:val="20"/>
          <w:color w:val="auto"/>
        </w:rPr>
      </w:pPr>
      <w:r>
        <w:rPr>
          <w:sz w:val="20"/>
          <w:szCs w:val="20"/>
          <w:color w:val="auto"/>
        </w:rPr>
        <w:br w:type="column"/>
      </w:r>
    </w:p>
    <w:p>
      <w:pPr>
        <w:ind w:right="20"/>
        <w:spacing w:after="0" w:line="286" w:lineRule="auto"/>
        <w:rPr>
          <w:sz w:val="20"/>
          <w:szCs w:val="20"/>
          <w:color w:val="auto"/>
        </w:rPr>
      </w:pPr>
      <w:r>
        <w:rPr>
          <w:rFonts w:ascii="Arial" w:cs="Arial" w:eastAsia="Arial" w:hAnsi="Arial"/>
          <w:sz w:val="16"/>
          <w:szCs w:val="16"/>
          <w:color w:val="auto"/>
        </w:rPr>
        <w:t>In setting 2019 targets, the Compensation Committee considered 2018 targets and results and determined that achieving the 2019 Operating EPS target, particularly given that the target represented a 2.4% increase over actual record 2018 Operating EPS and 5.5% increase over the 2018 Operating EPS target, would require substantial efforts on behalf of the entire organization, including the named executive officers. The Compensation Committee considered factors which might impact ongoing earnings, including, but not limited to, competition, market influences, governmental regulation and the Board of Directors’ desire to devote resources to other internal corporate objectives, such as acquisitions or start-ups.</w:t>
      </w:r>
    </w:p>
    <w:p>
      <w:pPr>
        <w:spacing w:after="0" w:line="66"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AFG reported record Operating EPS of $8.62. The Compensation Committee authorized the payment of bonuses for 2019 as follows under the Operating EPS component: $763,081 (101.7% of bonus target) to each Co-CEO; $599,390 (101.1% of bonus target) to each of</w:t>
      </w:r>
    </w:p>
    <w:p>
      <w:pPr>
        <w:spacing w:after="0" w:line="3"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Mr. Consolino and Mr. Berding; $138,299 and $311,802, respectively, (100.6% of bonus target) to Ms. Gillis and Mr. Peraino.</w:t>
      </w:r>
    </w:p>
    <w:p>
      <w:pPr>
        <w:spacing w:after="0" w:line="563" w:lineRule="exact"/>
        <w:rPr>
          <w:sz w:val="20"/>
          <w:szCs w:val="20"/>
          <w:color w:val="auto"/>
        </w:rPr>
      </w:pPr>
    </w:p>
    <w:p>
      <w:pPr>
        <w:sectPr>
          <w:pgSz w:w="11900" w:h="16838" w:orient="portrait"/>
          <w:cols w:equalWidth="0" w:num="2">
            <w:col w:w="5400" w:space="440"/>
            <w:col w:w="4320"/>
          </w:cols>
          <w:pgMar w:left="320" w:top="265" w:right="1419" w:bottom="1440" w:gutter="0" w:footer="0" w:header="0"/>
          <w:type w:val="continuous"/>
        </w:sectPr>
      </w:pPr>
    </w:p>
    <w:p>
      <w:pPr>
        <w:spacing w:after="0" w:line="90" w:lineRule="exact"/>
        <w:rPr>
          <w:sz w:val="20"/>
          <w:szCs w:val="20"/>
          <w:color w:val="auto"/>
        </w:rPr>
      </w:pPr>
    </w:p>
    <w:p>
      <w:pPr>
        <w:ind w:left="1160"/>
        <w:spacing w:after="0"/>
        <w:tabs>
          <w:tab w:leader="none" w:pos="9960" w:val="left"/>
        </w:tabs>
        <w:rPr>
          <w:sz w:val="20"/>
          <w:szCs w:val="20"/>
          <w:color w:val="auto"/>
        </w:rPr>
      </w:pPr>
      <w:r>
        <w:rPr>
          <w:rFonts w:ascii="Arial" w:cs="Arial" w:eastAsia="Arial" w:hAnsi="Arial"/>
          <w:sz w:val="16"/>
          <w:szCs w:val="16"/>
          <w:color w:val="auto"/>
        </w:rPr>
        <w:t>2020 Proxy Statement | Compensation Discussion and Analysis</w:t>
      </w:r>
      <w:r>
        <w:rPr>
          <w:sz w:val="20"/>
          <w:szCs w:val="20"/>
          <w:color w:val="auto"/>
        </w:rPr>
        <w:tab/>
      </w: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137795</wp:posOffset>
            </wp:positionV>
            <wp:extent cx="699516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160"/>
          </w:cols>
          <w:pgMar w:left="320" w:top="265" w:right="1419" w:bottom="1440" w:gutter="0" w:footer="0" w:header="0"/>
          <w:type w:val="continuous"/>
        </w:sectPr>
      </w:pPr>
    </w:p>
    <w:bookmarkStart w:id="37" w:name="page38"/>
    <w:bookmarkEnd w:id="37"/>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6515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651510"/>
                    </a:xfrm>
                    <a:prstGeom prst="rect">
                      <a:avLst/>
                    </a:prstGeom>
                    <a:noFill/>
                  </pic:spPr>
                </pic:pic>
              </a:graphicData>
            </a:graphic>
          </wp:anchor>
        </w:drawing>
      </w:r>
    </w:p>
    <w:p>
      <w:pPr>
        <w:sectPr>
          <w:pgSz w:w="11900" w:h="16838" w:orient="portrait"/>
          <w:cols w:equalWidth="0" w:num="1">
            <w:col w:w="10160"/>
          </w:cols>
          <w:pgMar w:left="320" w:top="265" w:right="1419" w:bottom="11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080" w:right="40"/>
        <w:spacing w:after="0" w:line="282"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Specialty P&amp;C Earnings component</w:t>
      </w:r>
      <w:r>
        <w:rPr>
          <w:rFonts w:ascii="Arial" w:cs="Arial" w:eastAsia="Arial" w:hAnsi="Arial"/>
          <w:sz w:val="18"/>
          <w:szCs w:val="18"/>
          <w:color w:val="auto"/>
        </w:rPr>
        <w:t xml:space="preserve"> ranges for 2019 were as follows:</w:t>
      </w:r>
    </w:p>
    <w:p>
      <w:pPr>
        <w:spacing w:after="0" w:line="166" w:lineRule="exact"/>
        <w:rPr>
          <w:sz w:val="20"/>
          <w:szCs w:val="20"/>
          <w:color w:val="auto"/>
        </w:rPr>
      </w:pPr>
    </w:p>
    <w:tbl>
      <w:tblPr>
        <w:tblLayout w:type="fixed"/>
        <w:tblInd w:w="1080" w:type="dxa"/>
        <w:tblCellMar>
          <w:top w:w="0" w:type="dxa"/>
          <w:left w:w="0" w:type="dxa"/>
          <w:bottom w:w="0" w:type="dxa"/>
          <w:right w:w="0" w:type="dxa"/>
        </w:tblCellMar>
      </w:tblPr>
      <w:tr>
        <w:trPr>
          <w:trHeight w:val="306"/>
        </w:trPr>
        <w:tc>
          <w:tcPr>
            <w:tcW w:w="1740" w:type="dxa"/>
            <w:vAlign w:val="bottom"/>
            <w:shd w:val="clear" w:color="auto" w:fill="BFBFBF"/>
          </w:tcPr>
          <w:p>
            <w:pPr>
              <w:spacing w:after="0"/>
              <w:rPr>
                <w:sz w:val="24"/>
                <w:szCs w:val="24"/>
                <w:color w:val="auto"/>
              </w:rPr>
            </w:pPr>
          </w:p>
        </w:tc>
        <w:tc>
          <w:tcPr>
            <w:tcW w:w="2580" w:type="dxa"/>
            <w:vAlign w:val="bottom"/>
            <w:shd w:val="clear" w:color="auto" w:fill="BFBFBF"/>
          </w:tcPr>
          <w:p>
            <w:pPr>
              <w:jc w:val="center"/>
              <w:ind w:right="30"/>
              <w:spacing w:after="0"/>
              <w:rPr>
                <w:sz w:val="20"/>
                <w:szCs w:val="20"/>
                <w:color w:val="auto"/>
              </w:rPr>
            </w:pPr>
            <w:r>
              <w:rPr>
                <w:rFonts w:ascii="Arial" w:cs="Arial" w:eastAsia="Arial" w:hAnsi="Arial"/>
                <w:sz w:val="18"/>
                <w:szCs w:val="18"/>
                <w:b w:val="1"/>
                <w:bCs w:val="1"/>
                <w:color w:val="auto"/>
                <w:w w:val="87"/>
              </w:rPr>
              <w:t>Percentage of Bonus</w:t>
            </w:r>
          </w:p>
        </w:tc>
      </w:tr>
      <w:tr>
        <w:trPr>
          <w:trHeight w:val="216"/>
        </w:trPr>
        <w:tc>
          <w:tcPr>
            <w:tcW w:w="1740" w:type="dxa"/>
            <w:vAlign w:val="bottom"/>
            <w:shd w:val="clear" w:color="auto" w:fill="BFBFBF"/>
          </w:tcPr>
          <w:p>
            <w:pPr>
              <w:spacing w:after="0"/>
              <w:rPr>
                <w:sz w:val="18"/>
                <w:szCs w:val="18"/>
                <w:color w:val="auto"/>
              </w:rPr>
            </w:pPr>
          </w:p>
        </w:tc>
        <w:tc>
          <w:tcPr>
            <w:tcW w:w="2580" w:type="dxa"/>
            <w:vAlign w:val="bottom"/>
            <w:shd w:val="clear" w:color="auto" w:fill="BFBFBF"/>
          </w:tcPr>
          <w:p>
            <w:pPr>
              <w:jc w:val="center"/>
              <w:ind w:right="30"/>
              <w:spacing w:after="0"/>
              <w:rPr>
                <w:sz w:val="20"/>
                <w:szCs w:val="20"/>
                <w:color w:val="auto"/>
              </w:rPr>
            </w:pPr>
            <w:r>
              <w:rPr>
                <w:rFonts w:ascii="Arial" w:cs="Arial" w:eastAsia="Arial" w:hAnsi="Arial"/>
                <w:sz w:val="18"/>
                <w:szCs w:val="18"/>
                <w:b w:val="1"/>
                <w:bCs w:val="1"/>
                <w:color w:val="auto"/>
                <w:w w:val="90"/>
              </w:rPr>
              <w:t>Target</w:t>
            </w:r>
          </w:p>
        </w:tc>
      </w:tr>
      <w:tr>
        <w:trPr>
          <w:trHeight w:val="216"/>
        </w:trPr>
        <w:tc>
          <w:tcPr>
            <w:tcW w:w="1740" w:type="dxa"/>
            <w:vAlign w:val="bottom"/>
            <w:shd w:val="clear" w:color="auto" w:fill="BFBFBF"/>
          </w:tcPr>
          <w:p>
            <w:pPr>
              <w:jc w:val="center"/>
              <w:ind w:right="90"/>
              <w:spacing w:after="0"/>
              <w:rPr>
                <w:sz w:val="20"/>
                <w:szCs w:val="20"/>
                <w:color w:val="auto"/>
              </w:rPr>
            </w:pPr>
            <w:r>
              <w:rPr>
                <w:rFonts w:ascii="Arial" w:cs="Arial" w:eastAsia="Arial" w:hAnsi="Arial"/>
                <w:sz w:val="18"/>
                <w:szCs w:val="18"/>
                <w:b w:val="1"/>
                <w:bCs w:val="1"/>
                <w:color w:val="auto"/>
                <w:w w:val="91"/>
              </w:rPr>
              <w:t>Specialty P&amp;C</w:t>
            </w:r>
          </w:p>
        </w:tc>
        <w:tc>
          <w:tcPr>
            <w:tcW w:w="2580" w:type="dxa"/>
            <w:vAlign w:val="bottom"/>
            <w:shd w:val="clear" w:color="auto" w:fill="BFBFBF"/>
          </w:tcPr>
          <w:p>
            <w:pPr>
              <w:jc w:val="center"/>
              <w:ind w:right="30"/>
              <w:spacing w:after="0"/>
              <w:rPr>
                <w:sz w:val="20"/>
                <w:szCs w:val="20"/>
                <w:color w:val="auto"/>
              </w:rPr>
            </w:pPr>
            <w:r>
              <w:rPr>
                <w:rFonts w:ascii="Arial" w:cs="Arial" w:eastAsia="Arial" w:hAnsi="Arial"/>
                <w:sz w:val="18"/>
                <w:szCs w:val="18"/>
                <w:b w:val="1"/>
                <w:bCs w:val="1"/>
                <w:color w:val="auto"/>
                <w:w w:val="89"/>
              </w:rPr>
              <w:t>to be paid for Specialty</w:t>
            </w:r>
          </w:p>
        </w:tc>
      </w:tr>
      <w:tr>
        <w:trPr>
          <w:trHeight w:val="216"/>
        </w:trPr>
        <w:tc>
          <w:tcPr>
            <w:tcW w:w="1740" w:type="dxa"/>
            <w:vAlign w:val="bottom"/>
            <w:shd w:val="clear" w:color="auto" w:fill="BFBFBF"/>
          </w:tcPr>
          <w:p>
            <w:pPr>
              <w:jc w:val="center"/>
              <w:ind w:right="70"/>
              <w:spacing w:after="0"/>
              <w:rPr>
                <w:sz w:val="20"/>
                <w:szCs w:val="20"/>
                <w:color w:val="auto"/>
              </w:rPr>
            </w:pPr>
            <w:r>
              <w:rPr>
                <w:rFonts w:ascii="Arial" w:cs="Arial" w:eastAsia="Arial" w:hAnsi="Arial"/>
                <w:sz w:val="18"/>
                <w:szCs w:val="18"/>
                <w:b w:val="1"/>
                <w:bCs w:val="1"/>
                <w:color w:val="auto"/>
                <w:w w:val="90"/>
              </w:rPr>
              <w:t>Earnings</w:t>
            </w:r>
          </w:p>
        </w:tc>
        <w:tc>
          <w:tcPr>
            <w:tcW w:w="2580" w:type="dxa"/>
            <w:vAlign w:val="bottom"/>
            <w:shd w:val="clear" w:color="auto" w:fill="BFBFBF"/>
          </w:tcPr>
          <w:p>
            <w:pPr>
              <w:jc w:val="center"/>
              <w:ind w:right="30"/>
              <w:spacing w:after="0"/>
              <w:rPr>
                <w:sz w:val="20"/>
                <w:szCs w:val="20"/>
                <w:color w:val="auto"/>
              </w:rPr>
            </w:pPr>
            <w:r>
              <w:rPr>
                <w:rFonts w:ascii="Arial" w:cs="Arial" w:eastAsia="Arial" w:hAnsi="Arial"/>
                <w:sz w:val="18"/>
                <w:szCs w:val="18"/>
                <w:b w:val="1"/>
                <w:bCs w:val="1"/>
                <w:color w:val="auto"/>
                <w:w w:val="94"/>
              </w:rPr>
              <w:t>P&amp;C Earnings</w:t>
            </w:r>
          </w:p>
        </w:tc>
      </w:tr>
      <w:tr>
        <w:trPr>
          <w:trHeight w:val="268"/>
        </w:trPr>
        <w:tc>
          <w:tcPr>
            <w:tcW w:w="1740" w:type="dxa"/>
            <w:vAlign w:val="bottom"/>
            <w:tcBorders>
              <w:bottom w:val="single" w:sz="8" w:color="BFBFBF"/>
            </w:tcBorders>
            <w:shd w:val="clear" w:color="auto" w:fill="BFBFBF"/>
          </w:tcPr>
          <w:p>
            <w:pPr>
              <w:jc w:val="center"/>
              <w:ind w:right="50"/>
              <w:spacing w:after="0"/>
              <w:rPr>
                <w:sz w:val="20"/>
                <w:szCs w:val="20"/>
                <w:color w:val="auto"/>
              </w:rPr>
            </w:pPr>
            <w:r>
              <w:rPr>
                <w:rFonts w:ascii="Arial" w:cs="Arial" w:eastAsia="Arial" w:hAnsi="Arial"/>
                <w:sz w:val="18"/>
                <w:szCs w:val="18"/>
                <w:b w:val="1"/>
                <w:bCs w:val="1"/>
                <w:color w:val="auto"/>
                <w:w w:val="91"/>
              </w:rPr>
              <w:t>(in millions)</w:t>
            </w:r>
          </w:p>
        </w:tc>
        <w:tc>
          <w:tcPr>
            <w:tcW w:w="2580" w:type="dxa"/>
            <w:vAlign w:val="bottom"/>
            <w:tcBorders>
              <w:bottom w:val="single" w:sz="8" w:color="BFBFBF"/>
            </w:tcBorders>
            <w:shd w:val="clear" w:color="auto" w:fill="BFBFBF"/>
          </w:tcPr>
          <w:p>
            <w:pPr>
              <w:jc w:val="center"/>
              <w:spacing w:after="0"/>
              <w:rPr>
                <w:sz w:val="20"/>
                <w:szCs w:val="20"/>
                <w:color w:val="auto"/>
              </w:rPr>
            </w:pPr>
            <w:r>
              <w:rPr>
                <w:rFonts w:ascii="Arial" w:cs="Arial" w:eastAsia="Arial" w:hAnsi="Arial"/>
                <w:sz w:val="18"/>
                <w:szCs w:val="18"/>
                <w:b w:val="1"/>
                <w:bCs w:val="1"/>
                <w:color w:val="auto"/>
                <w:w w:val="89"/>
              </w:rPr>
              <w:t>Component</w:t>
            </w:r>
          </w:p>
        </w:tc>
      </w:tr>
      <w:tr>
        <w:trPr>
          <w:trHeight w:val="270"/>
        </w:trPr>
        <w:tc>
          <w:tcPr>
            <w:tcW w:w="1740" w:type="dxa"/>
            <w:vAlign w:val="bottom"/>
          </w:tcPr>
          <w:p>
            <w:pPr>
              <w:jc w:val="center"/>
              <w:ind w:right="30"/>
              <w:spacing w:after="0"/>
              <w:rPr>
                <w:sz w:val="20"/>
                <w:szCs w:val="20"/>
                <w:color w:val="auto"/>
              </w:rPr>
            </w:pPr>
            <w:r>
              <w:rPr>
                <w:rFonts w:ascii="Arial" w:cs="Arial" w:eastAsia="Arial" w:hAnsi="Arial"/>
                <w:sz w:val="18"/>
                <w:szCs w:val="18"/>
                <w:color w:val="auto"/>
                <w:w w:val="88"/>
              </w:rPr>
              <w:t>Less than $693.3</w:t>
            </w:r>
          </w:p>
        </w:tc>
        <w:tc>
          <w:tcPr>
            <w:tcW w:w="2580" w:type="dxa"/>
            <w:vAlign w:val="bottom"/>
          </w:tcPr>
          <w:p>
            <w:pPr>
              <w:jc w:val="center"/>
              <w:spacing w:after="0"/>
              <w:rPr>
                <w:sz w:val="20"/>
                <w:szCs w:val="20"/>
                <w:color w:val="auto"/>
              </w:rPr>
            </w:pPr>
            <w:r>
              <w:rPr>
                <w:rFonts w:ascii="Arial" w:cs="Arial" w:eastAsia="Arial" w:hAnsi="Arial"/>
                <w:sz w:val="18"/>
                <w:szCs w:val="18"/>
                <w:color w:val="auto"/>
                <w:w w:val="99"/>
              </w:rPr>
              <w:t>0</w:t>
            </w:r>
          </w:p>
        </w:tc>
      </w:tr>
      <w:tr>
        <w:trPr>
          <w:trHeight w:val="324"/>
        </w:trPr>
        <w:tc>
          <w:tcPr>
            <w:tcW w:w="1740" w:type="dxa"/>
            <w:vAlign w:val="bottom"/>
          </w:tcPr>
          <w:p>
            <w:pPr>
              <w:jc w:val="center"/>
              <w:ind w:right="30"/>
              <w:spacing w:after="0"/>
              <w:rPr>
                <w:sz w:val="20"/>
                <w:szCs w:val="20"/>
                <w:color w:val="auto"/>
              </w:rPr>
            </w:pPr>
            <w:r>
              <w:rPr>
                <w:rFonts w:ascii="Arial" w:cs="Arial" w:eastAsia="Arial" w:hAnsi="Arial"/>
                <w:sz w:val="18"/>
                <w:szCs w:val="18"/>
                <w:color w:val="auto"/>
                <w:w w:val="90"/>
              </w:rPr>
              <w:t>$693.3</w:t>
            </w:r>
          </w:p>
        </w:tc>
        <w:tc>
          <w:tcPr>
            <w:tcW w:w="2580" w:type="dxa"/>
            <w:vAlign w:val="bottom"/>
          </w:tcPr>
          <w:p>
            <w:pPr>
              <w:jc w:val="center"/>
              <w:spacing w:after="0"/>
              <w:rPr>
                <w:sz w:val="20"/>
                <w:szCs w:val="20"/>
                <w:color w:val="auto"/>
              </w:rPr>
            </w:pPr>
            <w:r>
              <w:rPr>
                <w:rFonts w:ascii="Arial" w:cs="Arial" w:eastAsia="Arial" w:hAnsi="Arial"/>
                <w:sz w:val="18"/>
                <w:szCs w:val="18"/>
                <w:color w:val="auto"/>
                <w:w w:val="94"/>
              </w:rPr>
              <w:t>85%</w:t>
            </w:r>
          </w:p>
        </w:tc>
      </w:tr>
      <w:tr>
        <w:trPr>
          <w:trHeight w:val="324"/>
        </w:trPr>
        <w:tc>
          <w:tcPr>
            <w:tcW w:w="1740" w:type="dxa"/>
            <w:vAlign w:val="bottom"/>
          </w:tcPr>
          <w:p>
            <w:pPr>
              <w:jc w:val="center"/>
              <w:ind w:right="30"/>
              <w:spacing w:after="0"/>
              <w:rPr>
                <w:sz w:val="20"/>
                <w:szCs w:val="20"/>
                <w:color w:val="auto"/>
              </w:rPr>
            </w:pPr>
            <w:r>
              <w:rPr>
                <w:rFonts w:ascii="Arial" w:cs="Arial" w:eastAsia="Arial" w:hAnsi="Arial"/>
                <w:sz w:val="18"/>
                <w:szCs w:val="18"/>
                <w:color w:val="auto"/>
                <w:w w:val="90"/>
              </w:rPr>
              <w:t>$753.6</w:t>
            </w:r>
          </w:p>
        </w:tc>
        <w:tc>
          <w:tcPr>
            <w:tcW w:w="2580" w:type="dxa"/>
            <w:vAlign w:val="bottom"/>
          </w:tcPr>
          <w:p>
            <w:pPr>
              <w:jc w:val="center"/>
              <w:spacing w:after="0"/>
              <w:rPr>
                <w:sz w:val="20"/>
                <w:szCs w:val="20"/>
                <w:color w:val="auto"/>
              </w:rPr>
            </w:pPr>
            <w:r>
              <w:rPr>
                <w:rFonts w:ascii="Arial" w:cs="Arial" w:eastAsia="Arial" w:hAnsi="Arial"/>
                <w:sz w:val="18"/>
                <w:szCs w:val="18"/>
                <w:color w:val="auto"/>
                <w:w w:val="89"/>
              </w:rPr>
              <w:t>Target of 100%</w:t>
            </w:r>
          </w:p>
        </w:tc>
      </w:tr>
      <w:tr>
        <w:trPr>
          <w:trHeight w:val="324"/>
        </w:trPr>
        <w:tc>
          <w:tcPr>
            <w:tcW w:w="1740" w:type="dxa"/>
            <w:vAlign w:val="bottom"/>
          </w:tcPr>
          <w:p>
            <w:pPr>
              <w:jc w:val="center"/>
              <w:ind w:right="30"/>
              <w:spacing w:after="0"/>
              <w:rPr>
                <w:sz w:val="20"/>
                <w:szCs w:val="20"/>
                <w:color w:val="auto"/>
              </w:rPr>
            </w:pPr>
            <w:r>
              <w:rPr>
                <w:rFonts w:ascii="Arial" w:cs="Arial" w:eastAsia="Arial" w:hAnsi="Arial"/>
                <w:sz w:val="18"/>
                <w:szCs w:val="18"/>
                <w:color w:val="auto"/>
                <w:w w:val="90"/>
              </w:rPr>
              <w:t>$813.9 or more</w:t>
            </w:r>
          </w:p>
        </w:tc>
        <w:tc>
          <w:tcPr>
            <w:tcW w:w="2580" w:type="dxa"/>
            <w:vAlign w:val="bottom"/>
          </w:tcPr>
          <w:p>
            <w:pPr>
              <w:jc w:val="center"/>
              <w:spacing w:after="0"/>
              <w:rPr>
                <w:sz w:val="20"/>
                <w:szCs w:val="20"/>
                <w:color w:val="auto"/>
              </w:rPr>
            </w:pPr>
            <w:r>
              <w:rPr>
                <w:rFonts w:ascii="Arial" w:cs="Arial" w:eastAsia="Arial" w:hAnsi="Arial"/>
                <w:sz w:val="18"/>
                <w:szCs w:val="18"/>
                <w:color w:val="auto"/>
                <w:w w:val="91"/>
              </w:rPr>
              <w:t>115%</w:t>
            </w:r>
          </w:p>
        </w:tc>
      </w:tr>
    </w:tbl>
    <w:p>
      <w:pPr>
        <w:spacing w:after="0" w:line="94" w:lineRule="exact"/>
        <w:rPr>
          <w:sz w:val="20"/>
          <w:szCs w:val="20"/>
          <w:color w:val="auto"/>
        </w:rPr>
      </w:pPr>
    </w:p>
    <w:p>
      <w:pPr>
        <w:ind w:left="1080" w:right="140"/>
        <w:spacing w:after="0" w:line="270" w:lineRule="auto"/>
        <w:rPr>
          <w:sz w:val="20"/>
          <w:szCs w:val="20"/>
          <w:color w:val="auto"/>
        </w:rPr>
      </w:pPr>
      <w:r>
        <w:rPr>
          <w:rFonts w:ascii="Arial" w:cs="Arial" w:eastAsia="Arial" w:hAnsi="Arial"/>
          <w:sz w:val="17"/>
          <w:szCs w:val="17"/>
          <w:color w:val="auto"/>
        </w:rPr>
        <w:t>The Company’s P&amp;C Earnings are its core operating earnings before income taxes from the Specialty Property and Casualty Insurance operations as reported in the Company’s earnings releases. P&amp;C Earnings excludes certain items that may not be indicative of the Company’s ongoing core operations such as realized gains and losses and special charges resulting from the recurring periodic review of the Company’s asbestos and environmental exposures.</w:t>
      </w:r>
    </w:p>
    <w:p>
      <w:pPr>
        <w:spacing w:after="0" w:line="73" w:lineRule="exact"/>
        <w:rPr>
          <w:sz w:val="20"/>
          <w:szCs w:val="20"/>
          <w:color w:val="auto"/>
        </w:rPr>
      </w:pPr>
    </w:p>
    <w:p>
      <w:pPr>
        <w:ind w:left="1080" w:right="200"/>
        <w:spacing w:after="0" w:line="273" w:lineRule="auto"/>
        <w:rPr>
          <w:sz w:val="20"/>
          <w:szCs w:val="20"/>
          <w:color w:val="auto"/>
        </w:rPr>
      </w:pPr>
      <w:r>
        <w:rPr>
          <w:rFonts w:ascii="Arial" w:cs="Arial" w:eastAsia="Arial" w:hAnsi="Arial"/>
          <w:sz w:val="17"/>
          <w:szCs w:val="17"/>
          <w:color w:val="auto"/>
        </w:rPr>
        <w:t>In approving Specialty P&amp;C Earnings targets, the Compensation Committee noted that the 2019 target represented an increase of 9.6% from the 2018 target and an increase of 1.9% from 2018 record results. Achieving the maximum bonus would require an increase of more than 9% over 2018 record results.</w:t>
      </w:r>
    </w:p>
    <w:p>
      <w:pPr>
        <w:spacing w:after="0" w:line="70" w:lineRule="exact"/>
        <w:rPr>
          <w:sz w:val="20"/>
          <w:szCs w:val="20"/>
          <w:color w:val="auto"/>
        </w:rPr>
      </w:pPr>
    </w:p>
    <w:p>
      <w:pPr>
        <w:ind w:left="1080" w:right="40"/>
        <w:spacing w:after="0" w:line="273" w:lineRule="auto"/>
        <w:rPr>
          <w:sz w:val="20"/>
          <w:szCs w:val="20"/>
          <w:color w:val="auto"/>
        </w:rPr>
      </w:pPr>
      <w:r>
        <w:rPr>
          <w:rFonts w:ascii="Arial" w:cs="Arial" w:eastAsia="Arial" w:hAnsi="Arial"/>
          <w:sz w:val="17"/>
          <w:szCs w:val="17"/>
          <w:color w:val="auto"/>
        </w:rPr>
        <w:t>For 2019, AFG reported Specialty P&amp;C Earnings of $753.2 million, and the Compensation Committee authorized the payment of 99.9% of the target bonus for 2019 under the Specialty P&amp;C Earnings component. Each Co-CEO received $786,716 and each of Mr. Consolino and Mr. Berding received $532,719.</w:t>
      </w:r>
    </w:p>
    <w:p>
      <w:pPr>
        <w:spacing w:after="0" w:line="70" w:lineRule="exact"/>
        <w:rPr>
          <w:sz w:val="20"/>
          <w:szCs w:val="20"/>
          <w:color w:val="auto"/>
        </w:rPr>
      </w:pPr>
    </w:p>
    <w:p>
      <w:pPr>
        <w:ind w:left="1080" w:right="20"/>
        <w:spacing w:after="0" w:line="269" w:lineRule="auto"/>
        <w:rPr>
          <w:sz w:val="20"/>
          <w:szCs w:val="20"/>
          <w:color w:val="auto"/>
        </w:rPr>
      </w:pPr>
      <w:r>
        <w:rPr>
          <w:rFonts w:ascii="Arial" w:cs="Arial" w:eastAsia="Arial" w:hAnsi="Arial"/>
          <w:sz w:val="17"/>
          <w:szCs w:val="17"/>
          <w:color w:val="auto"/>
        </w:rPr>
        <w:t xml:space="preserve">Effective for the second quarter of 2019, the Company changed how it calculates </w:t>
      </w:r>
      <w:r>
        <w:rPr>
          <w:rFonts w:ascii="Arial" w:cs="Arial" w:eastAsia="Arial" w:hAnsi="Arial"/>
          <w:sz w:val="17"/>
          <w:szCs w:val="17"/>
          <w:b w:val="1"/>
          <w:bCs w:val="1"/>
          <w:color w:val="auto"/>
        </w:rPr>
        <w:t>Annuity Earnings</w:t>
      </w:r>
      <w:r>
        <w:rPr>
          <w:rFonts w:ascii="Arial" w:cs="Arial" w:eastAsia="Arial" w:hAnsi="Arial"/>
          <w:sz w:val="17"/>
          <w:szCs w:val="17"/>
          <w:color w:val="auto"/>
        </w:rPr>
        <w:t>. Prior to such time and at the time that the Compensation Committee set 2019 targets, Annuity Earnings were defined as core operating earnings before income taxes from the Annuity segment as reported in the Company’s quarterly earnings releases, which, as with Specialty P&amp;C Earnings, exclude certain items that may not be indicative of its ongoing core operations such as realized gains and losses, adjusted to exclude the impact of fair value accounting for fixed-indexed annuities.</w:t>
      </w:r>
    </w:p>
    <w:p>
      <w:pPr>
        <w:spacing w:after="0" w:line="74" w:lineRule="exact"/>
        <w:rPr>
          <w:sz w:val="20"/>
          <w:szCs w:val="20"/>
          <w:color w:val="auto"/>
        </w:rPr>
      </w:pPr>
    </w:p>
    <w:p>
      <w:pPr>
        <w:ind w:left="1080"/>
        <w:spacing w:after="0" w:line="290" w:lineRule="auto"/>
        <w:rPr>
          <w:sz w:val="20"/>
          <w:szCs w:val="20"/>
          <w:color w:val="auto"/>
        </w:rPr>
      </w:pPr>
      <w:r>
        <w:rPr>
          <w:rFonts w:ascii="Arial" w:cs="Arial" w:eastAsia="Arial" w:hAnsi="Arial"/>
          <w:sz w:val="16"/>
          <w:szCs w:val="16"/>
          <w:color w:val="auto"/>
        </w:rPr>
        <w:t>The Company modified its Annuity Earnings calculation of core operating earnings before income taxes and certain items to exclude the impact of items that are not necessarily indicative of operating trends such as the impact of fair value accounting for fixed-indexed annuities, unlockings, and other items related to changes in the stock market and interest rates. The Company made these changes because it believes that the modified calculation will provide investors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with a better view of the fundamental performance of the Annuity Segment’s business and a more comparable measure of the Annuity segment’s business compared to its peers.</w:t>
      </w:r>
    </w:p>
    <w:p>
      <w:pPr>
        <w:spacing w:after="0" w:line="7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Senior Executive Annual Bonus Plan provided that if the Company changed its manner of calculating Annuity Earnings, the targets would be adjusted appropriately by the Compensation Committee to provide for identical bonus payments based on identical (as adjusted to give effect to the modified measure) Annuity Earnings. As a result, the range of Annuity Earnings and the actual Annuity Earnings set forth below do not correlate to the Company’s reported Annuity Earnings for 2019.</w:t>
      </w:r>
    </w:p>
    <w:p>
      <w:pPr>
        <w:spacing w:after="0" w:line="73"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Company management discussed the change with the Compensation Committee and informed the Compensation Committee that, for 2019, the Company would also calculate Annuity Earnings without giving effect to the 2019 changes. After consideration, the Compensation Committee determined that utilizing the targets and results as contemplated when 2019 targets were finalized would produce the most accurate bonus calculation for the Annuity Earnings component.</w:t>
      </w:r>
    </w:p>
    <w:p>
      <w:pPr>
        <w:spacing w:after="0" w:line="7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Bonus amounts that may be awarded under the Annuity Earnings component for 2019 were: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306"/>
        </w:trPr>
        <w:tc>
          <w:tcPr>
            <w:tcW w:w="1920" w:type="dxa"/>
            <w:vAlign w:val="bottom"/>
            <w:shd w:val="clear" w:color="auto" w:fill="BFBFBF"/>
          </w:tcPr>
          <w:p>
            <w:pPr>
              <w:spacing w:after="0"/>
              <w:rPr>
                <w:sz w:val="24"/>
                <w:szCs w:val="24"/>
                <w:color w:val="auto"/>
              </w:rPr>
            </w:pPr>
          </w:p>
        </w:tc>
        <w:tc>
          <w:tcPr>
            <w:tcW w:w="2400" w:type="dxa"/>
            <w:vAlign w:val="bottom"/>
            <w:shd w:val="clear" w:color="auto" w:fill="BFBFBF"/>
          </w:tcPr>
          <w:p>
            <w:pPr>
              <w:jc w:val="center"/>
              <w:ind w:right="10"/>
              <w:spacing w:after="0"/>
              <w:rPr>
                <w:sz w:val="20"/>
                <w:szCs w:val="20"/>
                <w:color w:val="auto"/>
              </w:rPr>
            </w:pPr>
            <w:r>
              <w:rPr>
                <w:rFonts w:ascii="Arial" w:cs="Arial" w:eastAsia="Arial" w:hAnsi="Arial"/>
                <w:sz w:val="18"/>
                <w:szCs w:val="18"/>
                <w:b w:val="1"/>
                <w:bCs w:val="1"/>
                <w:color w:val="auto"/>
                <w:w w:val="87"/>
              </w:rPr>
              <w:t>Percentage of Bonus</w:t>
            </w:r>
          </w:p>
        </w:tc>
      </w:tr>
      <w:tr>
        <w:trPr>
          <w:trHeight w:val="216"/>
        </w:trPr>
        <w:tc>
          <w:tcPr>
            <w:tcW w:w="1920" w:type="dxa"/>
            <w:vAlign w:val="bottom"/>
            <w:shd w:val="clear" w:color="auto" w:fill="BFBFBF"/>
          </w:tcPr>
          <w:p>
            <w:pPr>
              <w:spacing w:after="0"/>
              <w:rPr>
                <w:sz w:val="18"/>
                <w:szCs w:val="18"/>
                <w:color w:val="auto"/>
              </w:rPr>
            </w:pPr>
          </w:p>
        </w:tc>
        <w:tc>
          <w:tcPr>
            <w:tcW w:w="2400" w:type="dxa"/>
            <w:vAlign w:val="bottom"/>
            <w:shd w:val="clear" w:color="auto" w:fill="BFBFBF"/>
          </w:tcPr>
          <w:p>
            <w:pPr>
              <w:jc w:val="center"/>
              <w:ind w:right="10"/>
              <w:spacing w:after="0"/>
              <w:rPr>
                <w:sz w:val="20"/>
                <w:szCs w:val="20"/>
                <w:color w:val="auto"/>
              </w:rPr>
            </w:pPr>
            <w:r>
              <w:rPr>
                <w:rFonts w:ascii="Arial" w:cs="Arial" w:eastAsia="Arial" w:hAnsi="Arial"/>
                <w:sz w:val="18"/>
                <w:szCs w:val="18"/>
                <w:b w:val="1"/>
                <w:bCs w:val="1"/>
                <w:color w:val="auto"/>
                <w:w w:val="90"/>
              </w:rPr>
              <w:t>Target</w:t>
            </w:r>
          </w:p>
        </w:tc>
      </w:tr>
      <w:tr>
        <w:trPr>
          <w:trHeight w:val="216"/>
        </w:trPr>
        <w:tc>
          <w:tcPr>
            <w:tcW w:w="1920" w:type="dxa"/>
            <w:vAlign w:val="bottom"/>
            <w:shd w:val="clear" w:color="auto" w:fill="BFBFBF"/>
          </w:tcPr>
          <w:p>
            <w:pPr>
              <w:spacing w:after="0"/>
              <w:rPr>
                <w:sz w:val="18"/>
                <w:szCs w:val="18"/>
                <w:color w:val="auto"/>
              </w:rPr>
            </w:pPr>
          </w:p>
        </w:tc>
        <w:tc>
          <w:tcPr>
            <w:tcW w:w="2400" w:type="dxa"/>
            <w:vAlign w:val="bottom"/>
            <w:shd w:val="clear" w:color="auto" w:fill="BFBFBF"/>
          </w:tcPr>
          <w:p>
            <w:pPr>
              <w:jc w:val="center"/>
              <w:ind w:right="10"/>
              <w:spacing w:after="0"/>
              <w:rPr>
                <w:sz w:val="20"/>
                <w:szCs w:val="20"/>
                <w:color w:val="auto"/>
              </w:rPr>
            </w:pPr>
            <w:r>
              <w:rPr>
                <w:rFonts w:ascii="Arial" w:cs="Arial" w:eastAsia="Arial" w:hAnsi="Arial"/>
                <w:sz w:val="18"/>
                <w:szCs w:val="18"/>
                <w:b w:val="1"/>
                <w:bCs w:val="1"/>
                <w:color w:val="auto"/>
                <w:w w:val="89"/>
              </w:rPr>
              <w:t>to be paid for</w:t>
            </w:r>
          </w:p>
        </w:tc>
      </w:tr>
      <w:tr>
        <w:trPr>
          <w:trHeight w:val="216"/>
        </w:trPr>
        <w:tc>
          <w:tcPr>
            <w:tcW w:w="1920" w:type="dxa"/>
            <w:vAlign w:val="bottom"/>
            <w:shd w:val="clear" w:color="auto" w:fill="BFBFBF"/>
          </w:tcPr>
          <w:p>
            <w:pPr>
              <w:jc w:val="center"/>
              <w:ind w:right="70"/>
              <w:spacing w:after="0"/>
              <w:rPr>
                <w:sz w:val="20"/>
                <w:szCs w:val="20"/>
                <w:color w:val="auto"/>
              </w:rPr>
            </w:pPr>
            <w:r>
              <w:rPr>
                <w:rFonts w:ascii="Arial" w:cs="Arial" w:eastAsia="Arial" w:hAnsi="Arial"/>
                <w:sz w:val="18"/>
                <w:szCs w:val="18"/>
                <w:b w:val="1"/>
                <w:bCs w:val="1"/>
                <w:color w:val="auto"/>
                <w:w w:val="91"/>
              </w:rPr>
              <w:t>Annuity Earnings</w:t>
            </w:r>
          </w:p>
        </w:tc>
        <w:tc>
          <w:tcPr>
            <w:tcW w:w="2400" w:type="dxa"/>
            <w:vAlign w:val="bottom"/>
            <w:shd w:val="clear" w:color="auto" w:fill="BFBFBF"/>
          </w:tcPr>
          <w:p>
            <w:pPr>
              <w:jc w:val="center"/>
              <w:ind w:right="10"/>
              <w:spacing w:after="0"/>
              <w:rPr>
                <w:sz w:val="20"/>
                <w:szCs w:val="20"/>
                <w:color w:val="auto"/>
              </w:rPr>
            </w:pPr>
            <w:r>
              <w:rPr>
                <w:rFonts w:ascii="Arial" w:cs="Arial" w:eastAsia="Arial" w:hAnsi="Arial"/>
                <w:sz w:val="18"/>
                <w:szCs w:val="18"/>
                <w:b w:val="1"/>
                <w:bCs w:val="1"/>
                <w:color w:val="auto"/>
                <w:w w:val="92"/>
              </w:rPr>
              <w:t>Annuity Earnings</w:t>
            </w:r>
          </w:p>
        </w:tc>
      </w:tr>
      <w:tr>
        <w:trPr>
          <w:trHeight w:val="268"/>
        </w:trPr>
        <w:tc>
          <w:tcPr>
            <w:tcW w:w="1920" w:type="dxa"/>
            <w:vAlign w:val="bottom"/>
            <w:tcBorders>
              <w:bottom w:val="single" w:sz="8" w:color="BFBFBF"/>
            </w:tcBorders>
            <w:shd w:val="clear" w:color="auto" w:fill="BFBFBF"/>
          </w:tcPr>
          <w:p>
            <w:pPr>
              <w:jc w:val="center"/>
              <w:ind w:right="30"/>
              <w:spacing w:after="0"/>
              <w:rPr>
                <w:sz w:val="20"/>
                <w:szCs w:val="20"/>
                <w:color w:val="auto"/>
              </w:rPr>
            </w:pPr>
            <w:r>
              <w:rPr>
                <w:rFonts w:ascii="Arial" w:cs="Arial" w:eastAsia="Arial" w:hAnsi="Arial"/>
                <w:sz w:val="18"/>
                <w:szCs w:val="18"/>
                <w:b w:val="1"/>
                <w:bCs w:val="1"/>
                <w:color w:val="auto"/>
                <w:w w:val="91"/>
              </w:rPr>
              <w:t>(in millions)</w:t>
            </w:r>
          </w:p>
        </w:tc>
        <w:tc>
          <w:tcPr>
            <w:tcW w:w="2400" w:type="dxa"/>
            <w:vAlign w:val="bottom"/>
            <w:tcBorders>
              <w:bottom w:val="single" w:sz="8" w:color="BFBFBF"/>
            </w:tcBorders>
            <w:shd w:val="clear" w:color="auto" w:fill="BFBFBF"/>
          </w:tcPr>
          <w:p>
            <w:pPr>
              <w:jc w:val="center"/>
              <w:spacing w:after="0"/>
              <w:rPr>
                <w:sz w:val="20"/>
                <w:szCs w:val="20"/>
                <w:color w:val="auto"/>
              </w:rPr>
            </w:pPr>
            <w:r>
              <w:rPr>
                <w:rFonts w:ascii="Arial" w:cs="Arial" w:eastAsia="Arial" w:hAnsi="Arial"/>
                <w:sz w:val="18"/>
                <w:szCs w:val="18"/>
                <w:b w:val="1"/>
                <w:bCs w:val="1"/>
                <w:color w:val="auto"/>
                <w:w w:val="89"/>
              </w:rPr>
              <w:t>Component</w:t>
            </w:r>
          </w:p>
        </w:tc>
      </w:tr>
      <w:tr>
        <w:trPr>
          <w:trHeight w:val="270"/>
        </w:trPr>
        <w:tc>
          <w:tcPr>
            <w:tcW w:w="1920" w:type="dxa"/>
            <w:vAlign w:val="bottom"/>
          </w:tcPr>
          <w:p>
            <w:pPr>
              <w:jc w:val="center"/>
              <w:ind w:right="10"/>
              <w:spacing w:after="0"/>
              <w:rPr>
                <w:sz w:val="20"/>
                <w:szCs w:val="20"/>
                <w:color w:val="auto"/>
              </w:rPr>
            </w:pPr>
            <w:r>
              <w:rPr>
                <w:rFonts w:ascii="Arial" w:cs="Arial" w:eastAsia="Arial" w:hAnsi="Arial"/>
                <w:sz w:val="18"/>
                <w:szCs w:val="18"/>
                <w:color w:val="auto"/>
                <w:w w:val="88"/>
              </w:rPr>
              <w:t>Less than $415.8</w:t>
            </w:r>
          </w:p>
        </w:tc>
        <w:tc>
          <w:tcPr>
            <w:tcW w:w="2400" w:type="dxa"/>
            <w:vAlign w:val="bottom"/>
          </w:tcPr>
          <w:p>
            <w:pPr>
              <w:jc w:val="center"/>
              <w:spacing w:after="0"/>
              <w:rPr>
                <w:sz w:val="20"/>
                <w:szCs w:val="20"/>
                <w:color w:val="auto"/>
              </w:rPr>
            </w:pPr>
            <w:r>
              <w:rPr>
                <w:rFonts w:ascii="Arial" w:cs="Arial" w:eastAsia="Arial" w:hAnsi="Arial"/>
                <w:sz w:val="18"/>
                <w:szCs w:val="18"/>
                <w:color w:val="auto"/>
                <w:w w:val="99"/>
              </w:rPr>
              <w:t>0</w:t>
            </w:r>
          </w:p>
        </w:tc>
      </w:tr>
      <w:tr>
        <w:trPr>
          <w:trHeight w:val="324"/>
        </w:trPr>
        <w:tc>
          <w:tcPr>
            <w:tcW w:w="1920" w:type="dxa"/>
            <w:vAlign w:val="bottom"/>
          </w:tcPr>
          <w:p>
            <w:pPr>
              <w:jc w:val="center"/>
              <w:ind w:right="10"/>
              <w:spacing w:after="0"/>
              <w:rPr>
                <w:sz w:val="20"/>
                <w:szCs w:val="20"/>
                <w:color w:val="auto"/>
              </w:rPr>
            </w:pPr>
            <w:r>
              <w:rPr>
                <w:rFonts w:ascii="Arial" w:cs="Arial" w:eastAsia="Arial" w:hAnsi="Arial"/>
                <w:sz w:val="18"/>
                <w:szCs w:val="18"/>
                <w:color w:val="auto"/>
                <w:w w:val="90"/>
              </w:rPr>
              <w:t>$415.8</w:t>
            </w:r>
          </w:p>
        </w:tc>
        <w:tc>
          <w:tcPr>
            <w:tcW w:w="2400" w:type="dxa"/>
            <w:vAlign w:val="bottom"/>
          </w:tcPr>
          <w:p>
            <w:pPr>
              <w:jc w:val="center"/>
              <w:spacing w:after="0"/>
              <w:rPr>
                <w:sz w:val="20"/>
                <w:szCs w:val="20"/>
                <w:color w:val="auto"/>
              </w:rPr>
            </w:pPr>
            <w:r>
              <w:rPr>
                <w:rFonts w:ascii="Arial" w:cs="Arial" w:eastAsia="Arial" w:hAnsi="Arial"/>
                <w:sz w:val="18"/>
                <w:szCs w:val="18"/>
                <w:color w:val="auto"/>
                <w:w w:val="94"/>
              </w:rPr>
              <w:t>85%</w:t>
            </w:r>
          </w:p>
        </w:tc>
      </w:tr>
      <w:tr>
        <w:trPr>
          <w:trHeight w:val="324"/>
        </w:trPr>
        <w:tc>
          <w:tcPr>
            <w:tcW w:w="1920" w:type="dxa"/>
            <w:vAlign w:val="bottom"/>
          </w:tcPr>
          <w:p>
            <w:pPr>
              <w:jc w:val="center"/>
              <w:ind w:right="10"/>
              <w:spacing w:after="0"/>
              <w:rPr>
                <w:sz w:val="20"/>
                <w:szCs w:val="20"/>
                <w:color w:val="auto"/>
              </w:rPr>
            </w:pPr>
            <w:r>
              <w:rPr>
                <w:rFonts w:ascii="Arial" w:cs="Arial" w:eastAsia="Arial" w:hAnsi="Arial"/>
                <w:sz w:val="18"/>
                <w:szCs w:val="18"/>
                <w:color w:val="auto"/>
                <w:w w:val="90"/>
              </w:rPr>
              <w:t>$452.0</w:t>
            </w:r>
          </w:p>
        </w:tc>
        <w:tc>
          <w:tcPr>
            <w:tcW w:w="2400" w:type="dxa"/>
            <w:vAlign w:val="bottom"/>
          </w:tcPr>
          <w:p>
            <w:pPr>
              <w:jc w:val="center"/>
              <w:spacing w:after="0"/>
              <w:rPr>
                <w:sz w:val="20"/>
                <w:szCs w:val="20"/>
                <w:color w:val="auto"/>
              </w:rPr>
            </w:pPr>
            <w:r>
              <w:rPr>
                <w:rFonts w:ascii="Arial" w:cs="Arial" w:eastAsia="Arial" w:hAnsi="Arial"/>
                <w:sz w:val="18"/>
                <w:szCs w:val="18"/>
                <w:color w:val="auto"/>
                <w:w w:val="89"/>
              </w:rPr>
              <w:t>Target of 100%</w:t>
            </w:r>
          </w:p>
        </w:tc>
      </w:tr>
      <w:tr>
        <w:trPr>
          <w:trHeight w:val="324"/>
        </w:trPr>
        <w:tc>
          <w:tcPr>
            <w:tcW w:w="1920" w:type="dxa"/>
            <w:vAlign w:val="bottom"/>
          </w:tcPr>
          <w:p>
            <w:pPr>
              <w:jc w:val="center"/>
              <w:ind w:right="10"/>
              <w:spacing w:after="0"/>
              <w:rPr>
                <w:sz w:val="20"/>
                <w:szCs w:val="20"/>
                <w:color w:val="auto"/>
              </w:rPr>
            </w:pPr>
            <w:r>
              <w:rPr>
                <w:rFonts w:ascii="Arial" w:cs="Arial" w:eastAsia="Arial" w:hAnsi="Arial"/>
                <w:sz w:val="18"/>
                <w:szCs w:val="18"/>
                <w:color w:val="auto"/>
                <w:w w:val="90"/>
              </w:rPr>
              <w:t>$488.1 or more</w:t>
            </w:r>
          </w:p>
        </w:tc>
        <w:tc>
          <w:tcPr>
            <w:tcW w:w="2400" w:type="dxa"/>
            <w:vAlign w:val="bottom"/>
          </w:tcPr>
          <w:p>
            <w:pPr>
              <w:jc w:val="center"/>
              <w:spacing w:after="0"/>
              <w:rPr>
                <w:sz w:val="20"/>
                <w:szCs w:val="20"/>
                <w:color w:val="auto"/>
              </w:rPr>
            </w:pPr>
            <w:r>
              <w:rPr>
                <w:rFonts w:ascii="Arial" w:cs="Arial" w:eastAsia="Arial" w:hAnsi="Arial"/>
                <w:sz w:val="18"/>
                <w:szCs w:val="18"/>
                <w:color w:val="auto"/>
                <w:w w:val="91"/>
              </w:rPr>
              <w:t>115%</w:t>
            </w:r>
          </w:p>
        </w:tc>
      </w:tr>
    </w:tbl>
    <w:p>
      <w:pPr>
        <w:spacing w:after="0" w:line="94"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 setting the 2019 performance targets, the Compensation Committee considered the Company’s ability to timely decrease crediting rates as interest rates decline and noted the effect of rate decreases on annuity sales. Notwithstanding competitive pressures, target Annuity Earnings were 14.9% higher than actual 2018 Annuity Earnings, and the target represented an 8.9% increase over the 2018 target. To be entitled to the maximum bonus, 2019 Annuity Earnings would have to exceed 2018 actual results by over 24%.</w:t>
      </w:r>
    </w:p>
    <w:p>
      <w:pPr>
        <w:spacing w:after="0" w:line="7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Consequently, the bonus payments for this component were based on Annuity Earnings of $501.6 million which were calculated under the method approved by the Compensation Committee. For 2019, results, the Compensation Committee authorized the payment of the maximum bonus amounts: $603,750 to each Co-CEO and $408,825 to each of Mr. Consolino and Mr. Berding.</w:t>
      </w:r>
    </w:p>
    <w:p>
      <w:pPr>
        <w:spacing w:after="0" w:line="69" w:lineRule="exact"/>
        <w:rPr>
          <w:sz w:val="20"/>
          <w:szCs w:val="20"/>
          <w:color w:val="auto"/>
        </w:rPr>
      </w:pPr>
    </w:p>
    <w:p>
      <w:pPr>
        <w:jc w:val="both"/>
        <w:ind w:right="340"/>
        <w:spacing w:after="0" w:line="263" w:lineRule="auto"/>
        <w:rPr>
          <w:sz w:val="20"/>
          <w:szCs w:val="20"/>
          <w:color w:val="auto"/>
        </w:rPr>
      </w:pPr>
      <w:r>
        <w:rPr>
          <w:rFonts w:ascii="Arial" w:cs="Arial" w:eastAsia="Arial" w:hAnsi="Arial"/>
          <w:sz w:val="18"/>
          <w:szCs w:val="18"/>
          <w:color w:val="auto"/>
        </w:rPr>
        <w:t>For Ms. Gillis and Mr. Peraino, 50% of the annual cash target bonus under the Senior Executive Annual Bonus Plan</w:t>
      </w:r>
    </w:p>
    <w:p>
      <w:pPr>
        <w:spacing w:after="0" w:line="200" w:lineRule="exact"/>
        <w:rPr>
          <w:sz w:val="20"/>
          <w:szCs w:val="20"/>
          <w:color w:val="auto"/>
        </w:rPr>
      </w:pPr>
    </w:p>
    <w:p>
      <w:pPr>
        <w:sectPr>
          <w:pgSz w:w="11900" w:h="16838" w:orient="portrait"/>
          <w:cols w:equalWidth="0" w:num="2">
            <w:col w:w="5400" w:space="440"/>
            <w:col w:w="4320"/>
          </w:cols>
          <w:pgMar w:left="320" w:top="265" w:right="1419" w:bottom="1110" w:gutter="0" w:footer="0" w:header="0"/>
          <w:type w:val="continuous"/>
        </w:sectPr>
      </w:pPr>
    </w:p>
    <w:p>
      <w:pPr>
        <w:spacing w:after="0" w:line="96" w:lineRule="exact"/>
        <w:rPr>
          <w:sz w:val="20"/>
          <w:szCs w:val="20"/>
          <w:color w:val="auto"/>
        </w:rPr>
      </w:pPr>
    </w:p>
    <w:p>
      <w:pPr>
        <w:ind w:left="1160"/>
        <w:spacing w:after="0"/>
        <w:tabs>
          <w:tab w:leader="none" w:pos="9960" w:val="left"/>
        </w:tabs>
        <w:rPr>
          <w:sz w:val="20"/>
          <w:szCs w:val="20"/>
          <w:color w:val="auto"/>
        </w:rPr>
      </w:pPr>
      <w:r>
        <w:rPr>
          <w:rFonts w:ascii="Arial" w:cs="Arial" w:eastAsia="Arial" w:hAnsi="Arial"/>
          <w:sz w:val="16"/>
          <w:szCs w:val="16"/>
          <w:color w:val="auto"/>
        </w:rPr>
        <w:t>2020 Proxy Statement | Compensation Discussion and Analysis</w:t>
      </w:r>
      <w:r>
        <w:rPr>
          <w:sz w:val="20"/>
          <w:szCs w:val="20"/>
          <w:color w:val="auto"/>
        </w:rPr>
        <w:tab/>
      </w: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137795</wp:posOffset>
            </wp:positionV>
            <wp:extent cx="699516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160"/>
          </w:cols>
          <w:pgMar w:left="320" w:top="265" w:right="1419" w:bottom="1110" w:gutter="0" w:footer="0" w:header="0"/>
          <w:type w:val="continuous"/>
        </w:sectPr>
      </w:pPr>
    </w:p>
    <w:bookmarkStart w:id="38" w:name="page39"/>
    <w:bookmarkEnd w:id="38"/>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6515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651510"/>
                    </a:xfrm>
                    <a:prstGeom prst="rect">
                      <a:avLst/>
                    </a:prstGeom>
                    <a:noFill/>
                  </pic:spPr>
                </pic:pic>
              </a:graphicData>
            </a:graphic>
          </wp:anchor>
        </w:drawing>
      </w:r>
    </w:p>
    <w:p>
      <w:pPr>
        <w:sectPr>
          <w:pgSz w:w="11900" w:h="16838" w:orient="portrait"/>
          <w:cols w:equalWidth="0" w:num="1">
            <w:col w:w="10160"/>
          </w:cols>
          <w:pgMar w:left="320" w:top="265"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080" w:right="160"/>
        <w:spacing w:after="0" w:line="261" w:lineRule="auto"/>
        <w:rPr>
          <w:sz w:val="20"/>
          <w:szCs w:val="20"/>
          <w:color w:val="auto"/>
        </w:rPr>
      </w:pPr>
      <w:r>
        <w:rPr>
          <w:rFonts w:ascii="Arial" w:cs="Arial" w:eastAsia="Arial" w:hAnsi="Arial"/>
          <w:sz w:val="18"/>
          <w:szCs w:val="18"/>
          <w:color w:val="auto"/>
        </w:rPr>
        <w:t xml:space="preserve">was determined under the </w:t>
      </w:r>
      <w:r>
        <w:rPr>
          <w:rFonts w:ascii="Arial" w:cs="Arial" w:eastAsia="Arial" w:hAnsi="Arial"/>
          <w:sz w:val="18"/>
          <w:szCs w:val="18"/>
          <w:b w:val="1"/>
          <w:bCs w:val="1"/>
          <w:color w:val="auto"/>
        </w:rPr>
        <w:t>Discretionary component</w:t>
      </w:r>
      <w:r>
        <w:rPr>
          <w:rFonts w:ascii="Arial" w:cs="Arial" w:eastAsia="Arial" w:hAnsi="Arial"/>
          <w:sz w:val="18"/>
          <w:szCs w:val="18"/>
          <w:color w:val="auto"/>
        </w:rPr>
        <w:t xml:space="preserve"> by the Co-CEOs based on the Co-CEOs’ subjective rating of the named executive officers relative to overall performance for 2019.</w:t>
      </w:r>
    </w:p>
    <w:p>
      <w:pPr>
        <w:spacing w:after="0" w:line="76" w:lineRule="exact"/>
        <w:rPr>
          <w:sz w:val="20"/>
          <w:szCs w:val="20"/>
          <w:color w:val="auto"/>
        </w:rPr>
      </w:pPr>
    </w:p>
    <w:p>
      <w:pPr>
        <w:ind w:left="1080"/>
        <w:spacing w:after="0" w:line="284" w:lineRule="auto"/>
        <w:rPr>
          <w:sz w:val="20"/>
          <w:szCs w:val="20"/>
          <w:color w:val="auto"/>
        </w:rPr>
      </w:pPr>
      <w:r>
        <w:rPr>
          <w:rFonts w:ascii="Arial" w:cs="Arial" w:eastAsia="Arial" w:hAnsi="Arial"/>
          <w:sz w:val="16"/>
          <w:szCs w:val="16"/>
          <w:color w:val="auto"/>
        </w:rPr>
        <w:t>The determination for Ms. Gillis and Mr. Peraino includes a consideration of all factors deemed relevant, including, but not limited to: operational, qualitative measurements relating to the development and implementation of strategic initiatives and annual objectives; responses to unexpected developments; the development of management personnel; the impact of any extraordinary transactions involving or affecting the Company and its subsidiaries; and, for</w:t>
      </w:r>
    </w:p>
    <w:p>
      <w:pPr>
        <w:spacing w:after="0" w:line="1" w:lineRule="exact"/>
        <w:rPr>
          <w:sz w:val="20"/>
          <w:szCs w:val="20"/>
          <w:color w:val="auto"/>
        </w:rPr>
      </w:pPr>
    </w:p>
    <w:p>
      <w:pPr>
        <w:ind w:left="1080" w:right="100"/>
        <w:spacing w:after="0" w:line="253" w:lineRule="auto"/>
        <w:rPr>
          <w:sz w:val="20"/>
          <w:szCs w:val="20"/>
          <w:color w:val="auto"/>
        </w:rPr>
      </w:pPr>
      <w:r>
        <w:rPr>
          <w:rFonts w:ascii="Arial" w:cs="Arial" w:eastAsia="Arial" w:hAnsi="Arial"/>
          <w:sz w:val="18"/>
          <w:szCs w:val="18"/>
          <w:color w:val="auto"/>
        </w:rPr>
        <w:t>Ms. Gillis, the recommendation of Mr. Consolino. After considering these factors, the Co-CEOs awarded $171,875 (125% of target) to Ms. Gillis; and $387,500 (125% of target) to Mr. Peraino.</w:t>
      </w:r>
    </w:p>
    <w:p>
      <w:pPr>
        <w:spacing w:after="0" w:line="193" w:lineRule="exact"/>
        <w:rPr>
          <w:sz w:val="20"/>
          <w:szCs w:val="20"/>
          <w:color w:val="auto"/>
        </w:rPr>
      </w:pPr>
    </w:p>
    <w:p>
      <w:pPr>
        <w:ind w:left="1080" w:right="160"/>
        <w:spacing w:after="0" w:line="277" w:lineRule="auto"/>
        <w:rPr>
          <w:sz w:val="20"/>
          <w:szCs w:val="20"/>
          <w:color w:val="auto"/>
        </w:rPr>
      </w:pPr>
      <w:r>
        <w:rPr>
          <w:rFonts w:ascii="Arial" w:cs="Arial" w:eastAsia="Arial" w:hAnsi="Arial"/>
          <w:sz w:val="18"/>
          <w:szCs w:val="18"/>
          <w:b w:val="1"/>
          <w:bCs w:val="1"/>
          <w:i w:val="1"/>
          <w:iCs w:val="1"/>
          <w:color w:val="auto"/>
        </w:rPr>
        <w:t>Senior Executive Annual Bonus Plan-2019 Total Bonus Payments</w:t>
      </w:r>
    </w:p>
    <w:p>
      <w:pPr>
        <w:spacing w:after="0" w:line="62" w:lineRule="exact"/>
        <w:rPr>
          <w:sz w:val="20"/>
          <w:szCs w:val="20"/>
          <w:color w:val="auto"/>
        </w:rPr>
      </w:pPr>
    </w:p>
    <w:p>
      <w:pPr>
        <w:ind w:left="1080"/>
        <w:spacing w:after="0" w:line="259" w:lineRule="auto"/>
        <w:rPr>
          <w:sz w:val="20"/>
          <w:szCs w:val="20"/>
          <w:color w:val="auto"/>
        </w:rPr>
      </w:pPr>
      <w:r>
        <w:rPr>
          <w:rFonts w:ascii="Arial" w:cs="Arial" w:eastAsia="Arial" w:hAnsi="Arial"/>
          <w:sz w:val="18"/>
          <w:szCs w:val="18"/>
          <w:color w:val="auto"/>
        </w:rPr>
        <w:t>The total bonus, also expressed as a percentage of the target and maximum bonus, paid to each named executive officer for 2019 under the Senior Executive Annual Bonus Plan was:</w:t>
      </w:r>
    </w:p>
    <w:p>
      <w:pPr>
        <w:spacing w:after="0" w:line="167" w:lineRule="exact"/>
        <w:rPr>
          <w:sz w:val="20"/>
          <w:szCs w:val="20"/>
          <w:color w:val="auto"/>
        </w:rPr>
      </w:pPr>
    </w:p>
    <w:tbl>
      <w:tblPr>
        <w:tblLayout w:type="fixed"/>
        <w:tblInd w:w="1090" w:type="dxa"/>
        <w:tblCellMar>
          <w:top w:w="0" w:type="dxa"/>
          <w:left w:w="0" w:type="dxa"/>
          <w:bottom w:w="0" w:type="dxa"/>
          <w:right w:w="0" w:type="dxa"/>
        </w:tblCellMar>
      </w:tblPr>
      <w:tr>
        <w:trPr>
          <w:trHeight w:val="203"/>
        </w:trPr>
        <w:tc>
          <w:tcPr>
            <w:tcW w:w="2020" w:type="dxa"/>
            <w:vAlign w:val="bottom"/>
            <w:tcBorders>
              <w:top w:val="single" w:sz="8" w:color="auto"/>
              <w:left w:val="single" w:sz="8" w:color="auto"/>
              <w:right w:val="single" w:sz="8" w:color="auto"/>
            </w:tcBorders>
            <w:shd w:val="clear" w:color="auto" w:fill="BFBFBF"/>
          </w:tcPr>
          <w:p>
            <w:pPr>
              <w:spacing w:after="0"/>
              <w:rPr>
                <w:sz w:val="17"/>
                <w:szCs w:val="17"/>
                <w:color w:val="auto"/>
              </w:rPr>
            </w:pPr>
          </w:p>
        </w:tc>
        <w:tc>
          <w:tcPr>
            <w:tcW w:w="920" w:type="dxa"/>
            <w:vAlign w:val="bottom"/>
            <w:tcBorders>
              <w:top w:val="single" w:sz="8" w:color="auto"/>
              <w:right w:val="single" w:sz="8" w:color="auto"/>
            </w:tcBorders>
            <w:shd w:val="clear" w:color="auto" w:fill="BFBFBF"/>
          </w:tcPr>
          <w:p>
            <w:pPr>
              <w:spacing w:after="0"/>
              <w:rPr>
                <w:sz w:val="17"/>
                <w:szCs w:val="17"/>
                <w:color w:val="auto"/>
              </w:rPr>
            </w:pPr>
          </w:p>
        </w:tc>
        <w:tc>
          <w:tcPr>
            <w:tcW w:w="1400" w:type="dxa"/>
            <w:vAlign w:val="bottom"/>
            <w:tcBorders>
              <w:top w:val="single" w:sz="8" w:color="auto"/>
              <w:right w:val="single" w:sz="8" w:color="auto"/>
            </w:tcBorders>
            <w:gridSpan w:val="2"/>
            <w:shd w:val="clear" w:color="auto" w:fill="BFBFBF"/>
          </w:tcPr>
          <w:p>
            <w:pPr>
              <w:jc w:val="center"/>
              <w:spacing w:after="0"/>
              <w:rPr>
                <w:sz w:val="20"/>
                <w:szCs w:val="20"/>
                <w:color w:val="auto"/>
              </w:rPr>
            </w:pPr>
            <w:r>
              <w:rPr>
                <w:rFonts w:ascii="Arial" w:cs="Arial" w:eastAsia="Arial" w:hAnsi="Arial"/>
                <w:sz w:val="13"/>
                <w:szCs w:val="13"/>
                <w:b w:val="1"/>
                <w:bCs w:val="1"/>
                <w:color w:val="auto"/>
                <w:w w:val="90"/>
              </w:rPr>
              <w:t>Total Bonus as a</w:t>
            </w:r>
          </w:p>
        </w:tc>
      </w:tr>
      <w:tr>
        <w:trPr>
          <w:trHeight w:val="255"/>
        </w:trPr>
        <w:tc>
          <w:tcPr>
            <w:tcW w:w="2020" w:type="dxa"/>
            <w:vAlign w:val="bottom"/>
            <w:tcBorders>
              <w:left w:val="single" w:sz="8" w:color="auto"/>
              <w:bottom w:val="single" w:sz="8" w:color="BFBFBF"/>
              <w:right w:val="single" w:sz="8" w:color="auto"/>
            </w:tcBorders>
            <w:shd w:val="clear" w:color="auto" w:fill="BFBFBF"/>
          </w:tcPr>
          <w:p>
            <w:pPr>
              <w:spacing w:after="0"/>
              <w:rPr>
                <w:sz w:val="21"/>
                <w:szCs w:val="21"/>
                <w:color w:val="auto"/>
              </w:rPr>
            </w:pPr>
          </w:p>
        </w:tc>
        <w:tc>
          <w:tcPr>
            <w:tcW w:w="920" w:type="dxa"/>
            <w:vAlign w:val="bottom"/>
            <w:tcBorders>
              <w:bottom w:val="single" w:sz="8" w:color="BFBFBF"/>
              <w:right w:val="single" w:sz="8" w:color="auto"/>
            </w:tcBorders>
            <w:shd w:val="clear" w:color="auto" w:fill="BFBFBF"/>
          </w:tcPr>
          <w:p>
            <w:pPr>
              <w:jc w:val="center"/>
              <w:spacing w:after="0"/>
              <w:rPr>
                <w:sz w:val="20"/>
                <w:szCs w:val="20"/>
                <w:color w:val="auto"/>
              </w:rPr>
            </w:pPr>
            <w:r>
              <w:rPr>
                <w:rFonts w:ascii="Arial" w:cs="Arial" w:eastAsia="Arial" w:hAnsi="Arial"/>
                <w:sz w:val="13"/>
                <w:szCs w:val="13"/>
                <w:b w:val="1"/>
                <w:bCs w:val="1"/>
                <w:color w:val="auto"/>
                <w:w w:val="94"/>
              </w:rPr>
              <w:t>Total 2019</w:t>
            </w:r>
          </w:p>
        </w:tc>
        <w:tc>
          <w:tcPr>
            <w:tcW w:w="1400" w:type="dxa"/>
            <w:vAlign w:val="bottom"/>
            <w:tcBorders>
              <w:bottom w:val="single" w:sz="8" w:color="BFBFBF"/>
              <w:right w:val="single" w:sz="8" w:color="auto"/>
            </w:tcBorders>
            <w:gridSpan w:val="2"/>
            <w:shd w:val="clear" w:color="auto" w:fill="BFBFBF"/>
          </w:tcPr>
          <w:p>
            <w:pPr>
              <w:jc w:val="center"/>
              <w:spacing w:after="0"/>
              <w:rPr>
                <w:sz w:val="20"/>
                <w:szCs w:val="20"/>
                <w:color w:val="auto"/>
              </w:rPr>
            </w:pPr>
            <w:r>
              <w:rPr>
                <w:rFonts w:ascii="Arial" w:cs="Arial" w:eastAsia="Arial" w:hAnsi="Arial"/>
                <w:sz w:val="13"/>
                <w:szCs w:val="13"/>
                <w:b w:val="1"/>
                <w:bCs w:val="1"/>
                <w:color w:val="auto"/>
                <w:w w:val="90"/>
              </w:rPr>
              <w:t>Percentage of</w:t>
            </w:r>
          </w:p>
        </w:tc>
      </w:tr>
      <w:tr>
        <w:trPr>
          <w:trHeight w:val="148"/>
        </w:trPr>
        <w:tc>
          <w:tcPr>
            <w:tcW w:w="2020" w:type="dxa"/>
            <w:vAlign w:val="bottom"/>
            <w:tcBorders>
              <w:top w:val="single" w:sz="8" w:color="BFBFBF"/>
              <w:left w:val="single" w:sz="8" w:color="auto"/>
              <w:right w:val="single" w:sz="8" w:color="auto"/>
            </w:tcBorders>
            <w:shd w:val="clear" w:color="auto" w:fill="BFBFBF"/>
          </w:tcPr>
          <w:p>
            <w:pPr>
              <w:spacing w:after="0"/>
              <w:rPr>
                <w:sz w:val="12"/>
                <w:szCs w:val="12"/>
                <w:color w:val="auto"/>
              </w:rPr>
            </w:pPr>
          </w:p>
        </w:tc>
        <w:tc>
          <w:tcPr>
            <w:tcW w:w="920" w:type="dxa"/>
            <w:vAlign w:val="bottom"/>
            <w:tcBorders>
              <w:top w:val="single" w:sz="8" w:color="BFBFBF"/>
              <w:right w:val="single" w:sz="8" w:color="auto"/>
            </w:tcBorders>
            <w:shd w:val="clear" w:color="auto" w:fill="BFBFBF"/>
          </w:tcPr>
          <w:p>
            <w:pPr>
              <w:jc w:val="center"/>
              <w:spacing w:after="0"/>
              <w:rPr>
                <w:sz w:val="20"/>
                <w:szCs w:val="20"/>
                <w:color w:val="auto"/>
              </w:rPr>
            </w:pPr>
            <w:r>
              <w:rPr>
                <w:rFonts w:ascii="Arial" w:cs="Arial" w:eastAsia="Arial" w:hAnsi="Arial"/>
                <w:sz w:val="13"/>
                <w:szCs w:val="13"/>
                <w:b w:val="1"/>
                <w:bCs w:val="1"/>
                <w:color w:val="auto"/>
                <w:w w:val="88"/>
              </w:rPr>
              <w:t>Bonus</w:t>
            </w:r>
          </w:p>
        </w:tc>
        <w:tc>
          <w:tcPr>
            <w:tcW w:w="620" w:type="dxa"/>
            <w:vAlign w:val="bottom"/>
            <w:tcBorders>
              <w:top w:val="single" w:sz="8" w:color="auto"/>
              <w:right w:val="single" w:sz="8" w:color="auto"/>
            </w:tcBorders>
            <w:shd w:val="clear" w:color="auto" w:fill="BFBFBF"/>
          </w:tcPr>
          <w:p>
            <w:pPr>
              <w:ind w:left="100"/>
              <w:spacing w:after="0"/>
              <w:rPr>
                <w:sz w:val="20"/>
                <w:szCs w:val="20"/>
                <w:color w:val="auto"/>
              </w:rPr>
            </w:pPr>
            <w:r>
              <w:rPr>
                <w:rFonts w:ascii="Arial" w:cs="Arial" w:eastAsia="Arial" w:hAnsi="Arial"/>
                <w:sz w:val="13"/>
                <w:szCs w:val="13"/>
                <w:b w:val="1"/>
                <w:bCs w:val="1"/>
                <w:color w:val="auto"/>
              </w:rPr>
              <w:t>Target</w:t>
            </w:r>
          </w:p>
        </w:tc>
        <w:tc>
          <w:tcPr>
            <w:tcW w:w="780" w:type="dxa"/>
            <w:vAlign w:val="bottom"/>
            <w:tcBorders>
              <w:top w:val="single" w:sz="8" w:color="auto"/>
              <w:right w:val="single" w:sz="8" w:color="auto"/>
            </w:tcBorders>
            <w:shd w:val="clear" w:color="auto" w:fill="BFBFBF"/>
          </w:tcPr>
          <w:p>
            <w:pPr>
              <w:ind w:left="120"/>
              <w:spacing w:after="0"/>
              <w:rPr>
                <w:sz w:val="20"/>
                <w:szCs w:val="20"/>
                <w:color w:val="auto"/>
              </w:rPr>
            </w:pPr>
            <w:r>
              <w:rPr>
                <w:rFonts w:ascii="Arial" w:cs="Arial" w:eastAsia="Arial" w:hAnsi="Arial"/>
                <w:sz w:val="13"/>
                <w:szCs w:val="13"/>
                <w:b w:val="1"/>
                <w:bCs w:val="1"/>
                <w:color w:val="auto"/>
              </w:rPr>
              <w:t>Maximum</w:t>
            </w:r>
          </w:p>
        </w:tc>
      </w:tr>
      <w:tr>
        <w:trPr>
          <w:trHeight w:val="220"/>
        </w:trPr>
        <w:tc>
          <w:tcPr>
            <w:tcW w:w="2020" w:type="dxa"/>
            <w:vAlign w:val="bottom"/>
            <w:tcBorders>
              <w:left w:val="single" w:sz="8" w:color="auto"/>
              <w:bottom w:val="single" w:sz="8" w:color="BFBFBF"/>
              <w:right w:val="single" w:sz="8" w:color="auto"/>
            </w:tcBorders>
            <w:shd w:val="clear" w:color="auto" w:fill="BFBFBF"/>
          </w:tcPr>
          <w:p>
            <w:pPr>
              <w:ind w:left="800"/>
              <w:spacing w:after="0"/>
              <w:rPr>
                <w:sz w:val="20"/>
                <w:szCs w:val="20"/>
                <w:color w:val="auto"/>
              </w:rPr>
            </w:pPr>
            <w:r>
              <w:rPr>
                <w:rFonts w:ascii="Arial" w:cs="Arial" w:eastAsia="Arial" w:hAnsi="Arial"/>
                <w:sz w:val="13"/>
                <w:szCs w:val="13"/>
                <w:b w:val="1"/>
                <w:bCs w:val="1"/>
                <w:color w:val="auto"/>
              </w:rPr>
              <w:t>Name</w:t>
            </w:r>
          </w:p>
        </w:tc>
        <w:tc>
          <w:tcPr>
            <w:tcW w:w="920" w:type="dxa"/>
            <w:vAlign w:val="bottom"/>
            <w:tcBorders>
              <w:bottom w:val="single" w:sz="8" w:color="BFBFBF"/>
              <w:right w:val="single" w:sz="8" w:color="auto"/>
            </w:tcBorders>
            <w:shd w:val="clear" w:color="auto" w:fill="BFBFBF"/>
          </w:tcPr>
          <w:p>
            <w:pPr>
              <w:jc w:val="center"/>
              <w:spacing w:after="0"/>
              <w:rPr>
                <w:sz w:val="20"/>
                <w:szCs w:val="20"/>
                <w:color w:val="auto"/>
              </w:rPr>
            </w:pPr>
            <w:r>
              <w:rPr>
                <w:rFonts w:ascii="Arial" w:cs="Arial" w:eastAsia="Arial" w:hAnsi="Arial"/>
                <w:sz w:val="13"/>
                <w:szCs w:val="13"/>
                <w:b w:val="1"/>
                <w:bCs w:val="1"/>
                <w:color w:val="auto"/>
                <w:w w:val="97"/>
              </w:rPr>
              <w:t>Paid ($)</w:t>
            </w:r>
          </w:p>
        </w:tc>
        <w:tc>
          <w:tcPr>
            <w:tcW w:w="620" w:type="dxa"/>
            <w:vAlign w:val="bottom"/>
            <w:tcBorders>
              <w:bottom w:val="single" w:sz="8" w:color="BFBFBF"/>
              <w:right w:val="single" w:sz="8" w:color="auto"/>
            </w:tcBorders>
            <w:shd w:val="clear" w:color="auto" w:fill="BFBFBF"/>
          </w:tcPr>
          <w:p>
            <w:pPr>
              <w:jc w:val="center"/>
              <w:spacing w:after="0"/>
              <w:rPr>
                <w:sz w:val="20"/>
                <w:szCs w:val="20"/>
                <w:color w:val="auto"/>
              </w:rPr>
            </w:pPr>
            <w:r>
              <w:rPr>
                <w:rFonts w:ascii="Arial" w:cs="Arial" w:eastAsia="Arial" w:hAnsi="Arial"/>
                <w:sz w:val="13"/>
                <w:szCs w:val="13"/>
                <w:b w:val="1"/>
                <w:bCs w:val="1"/>
                <w:color w:val="auto"/>
              </w:rPr>
              <w:t>(%)</w:t>
            </w:r>
          </w:p>
        </w:tc>
        <w:tc>
          <w:tcPr>
            <w:tcW w:w="780" w:type="dxa"/>
            <w:vAlign w:val="bottom"/>
            <w:tcBorders>
              <w:bottom w:val="single" w:sz="8" w:color="BFBFBF"/>
              <w:right w:val="single" w:sz="8" w:color="auto"/>
            </w:tcBorders>
            <w:shd w:val="clear" w:color="auto" w:fill="BFBFBF"/>
          </w:tcPr>
          <w:p>
            <w:pPr>
              <w:jc w:val="center"/>
              <w:spacing w:after="0"/>
              <w:rPr>
                <w:sz w:val="20"/>
                <w:szCs w:val="20"/>
                <w:color w:val="auto"/>
              </w:rPr>
            </w:pPr>
            <w:r>
              <w:rPr>
                <w:rFonts w:ascii="Arial" w:cs="Arial" w:eastAsia="Arial" w:hAnsi="Arial"/>
                <w:sz w:val="13"/>
                <w:szCs w:val="13"/>
                <w:b w:val="1"/>
                <w:bCs w:val="1"/>
                <w:color w:val="auto"/>
              </w:rPr>
              <w:t>(%)</w:t>
            </w:r>
          </w:p>
        </w:tc>
      </w:tr>
      <w:tr>
        <w:trPr>
          <w:trHeight w:val="244"/>
        </w:trPr>
        <w:tc>
          <w:tcPr>
            <w:tcW w:w="202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Carl H. Lindner III</w:t>
            </w:r>
          </w:p>
        </w:tc>
        <w:tc>
          <w:tcPr>
            <w:tcW w:w="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2,153,548</w:t>
            </w:r>
          </w:p>
        </w:tc>
        <w:tc>
          <w:tcPr>
            <w:tcW w:w="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104.4</w:t>
            </w:r>
          </w:p>
        </w:tc>
        <w:tc>
          <w:tcPr>
            <w:tcW w:w="7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76.32</w:t>
            </w:r>
          </w:p>
        </w:tc>
      </w:tr>
      <w:tr>
        <w:trPr>
          <w:trHeight w:val="60"/>
        </w:trPr>
        <w:tc>
          <w:tcPr>
            <w:tcW w:w="2020" w:type="dxa"/>
            <w:vAlign w:val="bottom"/>
            <w:tcBorders>
              <w:left w:val="single" w:sz="8" w:color="auto"/>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62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r>
      <w:tr>
        <w:trPr>
          <w:trHeight w:val="244"/>
        </w:trPr>
        <w:tc>
          <w:tcPr>
            <w:tcW w:w="20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S. Craig Lindner</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2,153,548</w:t>
            </w: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104.4</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76.32</w:t>
            </w:r>
          </w:p>
        </w:tc>
      </w:tr>
      <w:tr>
        <w:trPr>
          <w:trHeight w:val="60"/>
        </w:trPr>
        <w:tc>
          <w:tcPr>
            <w:tcW w:w="2020" w:type="dxa"/>
            <w:vAlign w:val="bottom"/>
            <w:tcBorders>
              <w:left w:val="single" w:sz="8" w:color="auto"/>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62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r>
      <w:tr>
        <w:trPr>
          <w:trHeight w:val="244"/>
        </w:trPr>
        <w:tc>
          <w:tcPr>
            <w:tcW w:w="20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Joseph E. (Jeff) Consolino</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1,540,934</w:t>
            </w: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104.0</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80.64</w:t>
            </w:r>
          </w:p>
        </w:tc>
      </w:tr>
      <w:tr>
        <w:trPr>
          <w:trHeight w:val="60"/>
        </w:trPr>
        <w:tc>
          <w:tcPr>
            <w:tcW w:w="2020" w:type="dxa"/>
            <w:vAlign w:val="bottom"/>
            <w:tcBorders>
              <w:left w:val="single" w:sz="8" w:color="auto"/>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62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r>
      <w:tr>
        <w:trPr>
          <w:trHeight w:val="244"/>
        </w:trPr>
        <w:tc>
          <w:tcPr>
            <w:tcW w:w="20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John B. Berding</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1,540,934</w:t>
            </w: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104.0</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80.64</w:t>
            </w:r>
          </w:p>
        </w:tc>
      </w:tr>
      <w:tr>
        <w:trPr>
          <w:trHeight w:val="60"/>
        </w:trPr>
        <w:tc>
          <w:tcPr>
            <w:tcW w:w="2020" w:type="dxa"/>
            <w:vAlign w:val="bottom"/>
            <w:tcBorders>
              <w:left w:val="single" w:sz="8" w:color="auto"/>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62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r>
      <w:tr>
        <w:trPr>
          <w:trHeight w:val="244"/>
        </w:trPr>
        <w:tc>
          <w:tcPr>
            <w:tcW w:w="20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Michelle A. Gillis</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310,174</w:t>
            </w: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112.8</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90.23</w:t>
            </w:r>
          </w:p>
        </w:tc>
      </w:tr>
      <w:tr>
        <w:trPr>
          <w:trHeight w:val="60"/>
        </w:trPr>
        <w:tc>
          <w:tcPr>
            <w:tcW w:w="2020" w:type="dxa"/>
            <w:vAlign w:val="bottom"/>
            <w:tcBorders>
              <w:left w:val="single" w:sz="8" w:color="auto"/>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62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r>
      <w:tr>
        <w:trPr>
          <w:trHeight w:val="247"/>
        </w:trPr>
        <w:tc>
          <w:tcPr>
            <w:tcW w:w="20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Vito C. Peraino</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699,302</w:t>
            </w:r>
          </w:p>
        </w:tc>
        <w:tc>
          <w:tcPr>
            <w:tcW w:w="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112.8</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90.23</w:t>
            </w:r>
          </w:p>
        </w:tc>
      </w:tr>
    </w:tbl>
    <w:p>
      <w:pPr>
        <w:spacing w:after="0" w:line="193" w:lineRule="exact"/>
        <w:rPr>
          <w:sz w:val="20"/>
          <w:szCs w:val="20"/>
          <w:color w:val="auto"/>
        </w:rPr>
      </w:pPr>
    </w:p>
    <w:p>
      <w:pPr>
        <w:ind w:left="1080" w:right="1060"/>
        <w:spacing w:after="0" w:line="267" w:lineRule="auto"/>
        <w:rPr>
          <w:sz w:val="20"/>
          <w:szCs w:val="20"/>
          <w:color w:val="auto"/>
        </w:rPr>
      </w:pPr>
      <w:r>
        <w:rPr>
          <w:rFonts w:ascii="Arial" w:cs="Arial" w:eastAsia="Arial" w:hAnsi="Arial"/>
          <w:sz w:val="20"/>
          <w:szCs w:val="20"/>
          <w:b w:val="1"/>
          <w:bCs w:val="1"/>
          <w:color w:val="3F3F3F"/>
        </w:rPr>
        <w:t>Senior Executive Long Term Incentive Compensation Plan</w:t>
      </w:r>
    </w:p>
    <w:p>
      <w:pPr>
        <w:spacing w:after="0" w:line="64" w:lineRule="exact"/>
        <w:rPr>
          <w:sz w:val="20"/>
          <w:szCs w:val="20"/>
          <w:color w:val="auto"/>
        </w:rPr>
      </w:pPr>
    </w:p>
    <w:p>
      <w:pPr>
        <w:ind w:left="1080" w:right="60"/>
        <w:spacing w:after="0" w:line="288" w:lineRule="auto"/>
        <w:rPr>
          <w:sz w:val="20"/>
          <w:szCs w:val="20"/>
          <w:color w:val="auto"/>
        </w:rPr>
      </w:pPr>
      <w:r>
        <w:rPr>
          <w:rFonts w:ascii="Arial" w:cs="Arial" w:eastAsia="Arial" w:hAnsi="Arial"/>
          <w:sz w:val="16"/>
          <w:szCs w:val="16"/>
          <w:color w:val="auto"/>
        </w:rPr>
        <w:t>The Senior Executive Long Term Incentive Compensation Plan (the “Senior Executive LTIC”) rewards long-term Company performance through cash bonus awards payable upon the achievement of three-year performance goals determined annually by the Compensation Committee. The Senior Executive LTIC replaced the Senior Executive Equity Bonus Plan which was terminated in 2018 and was substantially identical to the Senior Executive LTIC except that the Senior Executive Equity Bonus Plan awards were paid in Company common shares instead of cash.</w:t>
      </w:r>
    </w:p>
    <w:p>
      <w:pPr>
        <w:spacing w:after="0" w:line="60" w:lineRule="exact"/>
        <w:rPr>
          <w:sz w:val="20"/>
          <w:szCs w:val="20"/>
          <w:color w:val="auto"/>
        </w:rPr>
      </w:pPr>
    </w:p>
    <w:p>
      <w:pPr>
        <w:ind w:left="1080"/>
        <w:spacing w:after="0" w:line="257" w:lineRule="auto"/>
        <w:rPr>
          <w:sz w:val="20"/>
          <w:szCs w:val="20"/>
          <w:color w:val="auto"/>
        </w:rPr>
      </w:pPr>
      <w:r>
        <w:rPr>
          <w:rFonts w:ascii="Arial" w:cs="Arial" w:eastAsia="Arial" w:hAnsi="Arial"/>
          <w:sz w:val="18"/>
          <w:szCs w:val="18"/>
          <w:color w:val="auto"/>
        </w:rPr>
        <w:t>Awards under the Senior Executive LTIC utilize two evenly weighted performance criteria: book value per share growth versus the book value per share growth of the group of companies (the “plan companies”) and average annual return on equity growth.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The </w:t>
      </w:r>
      <w:r>
        <w:rPr>
          <w:rFonts w:ascii="Arial" w:cs="Arial" w:eastAsia="Arial" w:hAnsi="Arial"/>
          <w:sz w:val="17"/>
          <w:szCs w:val="17"/>
          <w:b w:val="1"/>
          <w:bCs w:val="1"/>
          <w:color w:val="auto"/>
        </w:rPr>
        <w:t>book value per share</w:t>
      </w:r>
      <w:r>
        <w:rPr>
          <w:rFonts w:ascii="Arial" w:cs="Arial" w:eastAsia="Arial" w:hAnsi="Arial"/>
          <w:sz w:val="17"/>
          <w:szCs w:val="17"/>
          <w:color w:val="auto"/>
        </w:rPr>
        <w:t xml:space="preserve"> calculations, for the Company and each plan company, are adjusted to negate the effects of accounting changes, accumulated other comprehensive income and the impact of dividends and other capital distributions made on common shares. The awards provide for such adjustments so that accounting changes do not artificially affect book value per share and so that other comprehensive income and the impact of distributions do not influence Company decisions like, for example, the timing and amount of dividends paid in a manner not consistent with a goal of continuing to increase shareholder value.</w:t>
      </w:r>
    </w:p>
    <w:p>
      <w:pPr>
        <w:spacing w:after="0" w:line="71"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b w:val="1"/>
          <w:bCs w:val="1"/>
          <w:color w:val="auto"/>
        </w:rPr>
        <w:t xml:space="preserve">Annual return on equity growth </w:t>
      </w:r>
      <w:r>
        <w:rPr>
          <w:rFonts w:ascii="Arial" w:cs="Arial" w:eastAsia="Arial" w:hAnsi="Arial"/>
          <w:sz w:val="16"/>
          <w:szCs w:val="16"/>
          <w:color w:val="auto"/>
        </w:rPr>
        <w:t>is defined as the</w:t>
      </w:r>
      <w:r>
        <w:rPr>
          <w:rFonts w:ascii="Arial" w:cs="Arial" w:eastAsia="Arial" w:hAnsi="Arial"/>
          <w:sz w:val="16"/>
          <w:szCs w:val="16"/>
          <w:b w:val="1"/>
          <w:bCs w:val="1"/>
          <w:color w:val="auto"/>
        </w:rPr>
        <w:t xml:space="preserve"> </w:t>
      </w:r>
      <w:r>
        <w:rPr>
          <w:rFonts w:ascii="Arial" w:cs="Arial" w:eastAsia="Arial" w:hAnsi="Arial"/>
          <w:sz w:val="16"/>
          <w:szCs w:val="16"/>
          <w:color w:val="auto"/>
        </w:rPr>
        <w:t>percentage equal to the Company’s core operating earnings divided by the Company’s shareholders’ equity (excluding accumulated other comprehensive income), and the applicable percentage in determining bonus amounts,</w:t>
      </w:r>
    </w:p>
    <w:p>
      <w:pPr>
        <w:spacing w:after="0" w:line="2" w:lineRule="exact"/>
        <w:rPr>
          <w:sz w:val="20"/>
          <w:szCs w:val="20"/>
          <w:color w:val="auto"/>
        </w:rPr>
      </w:pPr>
    </w:p>
    <w:p>
      <w:pPr>
        <w:ind w:right="160"/>
        <w:spacing w:after="0" w:line="260" w:lineRule="auto"/>
        <w:rPr>
          <w:sz w:val="20"/>
          <w:szCs w:val="20"/>
          <w:color w:val="auto"/>
        </w:rPr>
      </w:pPr>
      <w:r>
        <w:rPr>
          <w:rFonts w:ascii="Arial" w:cs="Arial" w:eastAsia="Arial" w:hAnsi="Arial"/>
          <w:sz w:val="18"/>
          <w:szCs w:val="18"/>
          <w:color w:val="auto"/>
        </w:rPr>
        <w:t>if any, is the average return on equity for each of the three years in the performance period.</w:t>
      </w:r>
    </w:p>
    <w:p>
      <w:pPr>
        <w:spacing w:after="0" w:line="7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Awards granted under the Senior Executive LTIC to the Co-CEOs, Mr. Consolino and Mr. Berding are provided in the table below. Each of the performance components are equally weighted with one-half of the target amounts and maximum amounts set forth below allocated to each of book value per share growth versus plan companies and average annual return on equity growth.</w:t>
      </w:r>
    </w:p>
    <w:p>
      <w:pPr>
        <w:spacing w:after="0" w:line="158" w:lineRule="exact"/>
        <w:rPr>
          <w:sz w:val="20"/>
          <w:szCs w:val="20"/>
          <w:color w:val="auto"/>
        </w:rPr>
      </w:pPr>
    </w:p>
    <w:tbl>
      <w:tblPr>
        <w:tblLayout w:type="fixed"/>
        <w:tblInd w:w="10" w:type="dxa"/>
        <w:tblCellMar>
          <w:top w:w="0" w:type="dxa"/>
          <w:left w:w="0" w:type="dxa"/>
          <w:bottom w:w="0" w:type="dxa"/>
          <w:right w:w="0" w:type="dxa"/>
        </w:tblCellMar>
      </w:tblPr>
      <w:tr>
        <w:trPr>
          <w:trHeight w:val="585"/>
        </w:trPr>
        <w:tc>
          <w:tcPr>
            <w:tcW w:w="1340" w:type="dxa"/>
            <w:vAlign w:val="bottom"/>
            <w:tcBorders>
              <w:top w:val="single" w:sz="8" w:color="auto"/>
              <w:left w:val="single" w:sz="8" w:color="auto"/>
              <w:right w:val="single" w:sz="8" w:color="auto"/>
            </w:tcBorders>
            <w:shd w:val="clear" w:color="auto" w:fill="BFBFBF"/>
          </w:tcPr>
          <w:p>
            <w:pPr>
              <w:spacing w:after="0"/>
              <w:rPr>
                <w:sz w:val="24"/>
                <w:szCs w:val="24"/>
                <w:color w:val="auto"/>
              </w:rPr>
            </w:pPr>
          </w:p>
        </w:tc>
        <w:tc>
          <w:tcPr>
            <w:tcW w:w="520" w:type="dxa"/>
            <w:vAlign w:val="bottom"/>
            <w:tcBorders>
              <w:top w:val="single" w:sz="8" w:color="auto"/>
              <w:right w:val="single" w:sz="8" w:color="auto"/>
            </w:tcBorders>
            <w:shd w:val="clear" w:color="auto" w:fill="BFBFBF"/>
          </w:tcPr>
          <w:p>
            <w:pPr>
              <w:spacing w:after="0"/>
              <w:rPr>
                <w:sz w:val="24"/>
                <w:szCs w:val="24"/>
                <w:color w:val="auto"/>
              </w:rPr>
            </w:pPr>
          </w:p>
        </w:tc>
        <w:tc>
          <w:tcPr>
            <w:tcW w:w="960" w:type="dxa"/>
            <w:vAlign w:val="bottom"/>
            <w:tcBorders>
              <w:top w:val="single" w:sz="8" w:color="auto"/>
              <w:right w:val="single" w:sz="8" w:color="auto"/>
            </w:tcBorders>
            <w:shd w:val="clear" w:color="auto" w:fill="BFBFBF"/>
          </w:tcPr>
          <w:p>
            <w:pPr>
              <w:jc w:val="center"/>
              <w:ind w:right="28"/>
              <w:spacing w:after="0"/>
              <w:rPr>
                <w:sz w:val="20"/>
                <w:szCs w:val="20"/>
                <w:color w:val="auto"/>
              </w:rPr>
            </w:pPr>
            <w:r>
              <w:rPr>
                <w:rFonts w:ascii="Arial" w:cs="Arial" w:eastAsia="Arial" w:hAnsi="Arial"/>
                <w:sz w:val="14"/>
                <w:szCs w:val="14"/>
                <w:b w:val="1"/>
                <w:bCs w:val="1"/>
                <w:color w:val="auto"/>
                <w:w w:val="95"/>
              </w:rPr>
              <w:t>Three-Year</w:t>
            </w:r>
          </w:p>
        </w:tc>
        <w:tc>
          <w:tcPr>
            <w:tcW w:w="40" w:type="dxa"/>
            <w:vAlign w:val="bottom"/>
            <w:tcBorders>
              <w:top w:val="single" w:sz="8" w:color="auto"/>
            </w:tcBorders>
            <w:shd w:val="clear" w:color="auto" w:fill="BFBFBF"/>
          </w:tcPr>
          <w:p>
            <w:pPr>
              <w:spacing w:after="0"/>
              <w:rPr>
                <w:sz w:val="24"/>
                <w:szCs w:val="24"/>
                <w:color w:val="auto"/>
              </w:rPr>
            </w:pPr>
          </w:p>
        </w:tc>
        <w:tc>
          <w:tcPr>
            <w:tcW w:w="1460" w:type="dxa"/>
            <w:vAlign w:val="bottom"/>
            <w:tcBorders>
              <w:top w:val="single" w:sz="8" w:color="auto"/>
              <w:right w:val="single" w:sz="8" w:color="auto"/>
            </w:tcBorders>
            <w:gridSpan w:val="2"/>
            <w:vMerge w:val="restart"/>
            <w:shd w:val="clear" w:color="auto" w:fill="BFBFBF"/>
          </w:tcPr>
          <w:p>
            <w:pPr>
              <w:ind w:left="120"/>
              <w:spacing w:after="0"/>
              <w:rPr>
                <w:sz w:val="20"/>
                <w:szCs w:val="20"/>
                <w:color w:val="auto"/>
              </w:rPr>
            </w:pPr>
            <w:r>
              <w:rPr>
                <w:rFonts w:ascii="Arial" w:cs="Arial" w:eastAsia="Arial" w:hAnsi="Arial"/>
                <w:sz w:val="14"/>
                <w:szCs w:val="14"/>
                <w:b w:val="1"/>
                <w:bCs w:val="1"/>
                <w:color w:val="auto"/>
              </w:rPr>
              <w:t>Potential Payments</w:t>
            </w:r>
          </w:p>
        </w:tc>
        <w:tc>
          <w:tcPr>
            <w:tcW w:w="0" w:type="dxa"/>
            <w:vAlign w:val="bottom"/>
          </w:tcPr>
          <w:p>
            <w:pPr>
              <w:spacing w:after="0"/>
              <w:rPr>
                <w:sz w:val="1"/>
                <w:szCs w:val="1"/>
                <w:color w:val="auto"/>
              </w:rPr>
            </w:pPr>
          </w:p>
        </w:tc>
      </w:tr>
      <w:tr>
        <w:trPr>
          <w:trHeight w:val="117"/>
        </w:trPr>
        <w:tc>
          <w:tcPr>
            <w:tcW w:w="1340" w:type="dxa"/>
            <w:vAlign w:val="bottom"/>
            <w:tcBorders>
              <w:left w:val="single" w:sz="8" w:color="auto"/>
              <w:bottom w:val="single" w:sz="8" w:color="BFBFBF"/>
              <w:right w:val="single" w:sz="8" w:color="auto"/>
            </w:tcBorders>
            <w:shd w:val="clear" w:color="auto" w:fill="BFBFBF"/>
          </w:tcPr>
          <w:p>
            <w:pPr>
              <w:spacing w:after="0"/>
              <w:rPr>
                <w:sz w:val="10"/>
                <w:szCs w:val="10"/>
                <w:color w:val="auto"/>
              </w:rPr>
            </w:pPr>
          </w:p>
        </w:tc>
        <w:tc>
          <w:tcPr>
            <w:tcW w:w="520" w:type="dxa"/>
            <w:vAlign w:val="bottom"/>
            <w:tcBorders>
              <w:bottom w:val="single" w:sz="8" w:color="BFBFBF"/>
              <w:right w:val="single" w:sz="8" w:color="auto"/>
            </w:tcBorders>
            <w:shd w:val="clear" w:color="auto" w:fill="BFBFBF"/>
          </w:tcPr>
          <w:p>
            <w:pPr>
              <w:spacing w:after="0"/>
              <w:rPr>
                <w:sz w:val="10"/>
                <w:szCs w:val="10"/>
                <w:color w:val="auto"/>
              </w:rPr>
            </w:pPr>
          </w:p>
        </w:tc>
        <w:tc>
          <w:tcPr>
            <w:tcW w:w="960" w:type="dxa"/>
            <w:vAlign w:val="bottom"/>
            <w:tcBorders>
              <w:bottom w:val="single" w:sz="8" w:color="BFBFBF"/>
              <w:right w:val="single" w:sz="8" w:color="auto"/>
            </w:tcBorders>
            <w:shd w:val="clear" w:color="auto" w:fill="BFBFBF"/>
          </w:tcPr>
          <w:p>
            <w:pPr>
              <w:ind w:left="60"/>
              <w:spacing w:after="0" w:line="118" w:lineRule="exact"/>
              <w:rPr>
                <w:sz w:val="20"/>
                <w:szCs w:val="20"/>
                <w:color w:val="auto"/>
              </w:rPr>
            </w:pPr>
            <w:r>
              <w:rPr>
                <w:rFonts w:ascii="Arial" w:cs="Arial" w:eastAsia="Arial" w:hAnsi="Arial"/>
                <w:sz w:val="13"/>
                <w:szCs w:val="13"/>
                <w:b w:val="1"/>
                <w:bCs w:val="1"/>
                <w:color w:val="auto"/>
              </w:rPr>
              <w:t>Performance</w:t>
            </w:r>
          </w:p>
        </w:tc>
        <w:tc>
          <w:tcPr>
            <w:tcW w:w="40" w:type="dxa"/>
            <w:vAlign w:val="bottom"/>
            <w:tcBorders>
              <w:bottom w:val="single" w:sz="8" w:color="BFBFBF"/>
            </w:tcBorders>
            <w:shd w:val="clear" w:color="auto" w:fill="BFBFBF"/>
          </w:tcPr>
          <w:p>
            <w:pPr>
              <w:spacing w:after="0"/>
              <w:rPr>
                <w:sz w:val="10"/>
                <w:szCs w:val="10"/>
                <w:color w:val="auto"/>
              </w:rPr>
            </w:pPr>
          </w:p>
        </w:tc>
        <w:tc>
          <w:tcPr>
            <w:tcW w:w="1460" w:type="dxa"/>
            <w:vAlign w:val="bottom"/>
            <w:tcBorders>
              <w:bottom w:val="single" w:sz="8" w:color="BFBFBF"/>
              <w:right w:val="single" w:sz="8" w:color="auto"/>
            </w:tcBorders>
            <w:gridSpan w:val="2"/>
            <w:vMerge w:val="continue"/>
            <w:shd w:val="clear" w:color="auto" w:fill="BFBFBF"/>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1340" w:type="dxa"/>
            <w:vAlign w:val="bottom"/>
            <w:tcBorders>
              <w:top w:val="single" w:sz="8" w:color="BFBFBF"/>
              <w:left w:val="single" w:sz="8" w:color="auto"/>
              <w:right w:val="single" w:sz="8" w:color="auto"/>
            </w:tcBorders>
            <w:vMerge w:val="restart"/>
            <w:shd w:val="clear" w:color="auto" w:fill="BFBFBF"/>
          </w:tcPr>
          <w:p>
            <w:pPr>
              <w:ind w:left="460"/>
              <w:spacing w:after="0"/>
              <w:rPr>
                <w:sz w:val="20"/>
                <w:szCs w:val="20"/>
                <w:color w:val="auto"/>
              </w:rPr>
            </w:pPr>
            <w:r>
              <w:rPr>
                <w:rFonts w:ascii="Arial" w:cs="Arial" w:eastAsia="Arial" w:hAnsi="Arial"/>
                <w:sz w:val="14"/>
                <w:szCs w:val="14"/>
                <w:b w:val="1"/>
                <w:bCs w:val="1"/>
                <w:color w:val="auto"/>
              </w:rPr>
              <w:t>Name</w:t>
            </w:r>
          </w:p>
        </w:tc>
        <w:tc>
          <w:tcPr>
            <w:tcW w:w="520" w:type="dxa"/>
            <w:vAlign w:val="bottom"/>
            <w:tcBorders>
              <w:top w:val="single" w:sz="8" w:color="BFBFBF"/>
              <w:right w:val="single" w:sz="8" w:color="auto"/>
            </w:tcBorders>
            <w:shd w:val="clear" w:color="auto" w:fill="BFBFBF"/>
          </w:tcPr>
          <w:p>
            <w:pPr>
              <w:jc w:val="center"/>
              <w:spacing w:after="0" w:line="160" w:lineRule="exact"/>
              <w:rPr>
                <w:sz w:val="20"/>
                <w:szCs w:val="20"/>
                <w:color w:val="auto"/>
              </w:rPr>
            </w:pPr>
            <w:r>
              <w:rPr>
                <w:rFonts w:ascii="Arial" w:cs="Arial" w:eastAsia="Arial" w:hAnsi="Arial"/>
                <w:sz w:val="14"/>
                <w:szCs w:val="14"/>
                <w:b w:val="1"/>
                <w:bCs w:val="1"/>
                <w:color w:val="auto"/>
                <w:w w:val="96"/>
              </w:rPr>
              <w:t>Grant</w:t>
            </w:r>
          </w:p>
        </w:tc>
        <w:tc>
          <w:tcPr>
            <w:tcW w:w="960" w:type="dxa"/>
            <w:vAlign w:val="bottom"/>
            <w:tcBorders>
              <w:top w:val="single" w:sz="8" w:color="BFBFBF"/>
              <w:right w:val="single" w:sz="8" w:color="auto"/>
            </w:tcBorders>
            <w:shd w:val="clear" w:color="auto" w:fill="BFBFBF"/>
          </w:tcPr>
          <w:p>
            <w:pPr>
              <w:jc w:val="center"/>
              <w:ind w:right="8"/>
              <w:spacing w:after="0" w:line="160" w:lineRule="exact"/>
              <w:rPr>
                <w:sz w:val="20"/>
                <w:szCs w:val="20"/>
                <w:color w:val="auto"/>
              </w:rPr>
            </w:pPr>
            <w:r>
              <w:rPr>
                <w:rFonts w:ascii="Arial" w:cs="Arial" w:eastAsia="Arial" w:hAnsi="Arial"/>
                <w:sz w:val="14"/>
                <w:szCs w:val="14"/>
                <w:b w:val="1"/>
                <w:bCs w:val="1"/>
                <w:color w:val="auto"/>
                <w:w w:val="91"/>
              </w:rPr>
              <w:t>Period</w:t>
            </w:r>
          </w:p>
        </w:tc>
        <w:tc>
          <w:tcPr>
            <w:tcW w:w="40" w:type="dxa"/>
            <w:vAlign w:val="bottom"/>
            <w:tcBorders>
              <w:top w:val="single" w:sz="8" w:color="auto"/>
            </w:tcBorders>
            <w:shd w:val="clear" w:color="auto" w:fill="BFBFBF"/>
          </w:tcPr>
          <w:p>
            <w:pPr>
              <w:spacing w:after="0"/>
              <w:rPr>
                <w:sz w:val="13"/>
                <w:szCs w:val="13"/>
                <w:color w:val="auto"/>
              </w:rPr>
            </w:pPr>
          </w:p>
        </w:tc>
        <w:tc>
          <w:tcPr>
            <w:tcW w:w="680" w:type="dxa"/>
            <w:vAlign w:val="bottom"/>
            <w:tcBorders>
              <w:top w:val="single" w:sz="8" w:color="auto"/>
              <w:right w:val="single" w:sz="8" w:color="auto"/>
            </w:tcBorders>
            <w:shd w:val="clear" w:color="auto" w:fill="BFBFBF"/>
          </w:tcPr>
          <w:p>
            <w:pPr>
              <w:ind w:left="80"/>
              <w:spacing w:after="0" w:line="160" w:lineRule="exact"/>
              <w:rPr>
                <w:sz w:val="20"/>
                <w:szCs w:val="20"/>
                <w:color w:val="auto"/>
              </w:rPr>
            </w:pPr>
            <w:r>
              <w:rPr>
                <w:rFonts w:ascii="Arial" w:cs="Arial" w:eastAsia="Arial" w:hAnsi="Arial"/>
                <w:sz w:val="14"/>
                <w:szCs w:val="14"/>
                <w:b w:val="1"/>
                <w:bCs w:val="1"/>
                <w:color w:val="auto"/>
              </w:rPr>
              <w:t>Target</w:t>
            </w:r>
          </w:p>
        </w:tc>
        <w:tc>
          <w:tcPr>
            <w:tcW w:w="780" w:type="dxa"/>
            <w:vAlign w:val="bottom"/>
            <w:tcBorders>
              <w:top w:val="single" w:sz="8" w:color="auto"/>
              <w:right w:val="single" w:sz="8" w:color="auto"/>
            </w:tcBorders>
            <w:shd w:val="clear" w:color="auto" w:fill="BFBFBF"/>
          </w:tcPr>
          <w:p>
            <w:pPr>
              <w:ind w:left="60"/>
              <w:spacing w:after="0" w:line="160" w:lineRule="exact"/>
              <w:rPr>
                <w:sz w:val="20"/>
                <w:szCs w:val="20"/>
                <w:color w:val="auto"/>
              </w:rPr>
            </w:pPr>
            <w:r>
              <w:rPr>
                <w:rFonts w:ascii="Arial" w:cs="Arial" w:eastAsia="Arial" w:hAnsi="Arial"/>
                <w:sz w:val="14"/>
                <w:szCs w:val="14"/>
                <w:b w:val="1"/>
                <w:bCs w:val="1"/>
                <w:color w:val="auto"/>
              </w:rPr>
              <w:t>Maximum</w:t>
            </w:r>
          </w:p>
        </w:tc>
        <w:tc>
          <w:tcPr>
            <w:tcW w:w="0" w:type="dxa"/>
            <w:vAlign w:val="bottom"/>
          </w:tcPr>
          <w:p>
            <w:pPr>
              <w:spacing w:after="0"/>
              <w:rPr>
                <w:sz w:val="1"/>
                <w:szCs w:val="1"/>
                <w:color w:val="auto"/>
              </w:rPr>
            </w:pPr>
          </w:p>
        </w:tc>
      </w:tr>
      <w:tr>
        <w:trPr>
          <w:trHeight w:val="212"/>
        </w:trPr>
        <w:tc>
          <w:tcPr>
            <w:tcW w:w="1340" w:type="dxa"/>
            <w:vAlign w:val="bottom"/>
            <w:tcBorders>
              <w:left w:val="single" w:sz="8" w:color="auto"/>
              <w:bottom w:val="single" w:sz="8" w:color="BFBFBF"/>
              <w:right w:val="single" w:sz="8" w:color="auto"/>
            </w:tcBorders>
            <w:vMerge w:val="continue"/>
            <w:shd w:val="clear" w:color="auto" w:fill="BFBFBF"/>
          </w:tcPr>
          <w:p>
            <w:pPr>
              <w:spacing w:after="0"/>
              <w:rPr>
                <w:sz w:val="18"/>
                <w:szCs w:val="18"/>
                <w:color w:val="auto"/>
              </w:rPr>
            </w:pPr>
          </w:p>
        </w:tc>
        <w:tc>
          <w:tcPr>
            <w:tcW w:w="520" w:type="dxa"/>
            <w:vAlign w:val="bottom"/>
            <w:tcBorders>
              <w:bottom w:val="single" w:sz="8" w:color="BFBFBF"/>
              <w:right w:val="single" w:sz="8" w:color="auto"/>
            </w:tcBorders>
            <w:shd w:val="clear" w:color="auto" w:fill="BFBFBF"/>
          </w:tcPr>
          <w:p>
            <w:pPr>
              <w:jc w:val="center"/>
              <w:spacing w:after="0"/>
              <w:rPr>
                <w:sz w:val="20"/>
                <w:szCs w:val="20"/>
                <w:color w:val="auto"/>
              </w:rPr>
            </w:pPr>
            <w:r>
              <w:rPr>
                <w:rFonts w:ascii="Arial" w:cs="Arial" w:eastAsia="Arial" w:hAnsi="Arial"/>
                <w:sz w:val="14"/>
                <w:szCs w:val="14"/>
                <w:b w:val="1"/>
                <w:bCs w:val="1"/>
                <w:color w:val="auto"/>
                <w:w w:val="92"/>
              </w:rPr>
              <w:t>Year</w:t>
            </w:r>
          </w:p>
        </w:tc>
        <w:tc>
          <w:tcPr>
            <w:tcW w:w="960" w:type="dxa"/>
            <w:vAlign w:val="bottom"/>
            <w:tcBorders>
              <w:bottom w:val="single" w:sz="8" w:color="BFBFBF"/>
              <w:right w:val="single" w:sz="8" w:color="auto"/>
            </w:tcBorders>
            <w:shd w:val="clear" w:color="auto" w:fill="BFBFBF"/>
          </w:tcPr>
          <w:p>
            <w:pPr>
              <w:jc w:val="center"/>
              <w:spacing w:after="0"/>
              <w:rPr>
                <w:sz w:val="20"/>
                <w:szCs w:val="20"/>
                <w:color w:val="auto"/>
              </w:rPr>
            </w:pPr>
            <w:r>
              <w:rPr>
                <w:rFonts w:ascii="Arial" w:cs="Arial" w:eastAsia="Arial" w:hAnsi="Arial"/>
                <w:sz w:val="14"/>
                <w:szCs w:val="14"/>
                <w:b w:val="1"/>
                <w:bCs w:val="1"/>
                <w:color w:val="auto"/>
                <w:w w:val="92"/>
              </w:rPr>
              <w:t>Ending</w:t>
            </w:r>
          </w:p>
        </w:tc>
        <w:tc>
          <w:tcPr>
            <w:tcW w:w="40" w:type="dxa"/>
            <w:vAlign w:val="bottom"/>
            <w:tcBorders>
              <w:bottom w:val="single" w:sz="8" w:color="BFBFBF"/>
            </w:tcBorders>
            <w:shd w:val="clear" w:color="auto" w:fill="BFBFBF"/>
          </w:tcPr>
          <w:p>
            <w:pPr>
              <w:spacing w:after="0"/>
              <w:rPr>
                <w:sz w:val="18"/>
                <w:szCs w:val="18"/>
                <w:color w:val="auto"/>
              </w:rPr>
            </w:pPr>
          </w:p>
        </w:tc>
        <w:tc>
          <w:tcPr>
            <w:tcW w:w="680" w:type="dxa"/>
            <w:vAlign w:val="bottom"/>
            <w:tcBorders>
              <w:bottom w:val="single" w:sz="8" w:color="BFBFBF"/>
              <w:right w:val="single" w:sz="8" w:color="auto"/>
            </w:tcBorders>
            <w:shd w:val="clear" w:color="auto" w:fill="BFBFBF"/>
          </w:tcPr>
          <w:p>
            <w:pPr>
              <w:jc w:val="center"/>
              <w:ind w:right="8"/>
              <w:spacing w:after="0"/>
              <w:rPr>
                <w:sz w:val="20"/>
                <w:szCs w:val="20"/>
                <w:color w:val="auto"/>
              </w:rPr>
            </w:pPr>
            <w:r>
              <w:rPr>
                <w:rFonts w:ascii="Arial" w:cs="Arial" w:eastAsia="Arial" w:hAnsi="Arial"/>
                <w:sz w:val="14"/>
                <w:szCs w:val="14"/>
                <w:b w:val="1"/>
                <w:bCs w:val="1"/>
                <w:color w:val="auto"/>
                <w:w w:val="93"/>
              </w:rPr>
              <w:t>($)</w:t>
            </w:r>
          </w:p>
        </w:tc>
        <w:tc>
          <w:tcPr>
            <w:tcW w:w="780" w:type="dxa"/>
            <w:vAlign w:val="bottom"/>
            <w:tcBorders>
              <w:bottom w:val="single" w:sz="8" w:color="BFBFBF"/>
              <w:right w:val="single" w:sz="8" w:color="auto"/>
            </w:tcBorders>
            <w:shd w:val="clear" w:color="auto" w:fill="BFBFBF"/>
          </w:tcPr>
          <w:p>
            <w:pPr>
              <w:jc w:val="center"/>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198"/>
        </w:trPr>
        <w:tc>
          <w:tcPr>
            <w:tcW w:w="13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Carl H. Lindner III</w:t>
            </w:r>
          </w:p>
        </w:tc>
        <w:tc>
          <w:tcPr>
            <w:tcW w:w="5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9"/>
              </w:rPr>
              <w:t>2017</w:t>
            </w:r>
          </w:p>
        </w:tc>
        <w:tc>
          <w:tcPr>
            <w:tcW w:w="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12/31/2019</w:t>
            </w:r>
          </w:p>
        </w:tc>
        <w:tc>
          <w:tcPr>
            <w:tcW w:w="720" w:type="dxa"/>
            <w:vAlign w:val="bottom"/>
            <w:tcBorders>
              <w:top w:val="single" w:sz="8" w:color="auto"/>
              <w:right w:val="single" w:sz="8" w:color="auto"/>
            </w:tcBorders>
            <w:gridSpan w:val="2"/>
          </w:tcPr>
          <w:p>
            <w:pPr>
              <w:jc w:val="center"/>
              <w:spacing w:after="0"/>
              <w:rPr>
                <w:sz w:val="20"/>
                <w:szCs w:val="20"/>
                <w:color w:val="auto"/>
              </w:rPr>
            </w:pPr>
            <w:r>
              <w:rPr>
                <w:rFonts w:ascii="Arial" w:cs="Arial" w:eastAsia="Arial" w:hAnsi="Arial"/>
                <w:sz w:val="14"/>
                <w:szCs w:val="14"/>
                <w:color w:val="auto"/>
                <w:w w:val="89"/>
              </w:rPr>
              <w:t>2,500,000</w:t>
            </w:r>
          </w:p>
        </w:tc>
        <w:tc>
          <w:tcPr>
            <w:tcW w:w="7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5,000,000</w:t>
            </w:r>
          </w:p>
        </w:tc>
        <w:tc>
          <w:tcPr>
            <w:tcW w:w="0" w:type="dxa"/>
            <w:vAlign w:val="bottom"/>
          </w:tcPr>
          <w:p>
            <w:pPr>
              <w:spacing w:after="0"/>
              <w:rPr>
                <w:sz w:val="1"/>
                <w:szCs w:val="1"/>
                <w:color w:val="auto"/>
              </w:rPr>
            </w:pPr>
          </w:p>
        </w:tc>
      </w:tr>
      <w:tr>
        <w:trPr>
          <w:trHeight w:val="230"/>
        </w:trPr>
        <w:tc>
          <w:tcPr>
            <w:tcW w:w="1340" w:type="dxa"/>
            <w:vAlign w:val="bottom"/>
            <w:tcBorders>
              <w:left w:val="single" w:sz="8" w:color="auto"/>
              <w:right w:val="single" w:sz="8" w:color="auto"/>
            </w:tcBorders>
          </w:tcPr>
          <w:p>
            <w:pPr>
              <w:spacing w:after="0"/>
              <w:rPr>
                <w:sz w:val="19"/>
                <w:szCs w:val="19"/>
                <w:color w:val="auto"/>
              </w:rPr>
            </w:pPr>
          </w:p>
        </w:tc>
        <w:tc>
          <w:tcPr>
            <w:tcW w:w="5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9"/>
              </w:rPr>
              <w:t>2018</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12/31/2020</w:t>
            </w:r>
          </w:p>
        </w:tc>
        <w:tc>
          <w:tcPr>
            <w:tcW w:w="720" w:type="dxa"/>
            <w:vAlign w:val="bottom"/>
            <w:tcBorders>
              <w:right w:val="single" w:sz="8" w:color="auto"/>
            </w:tcBorders>
            <w:gridSpan w:val="2"/>
          </w:tcPr>
          <w:p>
            <w:pPr>
              <w:jc w:val="center"/>
              <w:spacing w:after="0"/>
              <w:rPr>
                <w:sz w:val="20"/>
                <w:szCs w:val="20"/>
                <w:color w:val="auto"/>
              </w:rPr>
            </w:pPr>
            <w:r>
              <w:rPr>
                <w:rFonts w:ascii="Arial" w:cs="Arial" w:eastAsia="Arial" w:hAnsi="Arial"/>
                <w:sz w:val="14"/>
                <w:szCs w:val="14"/>
                <w:color w:val="auto"/>
                <w:w w:val="89"/>
              </w:rPr>
              <w:t>2,500,000</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5,000,000</w:t>
            </w:r>
          </w:p>
        </w:tc>
        <w:tc>
          <w:tcPr>
            <w:tcW w:w="0" w:type="dxa"/>
            <w:vAlign w:val="bottom"/>
          </w:tcPr>
          <w:p>
            <w:pPr>
              <w:spacing w:after="0"/>
              <w:rPr>
                <w:sz w:val="1"/>
                <w:szCs w:val="1"/>
                <w:color w:val="auto"/>
              </w:rPr>
            </w:pPr>
          </w:p>
        </w:tc>
      </w:tr>
      <w:tr>
        <w:trPr>
          <w:trHeight w:val="230"/>
        </w:trPr>
        <w:tc>
          <w:tcPr>
            <w:tcW w:w="1340" w:type="dxa"/>
            <w:vAlign w:val="bottom"/>
            <w:tcBorders>
              <w:left w:val="single" w:sz="8" w:color="auto"/>
              <w:right w:val="single" w:sz="8" w:color="auto"/>
            </w:tcBorders>
          </w:tcPr>
          <w:p>
            <w:pPr>
              <w:spacing w:after="0"/>
              <w:rPr>
                <w:sz w:val="19"/>
                <w:szCs w:val="19"/>
                <w:color w:val="auto"/>
              </w:rPr>
            </w:pPr>
          </w:p>
        </w:tc>
        <w:tc>
          <w:tcPr>
            <w:tcW w:w="5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9"/>
              </w:rPr>
              <w:t>2019</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12/31/2021</w:t>
            </w:r>
          </w:p>
        </w:tc>
        <w:tc>
          <w:tcPr>
            <w:tcW w:w="720" w:type="dxa"/>
            <w:vAlign w:val="bottom"/>
            <w:tcBorders>
              <w:right w:val="single" w:sz="8" w:color="auto"/>
            </w:tcBorders>
            <w:gridSpan w:val="2"/>
          </w:tcPr>
          <w:p>
            <w:pPr>
              <w:jc w:val="center"/>
              <w:spacing w:after="0"/>
              <w:rPr>
                <w:sz w:val="20"/>
                <w:szCs w:val="20"/>
                <w:color w:val="auto"/>
              </w:rPr>
            </w:pPr>
            <w:r>
              <w:rPr>
                <w:rFonts w:ascii="Arial" w:cs="Arial" w:eastAsia="Arial" w:hAnsi="Arial"/>
                <w:sz w:val="14"/>
                <w:szCs w:val="14"/>
                <w:color w:val="auto"/>
                <w:w w:val="89"/>
              </w:rPr>
              <w:t>2,500,000</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5,000,000</w:t>
            </w:r>
          </w:p>
        </w:tc>
        <w:tc>
          <w:tcPr>
            <w:tcW w:w="0" w:type="dxa"/>
            <w:vAlign w:val="bottom"/>
          </w:tcPr>
          <w:p>
            <w:pPr>
              <w:spacing w:after="0"/>
              <w:rPr>
                <w:sz w:val="1"/>
                <w:szCs w:val="1"/>
                <w:color w:val="auto"/>
              </w:rPr>
            </w:pPr>
          </w:p>
        </w:tc>
      </w:tr>
      <w:tr>
        <w:trPr>
          <w:trHeight w:val="25"/>
        </w:trPr>
        <w:tc>
          <w:tcPr>
            <w:tcW w:w="1340" w:type="dxa"/>
            <w:vAlign w:val="bottom"/>
            <w:tcBorders>
              <w:left w:val="single" w:sz="8" w:color="auto"/>
              <w:bottom w:val="single" w:sz="8" w:color="auto"/>
              <w:right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gridSpan w:val="2"/>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13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S. Craig Lindner</w:t>
            </w:r>
          </w:p>
        </w:tc>
        <w:tc>
          <w:tcPr>
            <w:tcW w:w="5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9"/>
              </w:rPr>
              <w:t>2017</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12/31/2019</w:t>
            </w:r>
          </w:p>
        </w:tc>
        <w:tc>
          <w:tcPr>
            <w:tcW w:w="720" w:type="dxa"/>
            <w:vAlign w:val="bottom"/>
            <w:tcBorders>
              <w:right w:val="single" w:sz="8" w:color="auto"/>
            </w:tcBorders>
            <w:gridSpan w:val="2"/>
          </w:tcPr>
          <w:p>
            <w:pPr>
              <w:jc w:val="center"/>
              <w:spacing w:after="0"/>
              <w:rPr>
                <w:sz w:val="20"/>
                <w:szCs w:val="20"/>
                <w:color w:val="auto"/>
              </w:rPr>
            </w:pPr>
            <w:r>
              <w:rPr>
                <w:rFonts w:ascii="Arial" w:cs="Arial" w:eastAsia="Arial" w:hAnsi="Arial"/>
                <w:sz w:val="14"/>
                <w:szCs w:val="14"/>
                <w:color w:val="auto"/>
                <w:w w:val="89"/>
              </w:rPr>
              <w:t>2,500,000</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5,000,000</w:t>
            </w:r>
          </w:p>
        </w:tc>
        <w:tc>
          <w:tcPr>
            <w:tcW w:w="0" w:type="dxa"/>
            <w:vAlign w:val="bottom"/>
          </w:tcPr>
          <w:p>
            <w:pPr>
              <w:spacing w:after="0"/>
              <w:rPr>
                <w:sz w:val="1"/>
                <w:szCs w:val="1"/>
                <w:color w:val="auto"/>
              </w:rPr>
            </w:pPr>
          </w:p>
        </w:tc>
      </w:tr>
      <w:tr>
        <w:trPr>
          <w:trHeight w:val="230"/>
        </w:trPr>
        <w:tc>
          <w:tcPr>
            <w:tcW w:w="1340" w:type="dxa"/>
            <w:vAlign w:val="bottom"/>
            <w:tcBorders>
              <w:left w:val="single" w:sz="8" w:color="auto"/>
              <w:right w:val="single" w:sz="8" w:color="auto"/>
            </w:tcBorders>
          </w:tcPr>
          <w:p>
            <w:pPr>
              <w:spacing w:after="0"/>
              <w:rPr>
                <w:sz w:val="19"/>
                <w:szCs w:val="19"/>
                <w:color w:val="auto"/>
              </w:rPr>
            </w:pPr>
          </w:p>
        </w:tc>
        <w:tc>
          <w:tcPr>
            <w:tcW w:w="5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9"/>
              </w:rPr>
              <w:t>2018</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12/31/2020</w:t>
            </w:r>
          </w:p>
        </w:tc>
        <w:tc>
          <w:tcPr>
            <w:tcW w:w="720" w:type="dxa"/>
            <w:vAlign w:val="bottom"/>
            <w:tcBorders>
              <w:right w:val="single" w:sz="8" w:color="auto"/>
            </w:tcBorders>
            <w:gridSpan w:val="2"/>
          </w:tcPr>
          <w:p>
            <w:pPr>
              <w:jc w:val="center"/>
              <w:spacing w:after="0"/>
              <w:rPr>
                <w:sz w:val="20"/>
                <w:szCs w:val="20"/>
                <w:color w:val="auto"/>
              </w:rPr>
            </w:pPr>
            <w:r>
              <w:rPr>
                <w:rFonts w:ascii="Arial" w:cs="Arial" w:eastAsia="Arial" w:hAnsi="Arial"/>
                <w:sz w:val="14"/>
                <w:szCs w:val="14"/>
                <w:color w:val="auto"/>
                <w:w w:val="89"/>
              </w:rPr>
              <w:t>2,500,000</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5,000,000</w:t>
            </w:r>
          </w:p>
        </w:tc>
        <w:tc>
          <w:tcPr>
            <w:tcW w:w="0" w:type="dxa"/>
            <w:vAlign w:val="bottom"/>
          </w:tcPr>
          <w:p>
            <w:pPr>
              <w:spacing w:after="0"/>
              <w:rPr>
                <w:sz w:val="1"/>
                <w:szCs w:val="1"/>
                <w:color w:val="auto"/>
              </w:rPr>
            </w:pPr>
          </w:p>
        </w:tc>
      </w:tr>
      <w:tr>
        <w:trPr>
          <w:trHeight w:val="230"/>
        </w:trPr>
        <w:tc>
          <w:tcPr>
            <w:tcW w:w="1340" w:type="dxa"/>
            <w:vAlign w:val="bottom"/>
            <w:tcBorders>
              <w:left w:val="single" w:sz="8" w:color="auto"/>
              <w:right w:val="single" w:sz="8" w:color="auto"/>
            </w:tcBorders>
          </w:tcPr>
          <w:p>
            <w:pPr>
              <w:spacing w:after="0"/>
              <w:rPr>
                <w:sz w:val="19"/>
                <w:szCs w:val="19"/>
                <w:color w:val="auto"/>
              </w:rPr>
            </w:pPr>
          </w:p>
        </w:tc>
        <w:tc>
          <w:tcPr>
            <w:tcW w:w="5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9"/>
              </w:rPr>
              <w:t>2019</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12/31/2021</w:t>
            </w:r>
          </w:p>
        </w:tc>
        <w:tc>
          <w:tcPr>
            <w:tcW w:w="720" w:type="dxa"/>
            <w:vAlign w:val="bottom"/>
            <w:tcBorders>
              <w:right w:val="single" w:sz="8" w:color="auto"/>
            </w:tcBorders>
            <w:gridSpan w:val="2"/>
          </w:tcPr>
          <w:p>
            <w:pPr>
              <w:jc w:val="center"/>
              <w:spacing w:after="0"/>
              <w:rPr>
                <w:sz w:val="20"/>
                <w:szCs w:val="20"/>
                <w:color w:val="auto"/>
              </w:rPr>
            </w:pPr>
            <w:r>
              <w:rPr>
                <w:rFonts w:ascii="Arial" w:cs="Arial" w:eastAsia="Arial" w:hAnsi="Arial"/>
                <w:sz w:val="14"/>
                <w:szCs w:val="14"/>
                <w:color w:val="auto"/>
                <w:w w:val="89"/>
              </w:rPr>
              <w:t>2,500,000</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5,000,000</w:t>
            </w:r>
          </w:p>
        </w:tc>
        <w:tc>
          <w:tcPr>
            <w:tcW w:w="0" w:type="dxa"/>
            <w:vAlign w:val="bottom"/>
          </w:tcPr>
          <w:p>
            <w:pPr>
              <w:spacing w:after="0"/>
              <w:rPr>
                <w:sz w:val="1"/>
                <w:szCs w:val="1"/>
                <w:color w:val="auto"/>
              </w:rPr>
            </w:pPr>
          </w:p>
        </w:tc>
      </w:tr>
      <w:tr>
        <w:trPr>
          <w:trHeight w:val="25"/>
        </w:trPr>
        <w:tc>
          <w:tcPr>
            <w:tcW w:w="1340" w:type="dxa"/>
            <w:vAlign w:val="bottom"/>
            <w:tcBorders>
              <w:left w:val="single" w:sz="8" w:color="auto"/>
              <w:bottom w:val="single" w:sz="8" w:color="auto"/>
              <w:right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gridSpan w:val="2"/>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13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Joseph E. (Jeff)</w:t>
            </w:r>
          </w:p>
        </w:tc>
        <w:tc>
          <w:tcPr>
            <w:tcW w:w="5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9"/>
              </w:rPr>
              <w:t>2017</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12/31/2019</w:t>
            </w:r>
          </w:p>
        </w:tc>
        <w:tc>
          <w:tcPr>
            <w:tcW w:w="720" w:type="dxa"/>
            <w:vAlign w:val="bottom"/>
            <w:tcBorders>
              <w:right w:val="single" w:sz="8" w:color="auto"/>
            </w:tcBorders>
            <w:gridSpan w:val="2"/>
          </w:tcPr>
          <w:p>
            <w:pPr>
              <w:jc w:val="center"/>
              <w:spacing w:after="0"/>
              <w:rPr>
                <w:sz w:val="20"/>
                <w:szCs w:val="20"/>
                <w:color w:val="auto"/>
              </w:rPr>
            </w:pPr>
            <w:r>
              <w:rPr>
                <w:rFonts w:ascii="Arial" w:cs="Arial" w:eastAsia="Arial" w:hAnsi="Arial"/>
                <w:sz w:val="14"/>
                <w:szCs w:val="14"/>
                <w:color w:val="auto"/>
                <w:w w:val="94"/>
              </w:rPr>
              <w:t>750,000</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1,500,000</w:t>
            </w:r>
          </w:p>
        </w:tc>
        <w:tc>
          <w:tcPr>
            <w:tcW w:w="0" w:type="dxa"/>
            <w:vAlign w:val="bottom"/>
          </w:tcPr>
          <w:p>
            <w:pPr>
              <w:spacing w:after="0"/>
              <w:rPr>
                <w:sz w:val="1"/>
                <w:szCs w:val="1"/>
                <w:color w:val="auto"/>
              </w:rPr>
            </w:pPr>
          </w:p>
        </w:tc>
      </w:tr>
      <w:tr>
        <w:trPr>
          <w:trHeight w:val="182"/>
        </w:trPr>
        <w:tc>
          <w:tcPr>
            <w:tcW w:w="13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Consolino</w:t>
            </w:r>
          </w:p>
        </w:tc>
        <w:tc>
          <w:tcPr>
            <w:tcW w:w="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89"/>
              </w:rPr>
              <w:t>2018</w:t>
            </w:r>
          </w:p>
        </w:tc>
        <w:tc>
          <w:tcPr>
            <w:tcW w:w="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4"/>
              </w:rPr>
              <w:t>12/31/2020</w:t>
            </w:r>
          </w:p>
        </w:tc>
        <w:tc>
          <w:tcPr>
            <w:tcW w:w="72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4"/>
                <w:szCs w:val="14"/>
                <w:color w:val="auto"/>
                <w:w w:val="94"/>
              </w:rPr>
              <w:t>800,000</w:t>
            </w: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3"/>
              </w:rPr>
              <w:t>1,600,000</w:t>
            </w:r>
          </w:p>
        </w:tc>
        <w:tc>
          <w:tcPr>
            <w:tcW w:w="0" w:type="dxa"/>
            <w:vAlign w:val="bottom"/>
          </w:tcPr>
          <w:p>
            <w:pPr>
              <w:spacing w:after="0"/>
              <w:rPr>
                <w:sz w:val="1"/>
                <w:szCs w:val="1"/>
                <w:color w:val="auto"/>
              </w:rPr>
            </w:pPr>
          </w:p>
        </w:tc>
      </w:tr>
      <w:tr>
        <w:trPr>
          <w:trHeight w:val="81"/>
        </w:trPr>
        <w:tc>
          <w:tcPr>
            <w:tcW w:w="1340" w:type="dxa"/>
            <w:vAlign w:val="bottom"/>
            <w:tcBorders>
              <w:left w:val="single" w:sz="8" w:color="auto"/>
              <w:right w:val="single" w:sz="8" w:color="auto"/>
            </w:tcBorders>
          </w:tcPr>
          <w:p>
            <w:pPr>
              <w:spacing w:after="0"/>
              <w:rPr>
                <w:sz w:val="7"/>
                <w:szCs w:val="7"/>
                <w:color w:val="auto"/>
              </w:rPr>
            </w:pPr>
          </w:p>
        </w:tc>
        <w:tc>
          <w:tcPr>
            <w:tcW w:w="520" w:type="dxa"/>
            <w:vAlign w:val="bottom"/>
            <w:tcBorders>
              <w:right w:val="single" w:sz="8" w:color="auto"/>
            </w:tcBorders>
            <w:vMerge w:val="continue"/>
          </w:tcPr>
          <w:p>
            <w:pPr>
              <w:spacing w:after="0"/>
              <w:rPr>
                <w:sz w:val="7"/>
                <w:szCs w:val="7"/>
                <w:color w:val="auto"/>
              </w:rPr>
            </w:pPr>
          </w:p>
        </w:tc>
        <w:tc>
          <w:tcPr>
            <w:tcW w:w="960" w:type="dxa"/>
            <w:vAlign w:val="bottom"/>
            <w:tcBorders>
              <w:right w:val="single" w:sz="8" w:color="auto"/>
            </w:tcBorders>
            <w:vMerge w:val="continue"/>
          </w:tcPr>
          <w:p>
            <w:pPr>
              <w:spacing w:after="0"/>
              <w:rPr>
                <w:sz w:val="7"/>
                <w:szCs w:val="7"/>
                <w:color w:val="auto"/>
              </w:rPr>
            </w:pPr>
          </w:p>
        </w:tc>
        <w:tc>
          <w:tcPr>
            <w:tcW w:w="720" w:type="dxa"/>
            <w:vAlign w:val="bottom"/>
            <w:tcBorders>
              <w:right w:val="single" w:sz="8" w:color="auto"/>
            </w:tcBorders>
            <w:gridSpan w:val="2"/>
            <w:vMerge w:val="continue"/>
          </w:tcPr>
          <w:p>
            <w:pPr>
              <w:spacing w:after="0"/>
              <w:rPr>
                <w:sz w:val="7"/>
                <w:szCs w:val="7"/>
                <w:color w:val="auto"/>
              </w:rPr>
            </w:pPr>
          </w:p>
        </w:tc>
        <w:tc>
          <w:tcPr>
            <w:tcW w:w="7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1340" w:type="dxa"/>
            <w:vAlign w:val="bottom"/>
            <w:tcBorders>
              <w:left w:val="single" w:sz="8" w:color="auto"/>
              <w:right w:val="single" w:sz="8" w:color="auto"/>
            </w:tcBorders>
          </w:tcPr>
          <w:p>
            <w:pPr>
              <w:spacing w:after="0"/>
              <w:rPr>
                <w:sz w:val="19"/>
                <w:szCs w:val="19"/>
                <w:color w:val="auto"/>
              </w:rPr>
            </w:pPr>
          </w:p>
        </w:tc>
        <w:tc>
          <w:tcPr>
            <w:tcW w:w="5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9"/>
              </w:rPr>
              <w:t>2019</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12/31/2021</w:t>
            </w:r>
          </w:p>
        </w:tc>
        <w:tc>
          <w:tcPr>
            <w:tcW w:w="720" w:type="dxa"/>
            <w:vAlign w:val="bottom"/>
            <w:tcBorders>
              <w:right w:val="single" w:sz="8" w:color="auto"/>
            </w:tcBorders>
            <w:gridSpan w:val="2"/>
          </w:tcPr>
          <w:p>
            <w:pPr>
              <w:jc w:val="center"/>
              <w:spacing w:after="0"/>
              <w:rPr>
                <w:sz w:val="20"/>
                <w:szCs w:val="20"/>
                <w:color w:val="auto"/>
              </w:rPr>
            </w:pPr>
            <w:r>
              <w:rPr>
                <w:rFonts w:ascii="Arial" w:cs="Arial" w:eastAsia="Arial" w:hAnsi="Arial"/>
                <w:sz w:val="14"/>
                <w:szCs w:val="14"/>
                <w:color w:val="auto"/>
                <w:w w:val="94"/>
              </w:rPr>
              <w:t>800,000</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1,600,000</w:t>
            </w:r>
          </w:p>
        </w:tc>
        <w:tc>
          <w:tcPr>
            <w:tcW w:w="0" w:type="dxa"/>
            <w:vAlign w:val="bottom"/>
          </w:tcPr>
          <w:p>
            <w:pPr>
              <w:spacing w:after="0"/>
              <w:rPr>
                <w:sz w:val="1"/>
                <w:szCs w:val="1"/>
                <w:color w:val="auto"/>
              </w:rPr>
            </w:pPr>
          </w:p>
        </w:tc>
      </w:tr>
      <w:tr>
        <w:trPr>
          <w:trHeight w:val="25"/>
        </w:trPr>
        <w:tc>
          <w:tcPr>
            <w:tcW w:w="1340" w:type="dxa"/>
            <w:vAlign w:val="bottom"/>
            <w:tcBorders>
              <w:left w:val="single" w:sz="8" w:color="auto"/>
              <w:bottom w:val="single" w:sz="8" w:color="auto"/>
              <w:right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gridSpan w:val="2"/>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13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John B. Berding</w:t>
            </w:r>
          </w:p>
        </w:tc>
        <w:tc>
          <w:tcPr>
            <w:tcW w:w="5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9"/>
              </w:rPr>
              <w:t>2017</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12/31/2019</w:t>
            </w:r>
          </w:p>
        </w:tc>
        <w:tc>
          <w:tcPr>
            <w:tcW w:w="720" w:type="dxa"/>
            <w:vAlign w:val="bottom"/>
            <w:tcBorders>
              <w:right w:val="single" w:sz="8" w:color="auto"/>
            </w:tcBorders>
            <w:gridSpan w:val="2"/>
          </w:tcPr>
          <w:p>
            <w:pPr>
              <w:jc w:val="center"/>
              <w:spacing w:after="0"/>
              <w:rPr>
                <w:sz w:val="20"/>
                <w:szCs w:val="20"/>
                <w:color w:val="auto"/>
              </w:rPr>
            </w:pPr>
            <w:r>
              <w:rPr>
                <w:rFonts w:ascii="Arial" w:cs="Arial" w:eastAsia="Arial" w:hAnsi="Arial"/>
                <w:sz w:val="14"/>
                <w:szCs w:val="14"/>
                <w:color w:val="auto"/>
                <w:w w:val="94"/>
              </w:rPr>
              <w:t>750,000</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1,500,000</w:t>
            </w:r>
          </w:p>
        </w:tc>
        <w:tc>
          <w:tcPr>
            <w:tcW w:w="0" w:type="dxa"/>
            <w:vAlign w:val="bottom"/>
          </w:tcPr>
          <w:p>
            <w:pPr>
              <w:spacing w:after="0"/>
              <w:rPr>
                <w:sz w:val="1"/>
                <w:szCs w:val="1"/>
                <w:color w:val="auto"/>
              </w:rPr>
            </w:pPr>
          </w:p>
        </w:tc>
      </w:tr>
      <w:tr>
        <w:trPr>
          <w:trHeight w:val="230"/>
        </w:trPr>
        <w:tc>
          <w:tcPr>
            <w:tcW w:w="1340" w:type="dxa"/>
            <w:vAlign w:val="bottom"/>
            <w:tcBorders>
              <w:left w:val="single" w:sz="8" w:color="auto"/>
              <w:right w:val="single" w:sz="8" w:color="auto"/>
            </w:tcBorders>
          </w:tcPr>
          <w:p>
            <w:pPr>
              <w:spacing w:after="0"/>
              <w:rPr>
                <w:sz w:val="19"/>
                <w:szCs w:val="19"/>
                <w:color w:val="auto"/>
              </w:rPr>
            </w:pPr>
          </w:p>
        </w:tc>
        <w:tc>
          <w:tcPr>
            <w:tcW w:w="5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9"/>
              </w:rPr>
              <w:t>2018</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12/31/2020</w:t>
            </w:r>
          </w:p>
        </w:tc>
        <w:tc>
          <w:tcPr>
            <w:tcW w:w="720" w:type="dxa"/>
            <w:vAlign w:val="bottom"/>
            <w:tcBorders>
              <w:right w:val="single" w:sz="8" w:color="auto"/>
            </w:tcBorders>
            <w:gridSpan w:val="2"/>
          </w:tcPr>
          <w:p>
            <w:pPr>
              <w:jc w:val="center"/>
              <w:spacing w:after="0"/>
              <w:rPr>
                <w:sz w:val="20"/>
                <w:szCs w:val="20"/>
                <w:color w:val="auto"/>
              </w:rPr>
            </w:pPr>
            <w:r>
              <w:rPr>
                <w:rFonts w:ascii="Arial" w:cs="Arial" w:eastAsia="Arial" w:hAnsi="Arial"/>
                <w:sz w:val="14"/>
                <w:szCs w:val="14"/>
                <w:color w:val="auto"/>
                <w:w w:val="94"/>
              </w:rPr>
              <w:t>800,000</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1,600,000</w:t>
            </w:r>
          </w:p>
        </w:tc>
        <w:tc>
          <w:tcPr>
            <w:tcW w:w="0" w:type="dxa"/>
            <w:vAlign w:val="bottom"/>
          </w:tcPr>
          <w:p>
            <w:pPr>
              <w:spacing w:after="0"/>
              <w:rPr>
                <w:sz w:val="1"/>
                <w:szCs w:val="1"/>
                <w:color w:val="auto"/>
              </w:rPr>
            </w:pPr>
          </w:p>
        </w:tc>
      </w:tr>
      <w:tr>
        <w:trPr>
          <w:trHeight w:val="215"/>
        </w:trPr>
        <w:tc>
          <w:tcPr>
            <w:tcW w:w="1340" w:type="dxa"/>
            <w:vAlign w:val="bottom"/>
            <w:tcBorders>
              <w:left w:val="single" w:sz="8" w:color="auto"/>
              <w:bottom w:val="single" w:sz="8" w:color="auto"/>
              <w:right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9"/>
              </w:rPr>
              <w:t>2019</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12/31/2021</w:t>
            </w:r>
          </w:p>
        </w:tc>
        <w:tc>
          <w:tcPr>
            <w:tcW w:w="72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4"/>
                <w:szCs w:val="14"/>
                <w:color w:val="auto"/>
                <w:w w:val="94"/>
              </w:rPr>
              <w:t>800,000</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1,600,000</w:t>
            </w:r>
          </w:p>
        </w:tc>
        <w:tc>
          <w:tcPr>
            <w:tcW w:w="0" w:type="dxa"/>
            <w:vAlign w:val="bottom"/>
          </w:tcPr>
          <w:p>
            <w:pPr>
              <w:spacing w:after="0"/>
              <w:rPr>
                <w:sz w:val="1"/>
                <w:szCs w:val="1"/>
                <w:color w:val="auto"/>
              </w:rPr>
            </w:pPr>
          </w:p>
        </w:tc>
      </w:tr>
    </w:tbl>
    <w:p>
      <w:pPr>
        <w:spacing w:after="0" w:line="2562" w:lineRule="exact"/>
        <w:rPr>
          <w:sz w:val="20"/>
          <w:szCs w:val="20"/>
          <w:color w:val="auto"/>
        </w:rPr>
      </w:pPr>
    </w:p>
    <w:p>
      <w:pPr>
        <w:sectPr>
          <w:pgSz w:w="11900" w:h="16838" w:orient="portrait"/>
          <w:cols w:equalWidth="0" w:num="2">
            <w:col w:w="5400" w:space="440"/>
            <w:col w:w="4320"/>
          </w:cols>
          <w:pgMar w:left="320" w:top="265" w:right="1419" w:bottom="1440" w:gutter="0" w:footer="0" w:header="0"/>
          <w:type w:val="continuous"/>
        </w:sectPr>
      </w:pPr>
    </w:p>
    <w:p>
      <w:pPr>
        <w:spacing w:after="0" w:line="100" w:lineRule="exact"/>
        <w:rPr>
          <w:sz w:val="20"/>
          <w:szCs w:val="20"/>
          <w:color w:val="auto"/>
        </w:rPr>
      </w:pPr>
    </w:p>
    <w:p>
      <w:pPr>
        <w:ind w:left="1160"/>
        <w:spacing w:after="0"/>
        <w:tabs>
          <w:tab w:leader="none" w:pos="9960" w:val="left"/>
        </w:tabs>
        <w:rPr>
          <w:sz w:val="20"/>
          <w:szCs w:val="20"/>
          <w:color w:val="auto"/>
        </w:rPr>
      </w:pPr>
      <w:r>
        <w:rPr>
          <w:rFonts w:ascii="Arial" w:cs="Arial" w:eastAsia="Arial" w:hAnsi="Arial"/>
          <w:sz w:val="16"/>
          <w:szCs w:val="16"/>
          <w:color w:val="auto"/>
        </w:rPr>
        <w:t>2020 Proxy Statement | Compensation Discussion and Analysis</w:t>
      </w:r>
      <w:r>
        <w:rPr>
          <w:sz w:val="20"/>
          <w:szCs w:val="20"/>
          <w:color w:val="auto"/>
        </w:rPr>
        <w:tab/>
      </w: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137795</wp:posOffset>
            </wp:positionV>
            <wp:extent cx="699516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160"/>
          </w:cols>
          <w:pgMar w:left="320" w:top="265" w:right="1419" w:bottom="1440" w:gutter="0" w:footer="0" w:header="0"/>
          <w:type w:val="continuous"/>
        </w:sectPr>
      </w:pPr>
    </w:p>
    <w:bookmarkStart w:id="39" w:name="page40"/>
    <w:bookmarkEnd w:id="39"/>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6515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651510"/>
                    </a:xfrm>
                    <a:prstGeom prst="rect">
                      <a:avLst/>
                    </a:prstGeom>
                    <a:noFill/>
                  </pic:spPr>
                </pic:pic>
              </a:graphicData>
            </a:graphic>
          </wp:anchor>
        </w:drawing>
      </w:r>
    </w:p>
    <w:p>
      <w:pPr>
        <w:sectPr>
          <w:pgSz w:w="11900" w:h="16838" w:orient="portrait"/>
          <w:cols w:equalWidth="0" w:num="1">
            <w:col w:w="10140"/>
          </w:cols>
          <w:pgMar w:left="320" w:top="265" w:right="1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080" w:right="320"/>
        <w:spacing w:after="0" w:line="279" w:lineRule="auto"/>
        <w:rPr>
          <w:sz w:val="20"/>
          <w:szCs w:val="20"/>
          <w:color w:val="auto"/>
        </w:rPr>
      </w:pPr>
      <w:r>
        <w:rPr>
          <w:rFonts w:ascii="Arial" w:cs="Arial" w:eastAsia="Arial" w:hAnsi="Arial"/>
          <w:sz w:val="17"/>
          <w:szCs w:val="17"/>
          <w:color w:val="auto"/>
        </w:rPr>
        <w:t>The following table shows the performance targets established to earn the minimum and maximum awards under the Senior Executive LTIC for the performance periods ending 2019, 2020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109220</wp:posOffset>
            </wp:positionV>
            <wp:extent cx="2743200" cy="26657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743200" cy="2665730"/>
                    </a:xfrm>
                    <a:prstGeom prst="rect">
                      <a:avLst/>
                    </a:prstGeom>
                    <a:noFill/>
                  </pic:spPr>
                </pic:pic>
              </a:graphicData>
            </a:graphic>
          </wp:anchor>
        </w:drawing>
      </w:r>
    </w:p>
    <w:p>
      <w:pPr>
        <w:spacing w:after="0" w:line="132" w:lineRule="exact"/>
        <w:rPr>
          <w:sz w:val="20"/>
          <w:szCs w:val="20"/>
          <w:color w:val="auto"/>
        </w:rPr>
      </w:pPr>
    </w:p>
    <w:tbl>
      <w:tblPr>
        <w:tblLayout w:type="fixed"/>
        <w:tblInd w:w="1080" w:type="dxa"/>
        <w:tblCellMar>
          <w:top w:w="0" w:type="dxa"/>
          <w:left w:w="0" w:type="dxa"/>
          <w:bottom w:w="0" w:type="dxa"/>
          <w:right w:w="0" w:type="dxa"/>
        </w:tblCellMar>
      </w:tblPr>
      <w:tr>
        <w:trPr>
          <w:trHeight w:val="558"/>
        </w:trPr>
        <w:tc>
          <w:tcPr>
            <w:tcW w:w="1340" w:type="dxa"/>
            <w:vAlign w:val="bottom"/>
            <w:tcBorders>
              <w:top w:val="single" w:sz="8" w:color="auto"/>
              <w:bottom w:val="single" w:sz="8" w:color="BFBFBF"/>
              <w:right w:val="single" w:sz="8" w:color="auto"/>
            </w:tcBorders>
            <w:shd w:val="clear" w:color="auto" w:fill="BFBFBF"/>
          </w:tcPr>
          <w:p>
            <w:pPr>
              <w:spacing w:after="0"/>
              <w:rPr>
                <w:sz w:val="24"/>
                <w:szCs w:val="24"/>
                <w:color w:val="auto"/>
              </w:rPr>
            </w:pPr>
          </w:p>
        </w:tc>
        <w:tc>
          <w:tcPr>
            <w:tcW w:w="2980" w:type="dxa"/>
            <w:vAlign w:val="bottom"/>
            <w:tcBorders>
              <w:top w:val="single" w:sz="8" w:color="auto"/>
              <w:bottom w:val="single" w:sz="8" w:color="BFBFBF"/>
            </w:tcBorders>
            <w:gridSpan w:val="4"/>
            <w:shd w:val="clear" w:color="auto" w:fill="BFBFBF"/>
          </w:tcPr>
          <w:p>
            <w:pPr>
              <w:ind w:left="640"/>
              <w:spacing w:after="0"/>
              <w:rPr>
                <w:sz w:val="20"/>
                <w:szCs w:val="20"/>
                <w:color w:val="auto"/>
              </w:rPr>
            </w:pPr>
            <w:r>
              <w:rPr>
                <w:rFonts w:ascii="Arial" w:cs="Arial" w:eastAsia="Arial" w:hAnsi="Arial"/>
                <w:sz w:val="13"/>
                <w:szCs w:val="13"/>
                <w:b w:val="1"/>
                <w:bCs w:val="1"/>
                <w:color w:val="auto"/>
              </w:rPr>
              <w:t>Calculation of Bonus Amount</w:t>
            </w:r>
          </w:p>
        </w:tc>
        <w:tc>
          <w:tcPr>
            <w:tcW w:w="0" w:type="dxa"/>
            <w:vAlign w:val="bottom"/>
          </w:tcPr>
          <w:p>
            <w:pPr>
              <w:spacing w:after="0"/>
              <w:rPr>
                <w:sz w:val="1"/>
                <w:szCs w:val="1"/>
                <w:color w:val="auto"/>
              </w:rPr>
            </w:pPr>
          </w:p>
        </w:tc>
      </w:tr>
      <w:tr>
        <w:trPr>
          <w:trHeight w:val="156"/>
        </w:trPr>
        <w:tc>
          <w:tcPr>
            <w:tcW w:w="1340" w:type="dxa"/>
            <w:vAlign w:val="bottom"/>
            <w:tcBorders>
              <w:top w:val="single" w:sz="8" w:color="BFBFBF"/>
              <w:right w:val="single" w:sz="8" w:color="auto"/>
            </w:tcBorders>
            <w:vMerge w:val="restart"/>
            <w:shd w:val="clear" w:color="auto" w:fill="BFBFBF"/>
          </w:tcPr>
          <w:p>
            <w:pPr>
              <w:jc w:val="center"/>
              <w:spacing w:after="0"/>
              <w:rPr>
                <w:sz w:val="20"/>
                <w:szCs w:val="20"/>
                <w:color w:val="auto"/>
              </w:rPr>
            </w:pPr>
            <w:r>
              <w:rPr>
                <w:rFonts w:ascii="Arial" w:cs="Arial" w:eastAsia="Arial" w:hAnsi="Arial"/>
                <w:sz w:val="13"/>
                <w:szCs w:val="13"/>
                <w:b w:val="1"/>
                <w:bCs w:val="1"/>
                <w:color w:val="auto"/>
                <w:w w:val="94"/>
              </w:rPr>
              <w:t>Three-Year</w:t>
            </w:r>
          </w:p>
        </w:tc>
        <w:tc>
          <w:tcPr>
            <w:tcW w:w="1540" w:type="dxa"/>
            <w:vAlign w:val="bottom"/>
            <w:tcBorders>
              <w:top w:val="single" w:sz="8" w:color="auto"/>
              <w:right w:val="single" w:sz="8" w:color="auto"/>
            </w:tcBorders>
            <w:gridSpan w:val="2"/>
            <w:shd w:val="clear" w:color="auto" w:fill="BFBFBF"/>
          </w:tcPr>
          <w:p>
            <w:pPr>
              <w:jc w:val="center"/>
              <w:ind w:right="13"/>
              <w:spacing w:after="0"/>
              <w:rPr>
                <w:sz w:val="20"/>
                <w:szCs w:val="20"/>
                <w:color w:val="auto"/>
              </w:rPr>
            </w:pPr>
            <w:r>
              <w:rPr>
                <w:rFonts w:ascii="Arial" w:cs="Arial" w:eastAsia="Arial" w:hAnsi="Arial"/>
                <w:sz w:val="13"/>
                <w:szCs w:val="13"/>
                <w:b w:val="1"/>
                <w:bCs w:val="1"/>
                <w:color w:val="auto"/>
                <w:w w:val="96"/>
              </w:rPr>
              <w:t>Growth in Book Value</w:t>
            </w:r>
          </w:p>
        </w:tc>
        <w:tc>
          <w:tcPr>
            <w:tcW w:w="1440" w:type="dxa"/>
            <w:vAlign w:val="bottom"/>
            <w:tcBorders>
              <w:top w:val="single" w:sz="8" w:color="auto"/>
            </w:tcBorders>
            <w:gridSpan w:val="2"/>
            <w:vMerge w:val="restart"/>
            <w:shd w:val="clear" w:color="auto" w:fill="BFBFBF"/>
          </w:tcPr>
          <w:p>
            <w:pPr>
              <w:ind w:left="140"/>
              <w:spacing w:after="0"/>
              <w:rPr>
                <w:sz w:val="20"/>
                <w:szCs w:val="20"/>
                <w:color w:val="auto"/>
              </w:rPr>
            </w:pPr>
            <w:r>
              <w:rPr>
                <w:rFonts w:ascii="Arial" w:cs="Arial" w:eastAsia="Arial" w:hAnsi="Arial"/>
                <w:sz w:val="13"/>
                <w:szCs w:val="13"/>
                <w:b w:val="1"/>
                <w:bCs w:val="1"/>
                <w:color w:val="auto"/>
              </w:rPr>
              <w:t>Return on Equity</w:t>
            </w:r>
            <w:r>
              <w:rPr>
                <w:rFonts w:ascii="Arial" w:cs="Arial" w:eastAsia="Arial" w:hAnsi="Arial"/>
                <w:sz w:val="22"/>
                <w:szCs w:val="22"/>
                <w:b w:val="1"/>
                <w:bCs w:val="1"/>
                <w:color w:val="auto"/>
                <w:vertAlign w:val="superscript"/>
              </w:rPr>
              <w:t>(2)</w:t>
            </w:r>
          </w:p>
        </w:tc>
        <w:tc>
          <w:tcPr>
            <w:tcW w:w="0" w:type="dxa"/>
            <w:vAlign w:val="bottom"/>
          </w:tcPr>
          <w:p>
            <w:pPr>
              <w:spacing w:after="0"/>
              <w:rPr>
                <w:sz w:val="1"/>
                <w:szCs w:val="1"/>
                <w:color w:val="auto"/>
              </w:rPr>
            </w:pPr>
          </w:p>
        </w:tc>
      </w:tr>
      <w:tr>
        <w:trPr>
          <w:trHeight w:val="148"/>
        </w:trPr>
        <w:tc>
          <w:tcPr>
            <w:tcW w:w="1340" w:type="dxa"/>
            <w:vAlign w:val="bottom"/>
            <w:tcBorders>
              <w:right w:val="single" w:sz="8" w:color="auto"/>
            </w:tcBorders>
            <w:vMerge w:val="continue"/>
            <w:shd w:val="clear" w:color="auto" w:fill="BFBFBF"/>
          </w:tcPr>
          <w:p>
            <w:pPr>
              <w:spacing w:after="0"/>
              <w:rPr>
                <w:sz w:val="12"/>
                <w:szCs w:val="12"/>
                <w:color w:val="auto"/>
              </w:rPr>
            </w:pPr>
          </w:p>
        </w:tc>
        <w:tc>
          <w:tcPr>
            <w:tcW w:w="1540" w:type="dxa"/>
            <w:vAlign w:val="bottom"/>
            <w:tcBorders>
              <w:right w:val="single" w:sz="8" w:color="auto"/>
            </w:tcBorders>
            <w:gridSpan w:val="2"/>
            <w:shd w:val="clear" w:color="auto" w:fill="BFBFBF"/>
          </w:tcPr>
          <w:p>
            <w:pPr>
              <w:jc w:val="center"/>
              <w:spacing w:after="0" w:line="149" w:lineRule="exact"/>
              <w:rPr>
                <w:sz w:val="20"/>
                <w:szCs w:val="20"/>
                <w:color w:val="auto"/>
              </w:rPr>
            </w:pPr>
            <w:r>
              <w:rPr>
                <w:rFonts w:ascii="Arial" w:cs="Arial" w:eastAsia="Arial" w:hAnsi="Arial"/>
                <w:sz w:val="11"/>
                <w:szCs w:val="11"/>
                <w:b w:val="1"/>
                <w:bCs w:val="1"/>
                <w:color w:val="auto"/>
              </w:rPr>
              <w:t xml:space="preserve">Per Share </w:t>
            </w:r>
            <w:r>
              <w:rPr>
                <w:rFonts w:ascii="Arial" w:cs="Arial" w:eastAsia="Arial" w:hAnsi="Arial"/>
                <w:sz w:val="17"/>
                <w:szCs w:val="17"/>
                <w:b w:val="1"/>
                <w:bCs w:val="1"/>
                <w:color w:val="auto"/>
                <w:vertAlign w:val="superscript"/>
              </w:rPr>
              <w:t>(1)</w:t>
            </w:r>
          </w:p>
        </w:tc>
        <w:tc>
          <w:tcPr>
            <w:tcW w:w="1440" w:type="dxa"/>
            <w:vAlign w:val="bottom"/>
            <w:gridSpan w:val="2"/>
            <w:vMerge w:val="continue"/>
            <w:shd w:val="clear" w:color="auto" w:fill="BFBFBF"/>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1340" w:type="dxa"/>
            <w:vAlign w:val="bottom"/>
            <w:tcBorders>
              <w:bottom w:val="single" w:sz="8" w:color="BFBFBF"/>
              <w:right w:val="single" w:sz="8" w:color="auto"/>
            </w:tcBorders>
            <w:shd w:val="clear" w:color="auto" w:fill="BFBFBF"/>
          </w:tcPr>
          <w:p>
            <w:pPr>
              <w:jc w:val="center"/>
              <w:spacing w:after="0" w:line="89" w:lineRule="exact"/>
              <w:rPr>
                <w:sz w:val="20"/>
                <w:szCs w:val="20"/>
                <w:color w:val="auto"/>
              </w:rPr>
            </w:pPr>
            <w:r>
              <w:rPr>
                <w:rFonts w:ascii="Arial" w:cs="Arial" w:eastAsia="Arial" w:hAnsi="Arial"/>
                <w:sz w:val="10"/>
                <w:szCs w:val="10"/>
                <w:b w:val="1"/>
                <w:bCs w:val="1"/>
                <w:color w:val="auto"/>
              </w:rPr>
              <w:t>Performance</w:t>
            </w:r>
          </w:p>
        </w:tc>
        <w:tc>
          <w:tcPr>
            <w:tcW w:w="760" w:type="dxa"/>
            <w:vAlign w:val="bottom"/>
            <w:tcBorders>
              <w:bottom w:val="single" w:sz="8" w:color="auto"/>
              <w:right w:val="single" w:sz="8" w:color="BFBFBF"/>
            </w:tcBorders>
            <w:shd w:val="clear" w:color="auto" w:fill="BFBFBF"/>
          </w:tcPr>
          <w:p>
            <w:pPr>
              <w:spacing w:after="0"/>
              <w:rPr>
                <w:sz w:val="7"/>
                <w:szCs w:val="7"/>
                <w:color w:val="auto"/>
              </w:rPr>
            </w:pPr>
          </w:p>
        </w:tc>
        <w:tc>
          <w:tcPr>
            <w:tcW w:w="780" w:type="dxa"/>
            <w:vAlign w:val="bottom"/>
            <w:tcBorders>
              <w:bottom w:val="single" w:sz="8" w:color="auto"/>
              <w:right w:val="single" w:sz="8" w:color="auto"/>
            </w:tcBorders>
            <w:shd w:val="clear" w:color="auto" w:fill="BFBFBF"/>
          </w:tcPr>
          <w:p>
            <w:pPr>
              <w:spacing w:after="0"/>
              <w:rPr>
                <w:sz w:val="7"/>
                <w:szCs w:val="7"/>
                <w:color w:val="auto"/>
              </w:rPr>
            </w:pPr>
          </w:p>
        </w:tc>
        <w:tc>
          <w:tcPr>
            <w:tcW w:w="720" w:type="dxa"/>
            <w:vAlign w:val="bottom"/>
            <w:tcBorders>
              <w:bottom w:val="single" w:sz="8" w:color="auto"/>
              <w:right w:val="single" w:sz="8" w:color="BFBFBF"/>
            </w:tcBorders>
            <w:shd w:val="clear" w:color="auto" w:fill="BFBFBF"/>
          </w:tcPr>
          <w:p>
            <w:pPr>
              <w:spacing w:after="0"/>
              <w:rPr>
                <w:sz w:val="7"/>
                <w:szCs w:val="7"/>
                <w:color w:val="auto"/>
              </w:rPr>
            </w:pPr>
          </w:p>
        </w:tc>
        <w:tc>
          <w:tcPr>
            <w:tcW w:w="720" w:type="dxa"/>
            <w:vAlign w:val="bottom"/>
            <w:tcBorders>
              <w:bottom w:val="single" w:sz="8" w:color="auto"/>
            </w:tcBorders>
            <w:shd w:val="clear" w:color="auto" w:fill="BFBFBF"/>
          </w:tcPr>
          <w:p>
            <w:pPr>
              <w:spacing w:after="0"/>
              <w:rPr>
                <w:sz w:val="7"/>
                <w:szCs w:val="7"/>
                <w:color w:val="auto"/>
              </w:rPr>
            </w:pPr>
          </w:p>
        </w:tc>
        <w:tc>
          <w:tcPr>
            <w:tcW w:w="0" w:type="dxa"/>
            <w:vAlign w:val="bottom"/>
          </w:tcPr>
          <w:p>
            <w:pPr>
              <w:spacing w:after="0"/>
              <w:rPr>
                <w:sz w:val="1"/>
                <w:szCs w:val="1"/>
                <w:color w:val="auto"/>
              </w:rPr>
            </w:pPr>
          </w:p>
        </w:tc>
      </w:tr>
      <w:tr>
        <w:trPr>
          <w:trHeight w:val="207"/>
        </w:trPr>
        <w:tc>
          <w:tcPr>
            <w:tcW w:w="1340" w:type="dxa"/>
            <w:vAlign w:val="bottom"/>
            <w:tcBorders>
              <w:top w:val="single" w:sz="8" w:color="BFBFBF"/>
              <w:bottom w:val="single" w:sz="8" w:color="BFBFBF"/>
              <w:right w:val="single" w:sz="8" w:color="auto"/>
            </w:tcBorders>
            <w:shd w:val="clear" w:color="auto" w:fill="BFBFBF"/>
          </w:tcPr>
          <w:p>
            <w:pPr>
              <w:jc w:val="center"/>
              <w:spacing w:after="0"/>
              <w:rPr>
                <w:sz w:val="20"/>
                <w:szCs w:val="20"/>
                <w:color w:val="auto"/>
              </w:rPr>
            </w:pPr>
            <w:r>
              <w:rPr>
                <w:rFonts w:ascii="Arial" w:cs="Arial" w:eastAsia="Arial" w:hAnsi="Arial"/>
                <w:sz w:val="13"/>
                <w:szCs w:val="13"/>
                <w:b w:val="1"/>
                <w:bCs w:val="1"/>
                <w:color w:val="auto"/>
                <w:w w:val="95"/>
              </w:rPr>
              <w:t>Period Ending</w:t>
            </w:r>
          </w:p>
        </w:tc>
        <w:tc>
          <w:tcPr>
            <w:tcW w:w="760" w:type="dxa"/>
            <w:vAlign w:val="bottom"/>
            <w:tcBorders>
              <w:top w:val="single" w:sz="8" w:color="BFBFBF"/>
              <w:bottom w:val="single" w:sz="8" w:color="BFBFBF"/>
              <w:right w:val="single" w:sz="8" w:color="auto"/>
            </w:tcBorders>
            <w:shd w:val="clear" w:color="auto" w:fill="BFBFBF"/>
          </w:tcPr>
          <w:p>
            <w:pPr>
              <w:jc w:val="center"/>
              <w:spacing w:after="0"/>
              <w:rPr>
                <w:sz w:val="20"/>
                <w:szCs w:val="20"/>
                <w:color w:val="auto"/>
              </w:rPr>
            </w:pPr>
            <w:r>
              <w:rPr>
                <w:rFonts w:ascii="Arial" w:cs="Arial" w:eastAsia="Arial" w:hAnsi="Arial"/>
                <w:sz w:val="13"/>
                <w:szCs w:val="13"/>
                <w:b w:val="1"/>
                <w:bCs w:val="1"/>
                <w:color w:val="auto"/>
              </w:rPr>
              <w:t>Minimum</w:t>
            </w:r>
          </w:p>
        </w:tc>
        <w:tc>
          <w:tcPr>
            <w:tcW w:w="780" w:type="dxa"/>
            <w:vAlign w:val="bottom"/>
            <w:tcBorders>
              <w:top w:val="single" w:sz="8" w:color="BFBFBF"/>
              <w:bottom w:val="single" w:sz="8" w:color="BFBFBF"/>
              <w:right w:val="single" w:sz="8" w:color="auto"/>
            </w:tcBorders>
            <w:shd w:val="clear" w:color="auto" w:fill="BFBFBF"/>
          </w:tcPr>
          <w:p>
            <w:pPr>
              <w:jc w:val="center"/>
              <w:spacing w:after="0"/>
              <w:rPr>
                <w:sz w:val="20"/>
                <w:szCs w:val="20"/>
                <w:color w:val="auto"/>
              </w:rPr>
            </w:pPr>
            <w:r>
              <w:rPr>
                <w:rFonts w:ascii="Arial" w:cs="Arial" w:eastAsia="Arial" w:hAnsi="Arial"/>
                <w:sz w:val="13"/>
                <w:szCs w:val="13"/>
                <w:b w:val="1"/>
                <w:bCs w:val="1"/>
                <w:color w:val="auto"/>
                <w:w w:val="99"/>
              </w:rPr>
              <w:t>Maximum</w:t>
            </w:r>
          </w:p>
        </w:tc>
        <w:tc>
          <w:tcPr>
            <w:tcW w:w="720" w:type="dxa"/>
            <w:vAlign w:val="bottom"/>
            <w:tcBorders>
              <w:top w:val="single" w:sz="8" w:color="BFBFBF"/>
              <w:bottom w:val="single" w:sz="8" w:color="BFBFBF"/>
              <w:right w:val="single" w:sz="8" w:color="auto"/>
            </w:tcBorders>
            <w:shd w:val="clear" w:color="auto" w:fill="BFBFBF"/>
          </w:tcPr>
          <w:p>
            <w:pPr>
              <w:ind w:left="60"/>
              <w:spacing w:after="0"/>
              <w:rPr>
                <w:sz w:val="20"/>
                <w:szCs w:val="20"/>
                <w:color w:val="auto"/>
              </w:rPr>
            </w:pPr>
            <w:r>
              <w:rPr>
                <w:rFonts w:ascii="Arial" w:cs="Arial" w:eastAsia="Arial" w:hAnsi="Arial"/>
                <w:sz w:val="13"/>
                <w:szCs w:val="13"/>
                <w:b w:val="1"/>
                <w:bCs w:val="1"/>
                <w:color w:val="auto"/>
              </w:rPr>
              <w:t>Minimum</w:t>
            </w:r>
          </w:p>
        </w:tc>
        <w:tc>
          <w:tcPr>
            <w:tcW w:w="720" w:type="dxa"/>
            <w:vAlign w:val="bottom"/>
            <w:tcBorders>
              <w:top w:val="single" w:sz="8" w:color="BFBFBF"/>
              <w:bottom w:val="single" w:sz="8" w:color="BFBFBF"/>
            </w:tcBorders>
            <w:shd w:val="clear" w:color="auto" w:fill="BFBFBF"/>
          </w:tcPr>
          <w:p>
            <w:pPr>
              <w:jc w:val="center"/>
              <w:spacing w:after="0"/>
              <w:rPr>
                <w:sz w:val="20"/>
                <w:szCs w:val="20"/>
                <w:color w:val="auto"/>
              </w:rPr>
            </w:pPr>
            <w:r>
              <w:rPr>
                <w:rFonts w:ascii="Arial" w:cs="Arial" w:eastAsia="Arial" w:hAnsi="Arial"/>
                <w:sz w:val="13"/>
                <w:szCs w:val="13"/>
                <w:b w:val="1"/>
                <w:bCs w:val="1"/>
                <w:color w:val="auto"/>
                <w:w w:val="99"/>
              </w:rPr>
              <w:t>Maximum</w:t>
            </w:r>
          </w:p>
        </w:tc>
        <w:tc>
          <w:tcPr>
            <w:tcW w:w="0" w:type="dxa"/>
            <w:vAlign w:val="bottom"/>
          </w:tcPr>
          <w:p>
            <w:pPr>
              <w:spacing w:after="0"/>
              <w:rPr>
                <w:sz w:val="1"/>
                <w:szCs w:val="1"/>
                <w:color w:val="auto"/>
              </w:rPr>
            </w:pPr>
          </w:p>
        </w:tc>
      </w:tr>
      <w:tr>
        <w:trPr>
          <w:trHeight w:val="196"/>
        </w:trPr>
        <w:tc>
          <w:tcPr>
            <w:tcW w:w="13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5"/>
              </w:rPr>
              <w:t>12/31/2019</w:t>
            </w:r>
          </w:p>
        </w:tc>
        <w:tc>
          <w:tcPr>
            <w:tcW w:w="7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(3)</w:t>
            </w:r>
          </w:p>
        </w:tc>
        <w:tc>
          <w:tcPr>
            <w:tcW w:w="7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(4)</w:t>
            </w:r>
          </w:p>
        </w:tc>
        <w:tc>
          <w:tcPr>
            <w:tcW w:w="7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5"/>
              </w:rPr>
              <w:t>9%</w:t>
            </w:r>
          </w:p>
        </w:tc>
        <w:tc>
          <w:tcPr>
            <w:tcW w:w="72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99"/>
              </w:rPr>
              <w:t>12%</w:t>
            </w:r>
          </w:p>
        </w:tc>
        <w:tc>
          <w:tcPr>
            <w:tcW w:w="0" w:type="dxa"/>
            <w:vAlign w:val="bottom"/>
          </w:tcPr>
          <w:p>
            <w:pPr>
              <w:spacing w:after="0"/>
              <w:rPr>
                <w:sz w:val="1"/>
                <w:szCs w:val="1"/>
                <w:color w:val="auto"/>
              </w:rPr>
            </w:pPr>
          </w:p>
        </w:tc>
      </w:tr>
      <w:tr>
        <w:trPr>
          <w:trHeight w:val="28"/>
        </w:trPr>
        <w:tc>
          <w:tcPr>
            <w:tcW w:w="134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12/31/2020</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(3)</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(4)</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2"/>
              </w:rPr>
              <w:t>10%</w:t>
            </w:r>
          </w:p>
        </w:tc>
        <w:tc>
          <w:tcPr>
            <w:tcW w:w="720" w:type="dxa"/>
            <w:vAlign w:val="bottom"/>
          </w:tcPr>
          <w:p>
            <w:pPr>
              <w:jc w:val="center"/>
              <w:spacing w:after="0"/>
              <w:rPr>
                <w:sz w:val="20"/>
                <w:szCs w:val="20"/>
                <w:color w:val="auto"/>
              </w:rPr>
            </w:pPr>
            <w:r>
              <w:rPr>
                <w:rFonts w:ascii="Arial" w:cs="Arial" w:eastAsia="Arial" w:hAnsi="Arial"/>
                <w:sz w:val="13"/>
                <w:szCs w:val="13"/>
                <w:color w:val="auto"/>
                <w:w w:val="99"/>
              </w:rPr>
              <w:t>14%</w:t>
            </w:r>
          </w:p>
        </w:tc>
        <w:tc>
          <w:tcPr>
            <w:tcW w:w="0" w:type="dxa"/>
            <w:vAlign w:val="bottom"/>
          </w:tcPr>
          <w:p>
            <w:pPr>
              <w:spacing w:after="0"/>
              <w:rPr>
                <w:sz w:val="1"/>
                <w:szCs w:val="1"/>
                <w:color w:val="auto"/>
              </w:rPr>
            </w:pPr>
          </w:p>
        </w:tc>
      </w:tr>
      <w:tr>
        <w:trPr>
          <w:trHeight w:val="28"/>
        </w:trPr>
        <w:tc>
          <w:tcPr>
            <w:tcW w:w="134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12/31/2021</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(3)</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(4)</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2"/>
              </w:rPr>
              <w:t>10%</w:t>
            </w:r>
          </w:p>
        </w:tc>
        <w:tc>
          <w:tcPr>
            <w:tcW w:w="720" w:type="dxa"/>
            <w:vAlign w:val="bottom"/>
          </w:tcPr>
          <w:p>
            <w:pPr>
              <w:jc w:val="center"/>
              <w:spacing w:after="0"/>
              <w:rPr>
                <w:sz w:val="20"/>
                <w:szCs w:val="20"/>
                <w:color w:val="auto"/>
              </w:rPr>
            </w:pPr>
            <w:r>
              <w:rPr>
                <w:rFonts w:ascii="Arial" w:cs="Arial" w:eastAsia="Arial" w:hAnsi="Arial"/>
                <w:sz w:val="13"/>
                <w:szCs w:val="13"/>
                <w:color w:val="auto"/>
                <w:w w:val="99"/>
              </w:rPr>
              <w:t>14%</w:t>
            </w:r>
          </w:p>
        </w:tc>
        <w:tc>
          <w:tcPr>
            <w:tcW w:w="0" w:type="dxa"/>
            <w:vAlign w:val="bottom"/>
          </w:tcPr>
          <w:p>
            <w:pPr>
              <w:spacing w:after="0"/>
              <w:rPr>
                <w:sz w:val="1"/>
                <w:szCs w:val="1"/>
                <w:color w:val="auto"/>
              </w:rPr>
            </w:pPr>
          </w:p>
        </w:tc>
      </w:tr>
      <w:tr>
        <w:trPr>
          <w:trHeight w:val="28"/>
        </w:trPr>
        <w:tc>
          <w:tcPr>
            <w:tcW w:w="134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1340" w:right="480" w:hanging="180"/>
        <w:spacing w:after="0" w:line="278" w:lineRule="auto"/>
        <w:tabs>
          <w:tab w:leader="none" w:pos="1453" w:val="left"/>
        </w:tabs>
        <w:numPr>
          <w:ilvl w:val="0"/>
          <w:numId w:val="18"/>
        </w:numPr>
        <w:rPr>
          <w:rFonts w:ascii="Arial" w:cs="Arial" w:eastAsia="Arial" w:hAnsi="Arial"/>
          <w:sz w:val="12"/>
          <w:szCs w:val="12"/>
          <w:color w:val="auto"/>
        </w:rPr>
      </w:pPr>
      <w:r>
        <w:rPr>
          <w:rFonts w:ascii="Arial" w:cs="Arial" w:eastAsia="Arial" w:hAnsi="Arial"/>
          <w:sz w:val="12"/>
          <w:szCs w:val="12"/>
          <w:color w:val="auto"/>
        </w:rPr>
        <w:t>Based on book value per share growth as compared to the plan companies which were determined to approximate the Company’s business mix of property and casualty insurance and annuities. No bonus will be paid for results below the minimum.</w:t>
      </w:r>
    </w:p>
    <w:p>
      <w:pPr>
        <w:spacing w:after="0" w:line="49" w:lineRule="exact"/>
        <w:rPr>
          <w:rFonts w:ascii="Arial" w:cs="Arial" w:eastAsia="Arial" w:hAnsi="Arial"/>
          <w:sz w:val="12"/>
          <w:szCs w:val="12"/>
          <w:color w:val="auto"/>
        </w:rPr>
      </w:pPr>
    </w:p>
    <w:p>
      <w:pPr>
        <w:ind w:left="1340" w:right="380" w:hanging="180"/>
        <w:spacing w:after="0" w:line="273" w:lineRule="auto"/>
        <w:tabs>
          <w:tab w:leader="none" w:pos="1453" w:val="left"/>
        </w:tabs>
        <w:numPr>
          <w:ilvl w:val="0"/>
          <w:numId w:val="18"/>
        </w:numPr>
        <w:rPr>
          <w:rFonts w:ascii="Arial" w:cs="Arial" w:eastAsia="Arial" w:hAnsi="Arial"/>
          <w:sz w:val="12"/>
          <w:szCs w:val="12"/>
          <w:color w:val="auto"/>
        </w:rPr>
      </w:pPr>
      <w:r>
        <w:rPr>
          <w:rFonts w:ascii="Arial" w:cs="Arial" w:eastAsia="Arial" w:hAnsi="Arial"/>
          <w:sz w:val="12"/>
          <w:szCs w:val="12"/>
          <w:color w:val="auto"/>
        </w:rPr>
        <w:t>For a return on equity greater than the minimum but less than the maximum, the bonus amount is calculated by applying straight-line interpolation rounded to the nearest whole dollar amount. The target amount is payable at the midpoint between the minimum and maximum. No bonus will be paid for results below the minimum.</w:t>
      </w:r>
    </w:p>
    <w:p>
      <w:pPr>
        <w:spacing w:after="0" w:line="52" w:lineRule="exact"/>
        <w:rPr>
          <w:sz w:val="20"/>
          <w:szCs w:val="20"/>
          <w:color w:val="auto"/>
        </w:rPr>
      </w:pPr>
    </w:p>
    <w:p>
      <w:pPr>
        <w:ind w:left="1160"/>
        <w:spacing w:after="0"/>
        <w:tabs>
          <w:tab w:leader="none" w:pos="1440" w:val="left"/>
          <w:tab w:leader="none" w:pos="5240" w:val="left"/>
        </w:tabs>
        <w:rPr>
          <w:sz w:val="20"/>
          <w:szCs w:val="20"/>
          <w:color w:val="auto"/>
        </w:rPr>
      </w:pPr>
      <w:r>
        <w:rPr>
          <w:rFonts w:ascii="Arial" w:cs="Arial" w:eastAsia="Arial" w:hAnsi="Arial"/>
          <w:sz w:val="13"/>
          <w:szCs w:val="13"/>
          <w:color w:val="auto"/>
        </w:rPr>
        <w:t>(3)</w:t>
        <w:tab/>
        <w:t>Book value per share growth must exceed that of the lower quartile</w:t>
      </w:r>
      <w:r>
        <w:rPr>
          <w:sz w:val="20"/>
          <w:szCs w:val="20"/>
          <w:color w:val="auto"/>
        </w:rPr>
        <w:tab/>
      </w:r>
      <w:r>
        <w:rPr>
          <w:rFonts w:ascii="Arial" w:cs="Arial" w:eastAsia="Arial" w:hAnsi="Arial"/>
          <w:sz w:val="11"/>
          <w:szCs w:val="11"/>
          <w:color w:val="auto"/>
        </w:rPr>
        <w:t>of</w:t>
      </w:r>
    </w:p>
    <w:p>
      <w:pPr>
        <w:spacing w:after="0" w:line="10" w:lineRule="exact"/>
        <w:rPr>
          <w:sz w:val="20"/>
          <w:szCs w:val="20"/>
          <w:color w:val="auto"/>
        </w:rPr>
      </w:pPr>
    </w:p>
    <w:p>
      <w:pPr>
        <w:ind w:left="1340"/>
        <w:spacing w:after="0"/>
        <w:tabs>
          <w:tab w:leader="none" w:pos="5080" w:val="left"/>
        </w:tabs>
        <w:rPr>
          <w:sz w:val="20"/>
          <w:szCs w:val="20"/>
          <w:color w:val="auto"/>
        </w:rPr>
      </w:pPr>
      <w:r>
        <w:rPr>
          <w:rFonts w:ascii="Arial" w:cs="Arial" w:eastAsia="Arial" w:hAnsi="Arial"/>
          <w:sz w:val="13"/>
          <w:szCs w:val="13"/>
          <w:color w:val="auto"/>
        </w:rPr>
        <w:t>that of the plan companies. Target amounts payable for book value</w:t>
      </w:r>
      <w:r>
        <w:rPr>
          <w:sz w:val="20"/>
          <w:szCs w:val="20"/>
          <w:color w:val="auto"/>
        </w:rPr>
        <w:tab/>
      </w:r>
      <w:r>
        <w:rPr>
          <w:rFonts w:ascii="Arial" w:cs="Arial" w:eastAsia="Arial" w:hAnsi="Arial"/>
          <w:sz w:val="12"/>
          <w:szCs w:val="12"/>
          <w:color w:val="auto"/>
        </w:rPr>
        <w:t>per</w:t>
      </w:r>
    </w:p>
    <w:p>
      <w:pPr>
        <w:ind w:left="1340"/>
        <w:spacing w:after="0"/>
        <w:rPr>
          <w:sz w:val="20"/>
          <w:szCs w:val="20"/>
          <w:color w:val="auto"/>
        </w:rPr>
      </w:pPr>
      <w:r>
        <w:rPr>
          <w:rFonts w:ascii="Arial" w:cs="Arial" w:eastAsia="Arial" w:hAnsi="Arial"/>
          <w:sz w:val="13"/>
          <w:szCs w:val="13"/>
          <w:color w:val="auto"/>
        </w:rPr>
        <w:t>share growth in the top 37.5% of plan companies.</w:t>
      </w:r>
    </w:p>
    <w:p>
      <w:pPr>
        <w:spacing w:after="0" w:line="82" w:lineRule="exact"/>
        <w:rPr>
          <w:sz w:val="20"/>
          <w:szCs w:val="20"/>
          <w:color w:val="auto"/>
        </w:rPr>
      </w:pPr>
    </w:p>
    <w:p>
      <w:pPr>
        <w:ind w:left="1460" w:hanging="300"/>
        <w:spacing w:after="0"/>
        <w:tabs>
          <w:tab w:leader="none" w:pos="1460" w:val="left"/>
        </w:tabs>
        <w:numPr>
          <w:ilvl w:val="0"/>
          <w:numId w:val="19"/>
        </w:numPr>
        <w:rPr>
          <w:rFonts w:ascii="Arial" w:cs="Arial" w:eastAsia="Arial" w:hAnsi="Arial"/>
          <w:sz w:val="12"/>
          <w:szCs w:val="12"/>
          <w:color w:val="auto"/>
        </w:rPr>
      </w:pPr>
      <w:r>
        <w:rPr>
          <w:rFonts w:ascii="Arial" w:cs="Arial" w:eastAsia="Arial" w:hAnsi="Arial"/>
          <w:sz w:val="12"/>
          <w:szCs w:val="12"/>
          <w:color w:val="auto"/>
        </w:rPr>
        <w:t>Book value per share growth must exceed that of all plan companies.</w:t>
      </w:r>
    </w:p>
    <w:p>
      <w:pPr>
        <w:spacing w:after="0" w:line="124" w:lineRule="exact"/>
        <w:rPr>
          <w:sz w:val="20"/>
          <w:szCs w:val="20"/>
          <w:color w:val="auto"/>
        </w:rPr>
      </w:pPr>
    </w:p>
    <w:p>
      <w:pPr>
        <w:ind w:left="1080"/>
        <w:spacing w:after="0" w:line="285" w:lineRule="auto"/>
        <w:rPr>
          <w:sz w:val="20"/>
          <w:szCs w:val="20"/>
          <w:color w:val="auto"/>
        </w:rPr>
      </w:pPr>
      <w:r>
        <w:rPr>
          <w:rFonts w:ascii="Arial" w:cs="Arial" w:eastAsia="Arial" w:hAnsi="Arial"/>
          <w:sz w:val="16"/>
          <w:szCs w:val="16"/>
          <w:color w:val="auto"/>
        </w:rPr>
        <w:t xml:space="preserve">Under the </w:t>
      </w:r>
      <w:r>
        <w:rPr>
          <w:rFonts w:ascii="Arial" w:cs="Arial" w:eastAsia="Arial" w:hAnsi="Arial"/>
          <w:sz w:val="16"/>
          <w:szCs w:val="16"/>
          <w:b w:val="1"/>
          <w:bCs w:val="1"/>
          <w:color w:val="auto"/>
        </w:rPr>
        <w:t>book value per share component</w:t>
      </w:r>
      <w:r>
        <w:rPr>
          <w:rFonts w:ascii="Arial" w:cs="Arial" w:eastAsia="Arial" w:hAnsi="Arial"/>
          <w:sz w:val="16"/>
          <w:szCs w:val="16"/>
          <w:color w:val="auto"/>
        </w:rPr>
        <w:t>, if the Company’s growth in book value per share over the three-year performance placed it in the fourth (lowest) quartile of the plan companies, no bonus for the book value per share growth metric would be payable to any participant. If the Company’s growth in book value per share exceeded all plan companies, each participant would receive the maximum amount payable for the metric (200% of the target amount). If the Company’s growth in book value per share exceeded the fourth (lowest) quartile of the plan companies but did not exceed that of all plan companies, each participant would be entitled to a bonus amount (expressed as a percentage of target) calculated by applying straight-line interpolation for growth in book value per share between 0% (for being in the fourth (lowest) quartile of plan companies) and 200% (for growth in book value per share exceeding all plan companies). Plan companies acquired during the three-year performance period are excluded when calculating awards.</w:t>
      </w:r>
    </w:p>
    <w:p>
      <w:pPr>
        <w:spacing w:after="0" w:line="65" w:lineRule="exact"/>
        <w:rPr>
          <w:sz w:val="20"/>
          <w:szCs w:val="20"/>
          <w:color w:val="auto"/>
        </w:rPr>
      </w:pPr>
    </w:p>
    <w:p>
      <w:pPr>
        <w:jc w:val="both"/>
        <w:ind w:left="1080" w:right="160"/>
        <w:spacing w:after="0" w:line="286" w:lineRule="auto"/>
        <w:rPr>
          <w:sz w:val="20"/>
          <w:szCs w:val="20"/>
          <w:color w:val="auto"/>
        </w:rPr>
      </w:pPr>
      <w:r>
        <w:rPr>
          <w:rFonts w:ascii="Arial" w:cs="Arial" w:eastAsia="Arial" w:hAnsi="Arial"/>
          <w:sz w:val="17"/>
          <w:szCs w:val="17"/>
          <w:color w:val="auto"/>
        </w:rPr>
        <w:t>In order for a participant to receive the target amount, the Company’s growth in book value per share must be in the top 37.5% of the plan companies.</w:t>
      </w:r>
    </w:p>
    <w:p>
      <w:pPr>
        <w:spacing w:after="0" w:line="57" w:lineRule="exact"/>
        <w:rPr>
          <w:sz w:val="20"/>
          <w:szCs w:val="20"/>
          <w:color w:val="auto"/>
        </w:rPr>
      </w:pPr>
    </w:p>
    <w:p>
      <w:pPr>
        <w:ind w:left="1080" w:right="140"/>
        <w:spacing w:after="0" w:line="301" w:lineRule="auto"/>
        <w:rPr>
          <w:sz w:val="20"/>
          <w:szCs w:val="20"/>
          <w:color w:val="auto"/>
        </w:rPr>
      </w:pPr>
      <w:r>
        <w:rPr>
          <w:rFonts w:ascii="Arial" w:cs="Arial" w:eastAsia="Arial" w:hAnsi="Arial"/>
          <w:sz w:val="16"/>
          <w:szCs w:val="16"/>
          <w:color w:val="auto"/>
        </w:rPr>
        <w:t>The companies comprising the plan companies approximate the Company’s business mix of property and casualty insurance and annuities. The plan companies for the three-year period ended December 31, 2019 were:</w:t>
      </w:r>
    </w:p>
    <w:p>
      <w:pPr>
        <w:spacing w:after="0" w:line="49" w:lineRule="exact"/>
        <w:rPr>
          <w:sz w:val="20"/>
          <w:szCs w:val="20"/>
          <w:color w:val="auto"/>
        </w:rPr>
      </w:pPr>
    </w:p>
    <w:p>
      <w:pPr>
        <w:ind w:left="1800" w:hanging="352"/>
        <w:spacing w:after="0"/>
        <w:tabs>
          <w:tab w:leader="none" w:pos="1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Alleghany Corp.</w:t>
      </w:r>
    </w:p>
    <w:p>
      <w:pPr>
        <w:spacing w:after="0" w:line="23" w:lineRule="exact"/>
        <w:rPr>
          <w:rFonts w:ascii="Arial" w:cs="Arial" w:eastAsia="Arial" w:hAnsi="Arial"/>
          <w:sz w:val="18"/>
          <w:szCs w:val="18"/>
          <w:color w:val="auto"/>
        </w:rPr>
      </w:pPr>
    </w:p>
    <w:p>
      <w:pPr>
        <w:ind w:left="1800" w:hanging="352"/>
        <w:spacing w:after="0"/>
        <w:tabs>
          <w:tab w:leader="none" w:pos="1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American Equity Investment Life Holding Co.</w:t>
      </w:r>
    </w:p>
    <w:p>
      <w:pPr>
        <w:spacing w:after="0" w:line="9" w:lineRule="exact"/>
        <w:rPr>
          <w:rFonts w:ascii="Arial" w:cs="Arial" w:eastAsia="Arial" w:hAnsi="Arial"/>
          <w:sz w:val="18"/>
          <w:szCs w:val="18"/>
          <w:color w:val="auto"/>
        </w:rPr>
      </w:pPr>
    </w:p>
    <w:p>
      <w:pPr>
        <w:ind w:left="1800" w:hanging="352"/>
        <w:spacing w:after="0"/>
        <w:tabs>
          <w:tab w:leader="none" w:pos="1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American National Insurance Co.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720" w:hanging="360"/>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Arch Capital Group Ltd.</w:t>
      </w:r>
    </w:p>
    <w:p>
      <w:pPr>
        <w:spacing w:after="0" w:line="23" w:lineRule="exact"/>
        <w:rPr>
          <w:rFonts w:ascii="Arial" w:cs="Arial" w:eastAsia="Arial" w:hAnsi="Arial"/>
          <w:sz w:val="18"/>
          <w:szCs w:val="18"/>
          <w:color w:val="auto"/>
        </w:rPr>
      </w:pPr>
    </w:p>
    <w:p>
      <w:pPr>
        <w:ind w:left="720" w:hanging="360"/>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Argo Group International Holdings, Ltd.</w:t>
      </w:r>
    </w:p>
    <w:p>
      <w:pPr>
        <w:spacing w:after="0" w:line="9" w:lineRule="exact"/>
        <w:rPr>
          <w:rFonts w:ascii="Arial" w:cs="Arial" w:eastAsia="Arial" w:hAnsi="Arial"/>
          <w:sz w:val="18"/>
          <w:szCs w:val="18"/>
          <w:color w:val="auto"/>
        </w:rPr>
      </w:pPr>
    </w:p>
    <w:p>
      <w:pPr>
        <w:ind w:left="720" w:hanging="360"/>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Assurant, Inc.</w:t>
      </w:r>
    </w:p>
    <w:p>
      <w:pPr>
        <w:spacing w:after="0" w:line="9" w:lineRule="exact"/>
        <w:rPr>
          <w:rFonts w:ascii="Arial" w:cs="Arial" w:eastAsia="Arial" w:hAnsi="Arial"/>
          <w:sz w:val="18"/>
          <w:szCs w:val="18"/>
          <w:color w:val="auto"/>
        </w:rPr>
      </w:pPr>
    </w:p>
    <w:p>
      <w:pPr>
        <w:ind w:left="720" w:hanging="360"/>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Chubb Limited</w:t>
      </w:r>
    </w:p>
    <w:p>
      <w:pPr>
        <w:spacing w:after="0" w:line="9" w:lineRule="exact"/>
        <w:rPr>
          <w:rFonts w:ascii="Arial" w:cs="Arial" w:eastAsia="Arial" w:hAnsi="Arial"/>
          <w:sz w:val="18"/>
          <w:szCs w:val="18"/>
          <w:color w:val="auto"/>
        </w:rPr>
      </w:pPr>
    </w:p>
    <w:p>
      <w:pPr>
        <w:ind w:left="720" w:hanging="360"/>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Cincinnati Financial Corp.</w:t>
      </w:r>
    </w:p>
    <w:p>
      <w:pPr>
        <w:spacing w:after="0" w:line="9" w:lineRule="exact"/>
        <w:rPr>
          <w:rFonts w:ascii="Arial" w:cs="Arial" w:eastAsia="Arial" w:hAnsi="Arial"/>
          <w:sz w:val="18"/>
          <w:szCs w:val="18"/>
          <w:color w:val="auto"/>
        </w:rPr>
      </w:pPr>
    </w:p>
    <w:p>
      <w:pPr>
        <w:ind w:left="720" w:hanging="360"/>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CNA Financial Corporation</w:t>
      </w:r>
    </w:p>
    <w:p>
      <w:pPr>
        <w:spacing w:after="0" w:line="9" w:lineRule="exact"/>
        <w:rPr>
          <w:rFonts w:ascii="Arial" w:cs="Arial" w:eastAsia="Arial" w:hAnsi="Arial"/>
          <w:sz w:val="18"/>
          <w:szCs w:val="18"/>
          <w:color w:val="auto"/>
        </w:rPr>
      </w:pPr>
    </w:p>
    <w:p>
      <w:pPr>
        <w:ind w:left="720" w:hanging="360"/>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CNO Financial Group, Inc.</w:t>
      </w:r>
    </w:p>
    <w:p>
      <w:pPr>
        <w:spacing w:after="0" w:line="9" w:lineRule="exact"/>
        <w:rPr>
          <w:rFonts w:ascii="Arial" w:cs="Arial" w:eastAsia="Arial" w:hAnsi="Arial"/>
          <w:sz w:val="18"/>
          <w:szCs w:val="18"/>
          <w:color w:val="auto"/>
        </w:rPr>
      </w:pPr>
    </w:p>
    <w:p>
      <w:pPr>
        <w:ind w:left="720" w:hanging="360"/>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Hanover Insurance Group, Inc.</w:t>
      </w:r>
    </w:p>
    <w:p>
      <w:pPr>
        <w:spacing w:after="0" w:line="9" w:lineRule="exact"/>
        <w:rPr>
          <w:rFonts w:ascii="Arial" w:cs="Arial" w:eastAsia="Arial" w:hAnsi="Arial"/>
          <w:sz w:val="18"/>
          <w:szCs w:val="18"/>
          <w:color w:val="auto"/>
        </w:rPr>
      </w:pPr>
    </w:p>
    <w:p>
      <w:pPr>
        <w:ind w:left="720" w:hanging="360"/>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Hartford Financial Services Group, Inc.</w:t>
      </w:r>
    </w:p>
    <w:p>
      <w:pPr>
        <w:spacing w:after="0" w:line="9" w:lineRule="exact"/>
        <w:rPr>
          <w:rFonts w:ascii="Arial" w:cs="Arial" w:eastAsia="Arial" w:hAnsi="Arial"/>
          <w:sz w:val="18"/>
          <w:szCs w:val="18"/>
          <w:color w:val="auto"/>
        </w:rPr>
      </w:pPr>
    </w:p>
    <w:p>
      <w:pPr>
        <w:ind w:left="720" w:hanging="360"/>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Horace Mann Educators Corp.</w:t>
      </w:r>
    </w:p>
    <w:p>
      <w:pPr>
        <w:spacing w:after="0" w:line="9" w:lineRule="exact"/>
        <w:rPr>
          <w:rFonts w:ascii="Arial" w:cs="Arial" w:eastAsia="Arial" w:hAnsi="Arial"/>
          <w:sz w:val="18"/>
          <w:szCs w:val="18"/>
          <w:color w:val="auto"/>
        </w:rPr>
      </w:pPr>
    </w:p>
    <w:p>
      <w:pPr>
        <w:ind w:left="720" w:hanging="360"/>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Lincoln National Corp.</w:t>
      </w:r>
    </w:p>
    <w:p>
      <w:pPr>
        <w:spacing w:after="0" w:line="9" w:lineRule="exact"/>
        <w:rPr>
          <w:rFonts w:ascii="Arial" w:cs="Arial" w:eastAsia="Arial" w:hAnsi="Arial"/>
          <w:sz w:val="18"/>
          <w:szCs w:val="18"/>
          <w:color w:val="auto"/>
        </w:rPr>
      </w:pPr>
    </w:p>
    <w:p>
      <w:pPr>
        <w:ind w:left="720" w:hanging="360"/>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Markel Corporation</w:t>
      </w:r>
    </w:p>
    <w:p>
      <w:pPr>
        <w:spacing w:after="0" w:line="9" w:lineRule="exact"/>
        <w:rPr>
          <w:rFonts w:ascii="Arial" w:cs="Arial" w:eastAsia="Arial" w:hAnsi="Arial"/>
          <w:sz w:val="18"/>
          <w:szCs w:val="18"/>
          <w:color w:val="auto"/>
        </w:rPr>
      </w:pPr>
    </w:p>
    <w:p>
      <w:pPr>
        <w:ind w:left="720" w:hanging="360"/>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Metlife, Inc.</w:t>
      </w:r>
    </w:p>
    <w:p>
      <w:pPr>
        <w:spacing w:after="0" w:line="9" w:lineRule="exact"/>
        <w:rPr>
          <w:rFonts w:ascii="Arial" w:cs="Arial" w:eastAsia="Arial" w:hAnsi="Arial"/>
          <w:sz w:val="18"/>
          <w:szCs w:val="18"/>
          <w:color w:val="auto"/>
        </w:rPr>
      </w:pPr>
    </w:p>
    <w:p>
      <w:pPr>
        <w:ind w:left="720" w:hanging="360"/>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National Western Life Group, Inc.</w:t>
      </w:r>
    </w:p>
    <w:p>
      <w:pPr>
        <w:spacing w:after="0" w:line="9" w:lineRule="exact"/>
        <w:rPr>
          <w:rFonts w:ascii="Arial" w:cs="Arial" w:eastAsia="Arial" w:hAnsi="Arial"/>
          <w:sz w:val="18"/>
          <w:szCs w:val="18"/>
          <w:color w:val="auto"/>
        </w:rPr>
      </w:pPr>
    </w:p>
    <w:p>
      <w:pPr>
        <w:ind w:left="720" w:hanging="360"/>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Protective Insurance Corporation</w:t>
      </w:r>
    </w:p>
    <w:p>
      <w:pPr>
        <w:spacing w:after="0" w:line="9" w:lineRule="exact"/>
        <w:rPr>
          <w:rFonts w:ascii="Arial" w:cs="Arial" w:eastAsia="Arial" w:hAnsi="Arial"/>
          <w:sz w:val="18"/>
          <w:szCs w:val="18"/>
          <w:color w:val="auto"/>
        </w:rPr>
      </w:pPr>
    </w:p>
    <w:p>
      <w:pPr>
        <w:ind w:left="720" w:hanging="360"/>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Old Republic International Corporation</w:t>
      </w:r>
    </w:p>
    <w:p>
      <w:pPr>
        <w:spacing w:after="0" w:line="9" w:lineRule="exact"/>
        <w:rPr>
          <w:rFonts w:ascii="Arial" w:cs="Arial" w:eastAsia="Arial" w:hAnsi="Arial"/>
          <w:sz w:val="18"/>
          <w:szCs w:val="18"/>
          <w:color w:val="auto"/>
        </w:rPr>
      </w:pPr>
    </w:p>
    <w:p>
      <w:pPr>
        <w:ind w:left="720" w:hanging="360"/>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RLI Corp.</w:t>
      </w:r>
    </w:p>
    <w:p>
      <w:pPr>
        <w:spacing w:after="0" w:line="9" w:lineRule="exact"/>
        <w:rPr>
          <w:rFonts w:ascii="Arial" w:cs="Arial" w:eastAsia="Arial" w:hAnsi="Arial"/>
          <w:sz w:val="18"/>
          <w:szCs w:val="18"/>
          <w:color w:val="auto"/>
        </w:rPr>
      </w:pPr>
    </w:p>
    <w:p>
      <w:pPr>
        <w:ind w:left="720" w:hanging="360"/>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Travelers Companies, Inc.</w:t>
      </w:r>
    </w:p>
    <w:p>
      <w:pPr>
        <w:spacing w:after="0" w:line="9" w:lineRule="exact"/>
        <w:rPr>
          <w:rFonts w:ascii="Arial" w:cs="Arial" w:eastAsia="Arial" w:hAnsi="Arial"/>
          <w:sz w:val="18"/>
          <w:szCs w:val="18"/>
          <w:color w:val="auto"/>
        </w:rPr>
      </w:pPr>
    </w:p>
    <w:p>
      <w:pPr>
        <w:ind w:left="720" w:hanging="360"/>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Voya Financial, Inc.</w:t>
      </w:r>
    </w:p>
    <w:p>
      <w:pPr>
        <w:spacing w:after="0" w:line="9" w:lineRule="exact"/>
        <w:rPr>
          <w:rFonts w:ascii="Arial" w:cs="Arial" w:eastAsia="Arial" w:hAnsi="Arial"/>
          <w:sz w:val="18"/>
          <w:szCs w:val="18"/>
          <w:color w:val="auto"/>
        </w:rPr>
      </w:pPr>
    </w:p>
    <w:p>
      <w:pPr>
        <w:ind w:left="720" w:hanging="360"/>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W.R. Berkley Corporation</w:t>
      </w:r>
    </w:p>
    <w:p>
      <w:pPr>
        <w:spacing w:after="0" w:line="103"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The Company’s growth in book value per share for the period from January 1, 2017 through December 31, 2019 placed it third in comparison to the plan companies (entitling each participant to 155.6% of the target bonus for this component). Each Co-CEO was paid a bonus of $1,944,444 for the performance period, and each of</w:t>
      </w:r>
    </w:p>
    <w:p>
      <w:pPr>
        <w:spacing w:after="0" w:line="1" w:lineRule="exact"/>
        <w:rPr>
          <w:sz w:val="20"/>
          <w:szCs w:val="20"/>
          <w:color w:val="auto"/>
        </w:rPr>
      </w:pPr>
    </w:p>
    <w:p>
      <w:pPr>
        <w:ind w:right="200"/>
        <w:spacing w:after="0" w:line="323" w:lineRule="auto"/>
        <w:rPr>
          <w:sz w:val="20"/>
          <w:szCs w:val="20"/>
          <w:color w:val="auto"/>
        </w:rPr>
      </w:pPr>
      <w:r>
        <w:rPr>
          <w:rFonts w:ascii="Arial" w:cs="Arial" w:eastAsia="Arial" w:hAnsi="Arial"/>
          <w:sz w:val="16"/>
          <w:szCs w:val="16"/>
          <w:color w:val="auto"/>
        </w:rPr>
        <w:t>Mr. Consolino and Mr. Berding was paid a bonus for this component of $583,333 for the performance period.</w:t>
      </w:r>
    </w:p>
    <w:p>
      <w:pPr>
        <w:spacing w:after="0" w:line="26" w:lineRule="exact"/>
        <w:rPr>
          <w:sz w:val="20"/>
          <w:szCs w:val="20"/>
          <w:color w:val="auto"/>
        </w:rPr>
      </w:pPr>
    </w:p>
    <w:p>
      <w:pPr>
        <w:spacing w:after="0" w:line="286" w:lineRule="auto"/>
        <w:rPr>
          <w:sz w:val="20"/>
          <w:szCs w:val="20"/>
          <w:color w:val="auto"/>
        </w:rPr>
      </w:pPr>
      <w:r>
        <w:rPr>
          <w:rFonts w:ascii="Arial" w:cs="Arial" w:eastAsia="Arial" w:hAnsi="Arial"/>
          <w:sz w:val="16"/>
          <w:szCs w:val="16"/>
          <w:b w:val="1"/>
          <w:bCs w:val="1"/>
          <w:color w:val="auto"/>
        </w:rPr>
        <w:t xml:space="preserve">Return on equity awards </w:t>
      </w:r>
      <w:r>
        <w:rPr>
          <w:rFonts w:ascii="Arial" w:cs="Arial" w:eastAsia="Arial" w:hAnsi="Arial"/>
          <w:sz w:val="16"/>
          <w:szCs w:val="16"/>
          <w:color w:val="auto"/>
        </w:rPr>
        <w:t>are based on average annual</w:t>
      </w:r>
      <w:r>
        <w:rPr>
          <w:rFonts w:ascii="Arial" w:cs="Arial" w:eastAsia="Arial" w:hAnsi="Arial"/>
          <w:sz w:val="16"/>
          <w:szCs w:val="16"/>
          <w:b w:val="1"/>
          <w:bCs w:val="1"/>
          <w:color w:val="auto"/>
        </w:rPr>
        <w:t xml:space="preserve"> </w:t>
      </w:r>
      <w:r>
        <w:rPr>
          <w:rFonts w:ascii="Arial" w:cs="Arial" w:eastAsia="Arial" w:hAnsi="Arial"/>
          <w:sz w:val="16"/>
          <w:szCs w:val="16"/>
          <w:color w:val="auto"/>
        </w:rPr>
        <w:t>return on equity for the performance period. For the 2017-2019 performance period, if the return on equity percentage equaled or exceeded 12%, the participant would receive the maximum bonus amount attributed to this metric. If the return on equity percentage equals or is less than 9%, the participant would receive no bonus amount attributed to this metric. For a return on equity greater than 9% but less than 12%, the bonus amount will be calculated by applying straight-line interpolation rounded to the nearest whole dollar amount. Each participant’s target bonus of 50% of the maximum bonus for the return on equity component would be earned if the Company’s return on equity equaled 10.5% for the three-year period.</w:t>
      </w:r>
    </w:p>
    <w:p>
      <w:pPr>
        <w:spacing w:after="0" w:line="67"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The Company’s annual average return on equity for 2017-2019 was 12.6%, after a downward adjustment made by the Compensation Committee to give effect to the Company’s lower tax rate under the Tax Cuts and Job Act of 2017. The Compensation Committee believed such adjustment was necessary so that the return on equity for affected years was not inflated as tax reform had not been enacted when the three-year awards were initially established.</w:t>
      </w:r>
    </w:p>
    <w:p>
      <w:pPr>
        <w:spacing w:after="0" w:line="1" w:lineRule="exact"/>
        <w:rPr>
          <w:sz w:val="20"/>
          <w:szCs w:val="20"/>
          <w:color w:val="auto"/>
        </w:rPr>
      </w:pPr>
    </w:p>
    <w:p>
      <w:pPr>
        <w:ind w:right="260"/>
        <w:spacing w:after="0" w:line="295" w:lineRule="auto"/>
        <w:rPr>
          <w:sz w:val="20"/>
          <w:szCs w:val="20"/>
          <w:color w:val="auto"/>
        </w:rPr>
      </w:pPr>
      <w:r>
        <w:rPr>
          <w:rFonts w:ascii="Arial" w:cs="Arial" w:eastAsia="Arial" w:hAnsi="Arial"/>
          <w:sz w:val="16"/>
          <w:szCs w:val="16"/>
          <w:color w:val="auto"/>
        </w:rPr>
        <w:t>Each participant was entitled to the maximum bonus for this component. Each Co-CEO was paid a bonus of $2,500,000, and each of Mr. Consolino and Mr. Berding was paid a bonus for this component of $750,000.</w:t>
      </w:r>
    </w:p>
    <w:p>
      <w:pPr>
        <w:spacing w:after="0" w:line="200" w:lineRule="exact"/>
        <w:rPr>
          <w:sz w:val="20"/>
          <w:szCs w:val="20"/>
          <w:color w:val="auto"/>
        </w:rPr>
      </w:pPr>
    </w:p>
    <w:p>
      <w:pPr>
        <w:sectPr>
          <w:pgSz w:w="11900" w:h="16838" w:orient="portrait"/>
          <w:cols w:equalWidth="0" w:num="2">
            <w:col w:w="5400" w:space="440"/>
            <w:col w:w="4300"/>
          </w:cols>
          <w:pgMar w:left="320" w:top="265" w:right="1439" w:bottom="1440" w:gutter="0" w:footer="0" w:header="0"/>
          <w:type w:val="continuous"/>
        </w:sectPr>
      </w:pPr>
    </w:p>
    <w:p>
      <w:pPr>
        <w:spacing w:after="0" w:line="74" w:lineRule="exact"/>
        <w:rPr>
          <w:sz w:val="20"/>
          <w:szCs w:val="20"/>
          <w:color w:val="auto"/>
        </w:rPr>
      </w:pPr>
    </w:p>
    <w:p>
      <w:pPr>
        <w:ind w:left="1160"/>
        <w:spacing w:after="0"/>
        <w:tabs>
          <w:tab w:leader="none" w:pos="9960" w:val="left"/>
        </w:tabs>
        <w:rPr>
          <w:sz w:val="20"/>
          <w:szCs w:val="20"/>
          <w:color w:val="auto"/>
        </w:rPr>
      </w:pPr>
      <w:r>
        <w:rPr>
          <w:rFonts w:ascii="Arial" w:cs="Arial" w:eastAsia="Arial" w:hAnsi="Arial"/>
          <w:sz w:val="16"/>
          <w:szCs w:val="16"/>
          <w:color w:val="auto"/>
        </w:rPr>
        <w:t>2020 Proxy Statement | Compensation Discussion and Analysis</w:t>
      </w:r>
      <w:r>
        <w:rPr>
          <w:sz w:val="20"/>
          <w:szCs w:val="20"/>
          <w:color w:val="auto"/>
        </w:rPr>
        <w:tab/>
      </w: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137795</wp:posOffset>
            </wp:positionV>
            <wp:extent cx="699516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140"/>
          </w:cols>
          <w:pgMar w:left="320" w:top="265" w:right="1439" w:bottom="1440" w:gutter="0" w:footer="0" w:header="0"/>
          <w:type w:val="continuous"/>
        </w:sectPr>
      </w:pPr>
    </w:p>
    <w:bookmarkStart w:id="40" w:name="page41"/>
    <w:bookmarkEnd w:id="40"/>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080" w:right="340"/>
        <w:spacing w:after="0" w:line="259" w:lineRule="auto"/>
        <w:rPr>
          <w:sz w:val="20"/>
          <w:szCs w:val="20"/>
          <w:color w:val="auto"/>
        </w:rPr>
      </w:pPr>
      <w:r>
        <w:rPr>
          <w:rFonts w:ascii="Arial" w:cs="Arial" w:eastAsia="Arial" w:hAnsi="Arial"/>
          <w:sz w:val="18"/>
          <w:szCs w:val="18"/>
          <w:color w:val="auto"/>
        </w:rPr>
        <w:t>After combining the two components, the following amounts, representing 177.8% of the target bonus and 88.9% of the maximum bonus for all participants, were paid:</w:t>
      </w:r>
    </w:p>
    <w:p>
      <w:pPr>
        <w:spacing w:after="0" w:line="187" w:lineRule="exact"/>
        <w:rPr>
          <w:sz w:val="20"/>
          <w:szCs w:val="20"/>
          <w:color w:val="auto"/>
        </w:rPr>
      </w:pPr>
    </w:p>
    <w:tbl>
      <w:tblPr>
        <w:tblLayout w:type="fixed"/>
        <w:tblInd w:w="1080" w:type="dxa"/>
        <w:tblCellMar>
          <w:top w:w="0" w:type="dxa"/>
          <w:left w:w="0" w:type="dxa"/>
          <w:bottom w:w="0" w:type="dxa"/>
          <w:right w:w="0" w:type="dxa"/>
        </w:tblCellMar>
      </w:tblPr>
      <w:tr>
        <w:trPr>
          <w:trHeight w:val="306"/>
        </w:trPr>
        <w:tc>
          <w:tcPr>
            <w:tcW w:w="2180" w:type="dxa"/>
            <w:vAlign w:val="bottom"/>
            <w:shd w:val="clear" w:color="auto" w:fill="BFBFBF"/>
          </w:tcPr>
          <w:p>
            <w:pPr>
              <w:spacing w:after="0"/>
              <w:rPr>
                <w:sz w:val="24"/>
                <w:szCs w:val="24"/>
                <w:color w:val="auto"/>
              </w:rPr>
            </w:pPr>
          </w:p>
        </w:tc>
        <w:tc>
          <w:tcPr>
            <w:tcW w:w="2140" w:type="dxa"/>
            <w:vAlign w:val="bottom"/>
            <w:shd w:val="clear" w:color="auto" w:fill="BFBFBF"/>
          </w:tcPr>
          <w:p>
            <w:pPr>
              <w:jc w:val="center"/>
              <w:ind w:right="30"/>
              <w:spacing w:after="0"/>
              <w:rPr>
                <w:sz w:val="20"/>
                <w:szCs w:val="20"/>
                <w:color w:val="auto"/>
              </w:rPr>
            </w:pPr>
            <w:r>
              <w:rPr>
                <w:rFonts w:ascii="Arial" w:cs="Arial" w:eastAsia="Arial" w:hAnsi="Arial"/>
                <w:sz w:val="18"/>
                <w:szCs w:val="18"/>
                <w:b w:val="1"/>
                <w:bCs w:val="1"/>
                <w:color w:val="auto"/>
                <w:w w:val="90"/>
              </w:rPr>
              <w:t>2017-2019</w:t>
            </w:r>
          </w:p>
        </w:tc>
      </w:tr>
      <w:tr>
        <w:trPr>
          <w:trHeight w:val="216"/>
        </w:trPr>
        <w:tc>
          <w:tcPr>
            <w:tcW w:w="2180" w:type="dxa"/>
            <w:vAlign w:val="bottom"/>
            <w:shd w:val="clear" w:color="auto" w:fill="BFBFBF"/>
          </w:tcPr>
          <w:p>
            <w:pPr>
              <w:spacing w:after="0"/>
              <w:rPr>
                <w:sz w:val="18"/>
                <w:szCs w:val="18"/>
                <w:color w:val="auto"/>
              </w:rPr>
            </w:pPr>
          </w:p>
        </w:tc>
        <w:tc>
          <w:tcPr>
            <w:tcW w:w="2140" w:type="dxa"/>
            <w:vAlign w:val="bottom"/>
            <w:shd w:val="clear" w:color="auto" w:fill="BFBFBF"/>
          </w:tcPr>
          <w:p>
            <w:pPr>
              <w:jc w:val="center"/>
              <w:ind w:right="50"/>
              <w:spacing w:after="0"/>
              <w:rPr>
                <w:sz w:val="20"/>
                <w:szCs w:val="20"/>
                <w:color w:val="auto"/>
              </w:rPr>
            </w:pPr>
            <w:r>
              <w:rPr>
                <w:rFonts w:ascii="Arial" w:cs="Arial" w:eastAsia="Arial" w:hAnsi="Arial"/>
                <w:sz w:val="18"/>
                <w:szCs w:val="18"/>
                <w:b w:val="1"/>
                <w:bCs w:val="1"/>
                <w:color w:val="auto"/>
                <w:w w:val="91"/>
              </w:rPr>
              <w:t>Performance Period</w:t>
            </w:r>
          </w:p>
        </w:tc>
      </w:tr>
      <w:tr>
        <w:trPr>
          <w:trHeight w:val="255"/>
        </w:trPr>
        <w:tc>
          <w:tcPr>
            <w:tcW w:w="2180" w:type="dxa"/>
            <w:vAlign w:val="bottom"/>
            <w:tcBorders>
              <w:bottom w:val="single" w:sz="8" w:color="BFBFBF"/>
            </w:tcBorders>
            <w:shd w:val="clear" w:color="auto" w:fill="BFBFBF"/>
          </w:tcPr>
          <w:p>
            <w:pPr>
              <w:ind w:left="800"/>
              <w:spacing w:after="0"/>
              <w:rPr>
                <w:sz w:val="20"/>
                <w:szCs w:val="20"/>
                <w:color w:val="auto"/>
              </w:rPr>
            </w:pPr>
            <w:r>
              <w:rPr>
                <w:rFonts w:ascii="Arial" w:cs="Arial" w:eastAsia="Arial" w:hAnsi="Arial"/>
                <w:sz w:val="18"/>
                <w:szCs w:val="18"/>
                <w:b w:val="1"/>
                <w:bCs w:val="1"/>
                <w:color w:val="auto"/>
              </w:rPr>
              <w:t>Name</w:t>
            </w:r>
          </w:p>
        </w:tc>
        <w:tc>
          <w:tcPr>
            <w:tcW w:w="2140" w:type="dxa"/>
            <w:vAlign w:val="bottom"/>
            <w:tcBorders>
              <w:bottom w:val="single" w:sz="8" w:color="BFBFBF"/>
            </w:tcBorders>
            <w:shd w:val="clear" w:color="auto" w:fill="BFBFBF"/>
          </w:tcPr>
          <w:p>
            <w:pPr>
              <w:jc w:val="center"/>
              <w:spacing w:after="0"/>
              <w:rPr>
                <w:sz w:val="20"/>
                <w:szCs w:val="20"/>
                <w:color w:val="auto"/>
              </w:rPr>
            </w:pPr>
            <w:r>
              <w:rPr>
                <w:rFonts w:ascii="Arial" w:cs="Arial" w:eastAsia="Arial" w:hAnsi="Arial"/>
                <w:sz w:val="18"/>
                <w:szCs w:val="18"/>
                <w:b w:val="1"/>
                <w:bCs w:val="1"/>
                <w:color w:val="auto"/>
                <w:w w:val="90"/>
              </w:rPr>
              <w:t>Bonus Award ($)</w:t>
            </w:r>
          </w:p>
        </w:tc>
      </w:tr>
      <w:tr>
        <w:trPr>
          <w:trHeight w:val="257"/>
        </w:trPr>
        <w:tc>
          <w:tcPr>
            <w:tcW w:w="2180" w:type="dxa"/>
            <w:vAlign w:val="bottom"/>
          </w:tcPr>
          <w:p>
            <w:pPr>
              <w:ind w:left="60"/>
              <w:spacing w:after="0"/>
              <w:rPr>
                <w:sz w:val="20"/>
                <w:szCs w:val="20"/>
                <w:color w:val="auto"/>
              </w:rPr>
            </w:pPr>
            <w:r>
              <w:rPr>
                <w:rFonts w:ascii="Arial" w:cs="Arial" w:eastAsia="Arial" w:hAnsi="Arial"/>
                <w:sz w:val="18"/>
                <w:szCs w:val="18"/>
                <w:color w:val="auto"/>
              </w:rPr>
              <w:t>Carl H. Lindner III</w:t>
            </w:r>
          </w:p>
        </w:tc>
        <w:tc>
          <w:tcPr>
            <w:tcW w:w="2140" w:type="dxa"/>
            <w:vAlign w:val="bottom"/>
          </w:tcPr>
          <w:p>
            <w:pPr>
              <w:jc w:val="center"/>
              <w:ind w:right="10"/>
              <w:spacing w:after="0"/>
              <w:rPr>
                <w:sz w:val="20"/>
                <w:szCs w:val="20"/>
                <w:color w:val="auto"/>
              </w:rPr>
            </w:pPr>
            <w:r>
              <w:rPr>
                <w:rFonts w:ascii="Arial" w:cs="Arial" w:eastAsia="Arial" w:hAnsi="Arial"/>
                <w:sz w:val="18"/>
                <w:szCs w:val="18"/>
                <w:color w:val="auto"/>
                <w:w w:val="89"/>
              </w:rPr>
              <w:t>4,444,444</w:t>
            </w:r>
          </w:p>
        </w:tc>
      </w:tr>
      <w:tr>
        <w:trPr>
          <w:trHeight w:val="297"/>
        </w:trPr>
        <w:tc>
          <w:tcPr>
            <w:tcW w:w="2180" w:type="dxa"/>
            <w:vAlign w:val="bottom"/>
          </w:tcPr>
          <w:p>
            <w:pPr>
              <w:ind w:left="60"/>
              <w:spacing w:after="0"/>
              <w:rPr>
                <w:sz w:val="20"/>
                <w:szCs w:val="20"/>
                <w:color w:val="auto"/>
              </w:rPr>
            </w:pPr>
            <w:r>
              <w:rPr>
                <w:rFonts w:ascii="Arial" w:cs="Arial" w:eastAsia="Arial" w:hAnsi="Arial"/>
                <w:sz w:val="18"/>
                <w:szCs w:val="18"/>
                <w:color w:val="auto"/>
              </w:rPr>
              <w:t>S. Craig Lindner</w:t>
            </w:r>
          </w:p>
        </w:tc>
        <w:tc>
          <w:tcPr>
            <w:tcW w:w="2140" w:type="dxa"/>
            <w:vAlign w:val="bottom"/>
          </w:tcPr>
          <w:p>
            <w:pPr>
              <w:jc w:val="center"/>
              <w:ind w:right="10"/>
              <w:spacing w:after="0"/>
              <w:rPr>
                <w:sz w:val="20"/>
                <w:szCs w:val="20"/>
                <w:color w:val="auto"/>
              </w:rPr>
            </w:pPr>
            <w:r>
              <w:rPr>
                <w:rFonts w:ascii="Arial" w:cs="Arial" w:eastAsia="Arial" w:hAnsi="Arial"/>
                <w:sz w:val="18"/>
                <w:szCs w:val="18"/>
                <w:color w:val="auto"/>
                <w:w w:val="89"/>
              </w:rPr>
              <w:t>4,444,444</w:t>
            </w:r>
          </w:p>
        </w:tc>
      </w:tr>
      <w:tr>
        <w:trPr>
          <w:trHeight w:val="297"/>
        </w:trPr>
        <w:tc>
          <w:tcPr>
            <w:tcW w:w="2180" w:type="dxa"/>
            <w:vAlign w:val="bottom"/>
          </w:tcPr>
          <w:p>
            <w:pPr>
              <w:ind w:left="60"/>
              <w:spacing w:after="0"/>
              <w:rPr>
                <w:sz w:val="20"/>
                <w:szCs w:val="20"/>
                <w:color w:val="auto"/>
              </w:rPr>
            </w:pPr>
            <w:r>
              <w:rPr>
                <w:rFonts w:ascii="Arial" w:cs="Arial" w:eastAsia="Arial" w:hAnsi="Arial"/>
                <w:sz w:val="18"/>
                <w:szCs w:val="18"/>
                <w:color w:val="auto"/>
                <w:w w:val="99"/>
              </w:rPr>
              <w:t>Joseph E. (Jeff) Consolino</w:t>
            </w:r>
          </w:p>
        </w:tc>
        <w:tc>
          <w:tcPr>
            <w:tcW w:w="2140" w:type="dxa"/>
            <w:vAlign w:val="bottom"/>
          </w:tcPr>
          <w:p>
            <w:pPr>
              <w:jc w:val="center"/>
              <w:ind w:right="10"/>
              <w:spacing w:after="0"/>
              <w:rPr>
                <w:sz w:val="20"/>
                <w:szCs w:val="20"/>
                <w:color w:val="auto"/>
              </w:rPr>
            </w:pPr>
            <w:r>
              <w:rPr>
                <w:rFonts w:ascii="Arial" w:cs="Arial" w:eastAsia="Arial" w:hAnsi="Arial"/>
                <w:sz w:val="18"/>
                <w:szCs w:val="18"/>
                <w:color w:val="auto"/>
                <w:w w:val="89"/>
              </w:rPr>
              <w:t>1,333,333</w:t>
            </w:r>
          </w:p>
        </w:tc>
      </w:tr>
      <w:tr>
        <w:trPr>
          <w:trHeight w:val="297"/>
        </w:trPr>
        <w:tc>
          <w:tcPr>
            <w:tcW w:w="2180" w:type="dxa"/>
            <w:vAlign w:val="bottom"/>
          </w:tcPr>
          <w:p>
            <w:pPr>
              <w:ind w:left="60"/>
              <w:spacing w:after="0"/>
              <w:rPr>
                <w:sz w:val="20"/>
                <w:szCs w:val="20"/>
                <w:color w:val="auto"/>
              </w:rPr>
            </w:pPr>
            <w:r>
              <w:rPr>
                <w:rFonts w:ascii="Arial" w:cs="Arial" w:eastAsia="Arial" w:hAnsi="Arial"/>
                <w:sz w:val="18"/>
                <w:szCs w:val="18"/>
                <w:color w:val="auto"/>
              </w:rPr>
              <w:t>John B. Berding</w:t>
            </w:r>
          </w:p>
        </w:tc>
        <w:tc>
          <w:tcPr>
            <w:tcW w:w="2140" w:type="dxa"/>
            <w:vAlign w:val="bottom"/>
          </w:tcPr>
          <w:p>
            <w:pPr>
              <w:jc w:val="center"/>
              <w:ind w:right="10"/>
              <w:spacing w:after="0"/>
              <w:rPr>
                <w:sz w:val="20"/>
                <w:szCs w:val="20"/>
                <w:color w:val="auto"/>
              </w:rPr>
            </w:pPr>
            <w:r>
              <w:rPr>
                <w:rFonts w:ascii="Arial" w:cs="Arial" w:eastAsia="Arial" w:hAnsi="Arial"/>
                <w:sz w:val="18"/>
                <w:szCs w:val="18"/>
                <w:color w:val="auto"/>
                <w:w w:val="89"/>
              </w:rPr>
              <w:t>1,333,333</w:t>
            </w:r>
          </w:p>
        </w:tc>
      </w:tr>
    </w:tbl>
    <w:p>
      <w:pPr>
        <w:spacing w:after="0" w:line="193" w:lineRule="exact"/>
        <w:rPr>
          <w:sz w:val="20"/>
          <w:szCs w:val="20"/>
          <w:color w:val="auto"/>
        </w:rPr>
      </w:pPr>
    </w:p>
    <w:p>
      <w:pPr>
        <w:ind w:left="1080" w:right="440"/>
        <w:spacing w:after="0" w:line="323" w:lineRule="auto"/>
        <w:rPr>
          <w:sz w:val="20"/>
          <w:szCs w:val="20"/>
          <w:color w:val="auto"/>
        </w:rPr>
      </w:pPr>
      <w:r>
        <w:rPr>
          <w:rFonts w:ascii="Arial" w:cs="Arial" w:eastAsia="Arial" w:hAnsi="Arial"/>
          <w:sz w:val="18"/>
          <w:szCs w:val="18"/>
          <w:b w:val="1"/>
          <w:bCs w:val="1"/>
          <w:color w:val="3F3F3F"/>
        </w:rPr>
        <w:t>Long-Term Equity Incentive Compensation— Broad-Based Equity Award</w:t>
      </w:r>
    </w:p>
    <w:p>
      <w:pPr>
        <w:spacing w:after="0" w:line="18" w:lineRule="exact"/>
        <w:rPr>
          <w:sz w:val="20"/>
          <w:szCs w:val="20"/>
          <w:color w:val="auto"/>
        </w:rPr>
      </w:pPr>
    </w:p>
    <w:p>
      <w:pPr>
        <w:ind w:left="1080" w:right="180"/>
        <w:spacing w:after="0" w:line="284" w:lineRule="auto"/>
        <w:rPr>
          <w:sz w:val="20"/>
          <w:szCs w:val="20"/>
          <w:color w:val="auto"/>
        </w:rPr>
      </w:pPr>
      <w:r>
        <w:rPr>
          <w:rFonts w:ascii="Arial" w:cs="Arial" w:eastAsia="Arial" w:hAnsi="Arial"/>
          <w:sz w:val="16"/>
          <w:szCs w:val="16"/>
          <w:color w:val="auto"/>
        </w:rPr>
        <w:t>The Compensation Committee believes long-term equity incentive compensation encourages management to focus on long-term Company performance and provides an opportunity for executive officers and certain designated key employees to increase their stake in the Company through equity awards that vest over time.</w:t>
      </w:r>
    </w:p>
    <w:p>
      <w:pPr>
        <w:spacing w:after="0" w:line="4" w:lineRule="exact"/>
        <w:rPr>
          <w:sz w:val="20"/>
          <w:szCs w:val="20"/>
          <w:color w:val="auto"/>
        </w:rPr>
      </w:pPr>
    </w:p>
    <w:p>
      <w:pPr>
        <w:ind w:left="1080" w:right="100"/>
        <w:spacing w:after="0" w:line="295" w:lineRule="auto"/>
        <w:rPr>
          <w:sz w:val="20"/>
          <w:szCs w:val="20"/>
          <w:color w:val="auto"/>
        </w:rPr>
      </w:pPr>
      <w:r>
        <w:rPr>
          <w:rFonts w:ascii="Arial" w:cs="Arial" w:eastAsia="Arial" w:hAnsi="Arial"/>
          <w:sz w:val="16"/>
          <w:szCs w:val="16"/>
          <w:color w:val="auto"/>
        </w:rPr>
        <w:t>The Compensation Committee believes that equity awards represent an important part of AFG’s performance-based compensation system and that equity awards align AFG’s senior executives’ interests with those of its shareholders.</w:t>
      </w:r>
    </w:p>
    <w:p>
      <w:pPr>
        <w:spacing w:after="0" w:line="53" w:lineRule="exact"/>
        <w:rPr>
          <w:sz w:val="20"/>
          <w:szCs w:val="20"/>
          <w:color w:val="auto"/>
        </w:rPr>
      </w:pPr>
    </w:p>
    <w:p>
      <w:pPr>
        <w:ind w:left="1080" w:right="160"/>
        <w:spacing w:after="0" w:line="296" w:lineRule="auto"/>
        <w:rPr>
          <w:sz w:val="20"/>
          <w:szCs w:val="20"/>
          <w:color w:val="auto"/>
        </w:rPr>
      </w:pPr>
      <w:r>
        <w:rPr>
          <w:rFonts w:ascii="Arial" w:cs="Arial" w:eastAsia="Arial" w:hAnsi="Arial"/>
          <w:sz w:val="16"/>
          <w:szCs w:val="16"/>
          <w:color w:val="auto"/>
        </w:rPr>
        <w:t>Equity awards are generally granted at a regularly scheduled Compensation Committee meeting in February after the investment market has had the opportunity to assess AFG’s announcement of results of the recently ended fiscal year and current year earnings guidance.</w:t>
      </w:r>
    </w:p>
    <w:p>
      <w:pPr>
        <w:spacing w:after="0" w:line="53" w:lineRule="exact"/>
        <w:rPr>
          <w:sz w:val="20"/>
          <w:szCs w:val="20"/>
          <w:color w:val="auto"/>
        </w:rPr>
      </w:pPr>
    </w:p>
    <w:p>
      <w:pPr>
        <w:ind w:left="1080" w:right="120"/>
        <w:spacing w:after="0" w:line="283" w:lineRule="auto"/>
        <w:rPr>
          <w:sz w:val="20"/>
          <w:szCs w:val="20"/>
          <w:color w:val="auto"/>
        </w:rPr>
      </w:pPr>
      <w:r>
        <w:rPr>
          <w:rFonts w:ascii="Arial" w:cs="Arial" w:eastAsia="Arial" w:hAnsi="Arial"/>
          <w:sz w:val="16"/>
          <w:szCs w:val="16"/>
          <w:color w:val="auto"/>
        </w:rPr>
        <w:t>Prior to the 2016 annual grants, the Compensation Committee granted stock options and restricted shares to executive officers and certain designated key employees. Beginning with the February 2016 customary broad-based annual grant of equity awards to employees, including executive officers, the Compensation Committee discontinued granting stock options and began awarding only restricted shares that cliff-vest after four years, partly in order to reduce the potential dilution to shareholders from stock-based incentive compensation.</w:t>
      </w:r>
    </w:p>
    <w:p>
      <w:pPr>
        <w:spacing w:after="0" w:line="5" w:lineRule="exact"/>
        <w:rPr>
          <w:sz w:val="20"/>
          <w:szCs w:val="20"/>
          <w:color w:val="auto"/>
        </w:rPr>
      </w:pPr>
    </w:p>
    <w:p>
      <w:pPr>
        <w:ind w:left="1080" w:right="240"/>
        <w:spacing w:after="0" w:line="295" w:lineRule="auto"/>
        <w:rPr>
          <w:sz w:val="20"/>
          <w:szCs w:val="20"/>
          <w:color w:val="auto"/>
        </w:rPr>
      </w:pPr>
      <w:r>
        <w:rPr>
          <w:rFonts w:ascii="Arial" w:cs="Arial" w:eastAsia="Arial" w:hAnsi="Arial"/>
          <w:sz w:val="16"/>
          <w:szCs w:val="16"/>
          <w:color w:val="auto"/>
        </w:rPr>
        <w:t>Awards beginning with 2016 grants also contain double-trigger vesting which limits acceleration of awards to situations where change in control is accompanied by a qualified termination of employment.</w:t>
      </w:r>
    </w:p>
    <w:p>
      <w:pPr>
        <w:spacing w:after="0" w:line="53" w:lineRule="exact"/>
        <w:rPr>
          <w:sz w:val="20"/>
          <w:szCs w:val="20"/>
          <w:color w:val="auto"/>
        </w:rPr>
      </w:pPr>
    </w:p>
    <w:p>
      <w:pPr>
        <w:ind w:left="1080"/>
        <w:spacing w:after="0" w:line="289" w:lineRule="auto"/>
        <w:rPr>
          <w:sz w:val="20"/>
          <w:szCs w:val="20"/>
          <w:color w:val="auto"/>
        </w:rPr>
      </w:pPr>
      <w:r>
        <w:rPr>
          <w:rFonts w:ascii="Arial" w:cs="Arial" w:eastAsia="Arial" w:hAnsi="Arial"/>
          <w:sz w:val="16"/>
          <w:szCs w:val="16"/>
          <w:color w:val="auto"/>
        </w:rPr>
        <w:t>In determining the value of annual grants to key employees, the Compensation Committee takes into consideration the dilutive effect to shareholders as well as the expense to AFG as stock-based awards vest. The Compensation Committee believes that several features present in stock-based awards give recipients substantial incentive to maximize AFG’s long-term success. Specifically, the Compensation Committee believes that, because all awards vest over time, with restricted stock awards “cliff” vesting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in four years, these awards promote executive retention due to the potential for forfeiture of awards that have not fully vested upon departure from AFG.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-1219835</wp:posOffset>
            </wp:positionV>
            <wp:extent cx="7132320" cy="6515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651510"/>
                    </a:xfrm>
                    <a:prstGeom prst="rect">
                      <a:avLst/>
                    </a:prstGeom>
                    <a:noFill/>
                  </pic:spPr>
                </pic:pic>
              </a:graphicData>
            </a:graphic>
          </wp:anchor>
        </w:drawing>
      </w:r>
    </w:p>
    <w:p>
      <w:pPr>
        <w:spacing w:after="0" w:line="56" w:lineRule="exact"/>
        <w:rPr>
          <w:sz w:val="20"/>
          <w:szCs w:val="20"/>
          <w:color w:val="auto"/>
        </w:rPr>
      </w:pPr>
    </w:p>
    <w:p>
      <w:pPr>
        <w:spacing w:after="0" w:line="287" w:lineRule="auto"/>
        <w:rPr>
          <w:rFonts w:ascii="Arial" w:cs="Arial" w:eastAsia="Arial" w:hAnsi="Arial"/>
          <w:sz w:val="16"/>
          <w:szCs w:val="16"/>
          <w:color w:val="auto"/>
        </w:rPr>
      </w:pPr>
      <w:r>
        <w:rPr>
          <w:rFonts w:ascii="Arial" w:cs="Arial" w:eastAsia="Arial" w:hAnsi="Arial"/>
          <w:sz w:val="16"/>
          <w:szCs w:val="16"/>
          <w:color w:val="auto"/>
        </w:rPr>
        <w:t xml:space="preserve">Equity award levels for participants are determined based on market and peer company data, expense to AFG, the relative benefits to participants of such expense, the overall compensation level of participants and award amounts from previous years. Equity grants vary among participants based on their positions within the Company, and AFG believes that the consideration of these factors results in reasonable grant levels to its named executive officers and other employees. Restricted shares granted in 2019 to the named executive officers are set forth in the Grants of Plan-Based Awards Table on page </w:t>
      </w:r>
      <w:hyperlink w:anchor="page45">
        <w:r>
          <w:rPr>
            <w:rFonts w:ascii="Arial" w:cs="Arial" w:eastAsia="Arial" w:hAnsi="Arial"/>
            <w:sz w:val="16"/>
            <w:szCs w:val="16"/>
            <w:u w:val="single" w:color="auto"/>
            <w:color w:val="0000EE"/>
          </w:rPr>
          <w:t>38</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this proxy statement.</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3F3F3F"/>
        </w:rPr>
        <w:t>Perquisites and Other Personal Benefits</w:t>
      </w:r>
    </w:p>
    <w:p>
      <w:pPr>
        <w:spacing w:after="0" w:line="116"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Perquisites, such as insurance coverage, the personal use of corporate aircraft, certain entertainment expenses and administrative staff attending to occasional personal matters are made available to AFG’s executive officers. The Compensation Committee views the perquisites provided to the named executive officers together with all other compensation elements as a component of total compensation and believes that diminishing or eliminating any perquisites would require a corresponding increase in other compensation components. Therefore, the Compensation Committee believes these perquisites, as a component of total executive compensation, to be reasonable and consistent with the overall goal of offering competitive compensation programs.</w:t>
      </w:r>
    </w:p>
    <w:p>
      <w:pPr>
        <w:spacing w:after="0" w:line="63" w:lineRule="exact"/>
        <w:rPr>
          <w:sz w:val="20"/>
          <w:szCs w:val="20"/>
          <w:color w:val="auto"/>
        </w:rPr>
      </w:pPr>
    </w:p>
    <w:p>
      <w:pPr>
        <w:ind w:right="180"/>
        <w:spacing w:after="0" w:line="263" w:lineRule="auto"/>
        <w:rPr>
          <w:rFonts w:ascii="Arial" w:cs="Arial" w:eastAsia="Arial" w:hAnsi="Arial"/>
          <w:sz w:val="18"/>
          <w:szCs w:val="18"/>
          <w:color w:val="auto"/>
        </w:rPr>
      </w:pPr>
      <w:r>
        <w:rPr>
          <w:rFonts w:ascii="Arial" w:cs="Arial" w:eastAsia="Arial" w:hAnsi="Arial"/>
          <w:sz w:val="18"/>
          <w:szCs w:val="18"/>
          <w:color w:val="auto"/>
        </w:rPr>
        <w:t xml:space="preserve">The benefits and the estimated costs to the Company of such benefits are included in the All Other Compensation table below on page </w:t>
      </w:r>
      <w:hyperlink w:anchor="page44">
        <w:r>
          <w:rPr>
            <w:rFonts w:ascii="Arial" w:cs="Arial" w:eastAsia="Arial" w:hAnsi="Arial"/>
            <w:sz w:val="18"/>
            <w:szCs w:val="18"/>
            <w:u w:val="single" w:color="auto"/>
            <w:color w:val="0000EE"/>
          </w:rPr>
          <w:t>37</w:t>
        </w:r>
      </w:hyperlink>
      <w:r>
        <w:rPr>
          <w:rFonts w:ascii="Arial" w:cs="Arial" w:eastAsia="Arial" w:hAnsi="Arial"/>
          <w:sz w:val="18"/>
          <w:szCs w:val="18"/>
          <w:color w:val="auto"/>
        </w:rPr>
        <w:t>.</w:t>
      </w:r>
    </w:p>
    <w:p>
      <w:pPr>
        <w:spacing w:after="0" w:line="76"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During 2019, as in prior years, the Company operated corporate aircraft used for the business travel of management and staff of the Company and its subsidiaries. The Board has encouraged the Co-CEOs to use corporate aircraft for all travel whenever practicable for productivity, security and confidentiality reasons.</w:t>
      </w:r>
    </w:p>
    <w:p>
      <w:pPr>
        <w:spacing w:after="0" w:line="5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Notwithstanding, the Compensation Committee and the Co-CEOs jointly acknowledge that personal aircraft use is a personal benefit. Each Co-CEO is provided a fixed number of hours per year for personal use (130 flight hours for 2019) instead of additional cash compensation that would have been paid. On certain occasions, an executive’s spouse, other family members or guests may fly on the corporate aircraft.</w:t>
      </w:r>
    </w:p>
    <w:p>
      <w:pPr>
        <w:spacing w:after="0" w:line="70"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Other perquisites, excluding aircraft, retirement plan and health savings account company match, are limited to $500,000 for each Co-CEO. If exceeded, reimbursement is made based on the cost to the Company of providing the benefits. For taxable benefits, the dollar amounts are included as taxable income to the named executive officers,</w:t>
      </w:r>
    </w:p>
    <w:p>
      <w:pPr>
        <w:spacing w:after="0" w:line="373" w:lineRule="exact"/>
        <w:rPr>
          <w:sz w:val="20"/>
          <w:szCs w:val="20"/>
          <w:color w:val="auto"/>
        </w:rPr>
      </w:pPr>
    </w:p>
    <w:p>
      <w:pPr>
        <w:sectPr>
          <w:pgSz w:w="11900" w:h="16838" w:orient="portrait"/>
          <w:cols w:equalWidth="0" w:num="2">
            <w:col w:w="5400" w:space="440"/>
            <w:col w:w="4320"/>
          </w:cols>
          <w:pgMar w:left="320" w:top="265" w:right="1419" w:bottom="1440" w:gutter="0" w:footer="0" w:header="0"/>
        </w:sectPr>
      </w:pPr>
    </w:p>
    <w:p>
      <w:pPr>
        <w:spacing w:after="0" w:line="79" w:lineRule="exact"/>
        <w:rPr>
          <w:sz w:val="20"/>
          <w:szCs w:val="20"/>
          <w:color w:val="auto"/>
        </w:rPr>
      </w:pPr>
    </w:p>
    <w:p>
      <w:pPr>
        <w:ind w:left="1160"/>
        <w:spacing w:after="0"/>
        <w:tabs>
          <w:tab w:leader="none" w:pos="9960" w:val="left"/>
        </w:tabs>
        <w:rPr>
          <w:sz w:val="20"/>
          <w:szCs w:val="20"/>
          <w:color w:val="auto"/>
        </w:rPr>
      </w:pPr>
      <w:r>
        <w:rPr>
          <w:rFonts w:ascii="Arial" w:cs="Arial" w:eastAsia="Arial" w:hAnsi="Arial"/>
          <w:sz w:val="16"/>
          <w:szCs w:val="16"/>
          <w:color w:val="auto"/>
        </w:rPr>
        <w:t>2020 Proxy Statement | Compensation Discussion and Analysis</w:t>
      </w:r>
      <w:r>
        <w:rPr>
          <w:sz w:val="20"/>
          <w:szCs w:val="20"/>
          <w:color w:val="auto"/>
        </w:rPr>
        <w:tab/>
      </w: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137795</wp:posOffset>
            </wp:positionV>
            <wp:extent cx="699516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160"/>
          </w:cols>
          <w:pgMar w:left="320" w:top="265" w:right="1419" w:bottom="1440" w:gutter="0" w:footer="0" w:header="0"/>
          <w:type w:val="continuous"/>
        </w:sectPr>
      </w:pPr>
    </w:p>
    <w:bookmarkStart w:id="41" w:name="page42"/>
    <w:bookmarkEnd w:id="41"/>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6515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651510"/>
                    </a:xfrm>
                    <a:prstGeom prst="rect">
                      <a:avLst/>
                    </a:prstGeom>
                    <a:noFill/>
                  </pic:spPr>
                </pic:pic>
              </a:graphicData>
            </a:graphic>
          </wp:anchor>
        </w:drawing>
      </w:r>
    </w:p>
    <w:p>
      <w:pPr>
        <w:sectPr>
          <w:pgSz w:w="11900" w:h="16838" w:orient="portrait"/>
          <w:cols w:equalWidth="0" w:num="1">
            <w:col w:w="10140"/>
          </w:cols>
          <w:pgMar w:left="320" w:top="265" w:right="1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080" w:right="100"/>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and the Company does not provide tax gross-up payments for any perquisites. See footnote (1) to the “All Other Compensation” table below on page </w:t>
      </w:r>
      <w:hyperlink w:anchor="page44">
        <w:r>
          <w:rPr>
            <w:rFonts w:ascii="Arial" w:cs="Arial" w:eastAsia="Arial" w:hAnsi="Arial"/>
            <w:sz w:val="18"/>
            <w:szCs w:val="18"/>
            <w:u w:val="single" w:color="auto"/>
            <w:color w:val="0000EE"/>
          </w:rPr>
          <w:t>37</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a discussion of the tax treatment of aircraft benefits.</w:t>
      </w:r>
    </w:p>
    <w:p>
      <w:pPr>
        <w:spacing w:after="0" w:line="219" w:lineRule="exact"/>
        <w:rPr>
          <w:sz w:val="20"/>
          <w:szCs w:val="20"/>
          <w:color w:val="auto"/>
        </w:rPr>
      </w:pPr>
    </w:p>
    <w:p>
      <w:pPr>
        <w:ind w:left="1080"/>
        <w:spacing w:after="0"/>
        <w:rPr>
          <w:sz w:val="20"/>
          <w:szCs w:val="20"/>
          <w:color w:val="auto"/>
        </w:rPr>
      </w:pPr>
      <w:r>
        <w:rPr>
          <w:rFonts w:ascii="Arial" w:cs="Arial" w:eastAsia="Arial" w:hAnsi="Arial"/>
          <w:sz w:val="20"/>
          <w:szCs w:val="20"/>
          <w:b w:val="1"/>
          <w:bCs w:val="1"/>
          <w:color w:val="3F3F3F"/>
        </w:rPr>
        <w:t>Recovery of Prior Awards</w:t>
      </w:r>
    </w:p>
    <w:p>
      <w:pPr>
        <w:spacing w:after="0" w:line="116" w:lineRule="exact"/>
        <w:rPr>
          <w:sz w:val="20"/>
          <w:szCs w:val="20"/>
          <w:color w:val="auto"/>
        </w:rPr>
      </w:pPr>
    </w:p>
    <w:p>
      <w:pPr>
        <w:ind w:left="1080" w:right="20"/>
        <w:spacing w:after="0" w:line="285" w:lineRule="auto"/>
        <w:rPr>
          <w:sz w:val="20"/>
          <w:szCs w:val="20"/>
          <w:color w:val="auto"/>
        </w:rPr>
      </w:pPr>
      <w:r>
        <w:rPr>
          <w:rFonts w:ascii="Arial" w:cs="Arial" w:eastAsia="Arial" w:hAnsi="Arial"/>
          <w:sz w:val="16"/>
          <w:szCs w:val="16"/>
          <w:color w:val="auto"/>
        </w:rPr>
        <w:t>AFG does not have a policy with respect to adjustment or recovery of awards or payments if relevant company performance measures upon which previous awards were based are restated or otherwise adjusted in a manner that would reduce the size of such award or payment. Under those circumstances, we expect that the Compensation Committee and the Board would evaluate whether compensation adjustments were appropriate based upon the facts and circumstances surrounding the applicable restatement or adjustment. Nevertheless, the Company is subject to the provisions of Section 304 of the Sarbanes-Oxley Act, with its recoupment requirements. In addition, each of the Senior Executive LTIC and the Senior Executive Annual Bonus Plan contain specific provisions regarding recovery of awards in the event of restatement of materially inaccurate financial results.</w:t>
      </w:r>
    </w:p>
    <w:p>
      <w:pPr>
        <w:spacing w:after="0" w:line="208" w:lineRule="exact"/>
        <w:rPr>
          <w:sz w:val="20"/>
          <w:szCs w:val="20"/>
          <w:color w:val="auto"/>
        </w:rPr>
      </w:pPr>
    </w:p>
    <w:p>
      <w:pPr>
        <w:ind w:left="1080"/>
        <w:spacing w:after="0"/>
        <w:rPr>
          <w:sz w:val="20"/>
          <w:szCs w:val="20"/>
          <w:color w:val="auto"/>
        </w:rPr>
      </w:pPr>
      <w:r>
        <w:rPr>
          <w:rFonts w:ascii="Arial" w:cs="Arial" w:eastAsia="Arial" w:hAnsi="Arial"/>
          <w:sz w:val="20"/>
          <w:szCs w:val="20"/>
          <w:b w:val="1"/>
          <w:bCs w:val="1"/>
          <w:color w:val="3F3F3F"/>
        </w:rPr>
        <w:t>Retirement and Other Related Benefits</w:t>
      </w:r>
    </w:p>
    <w:p>
      <w:pPr>
        <w:spacing w:after="0" w:line="116" w:lineRule="exact"/>
        <w:rPr>
          <w:sz w:val="20"/>
          <w:szCs w:val="20"/>
          <w:color w:val="auto"/>
        </w:rPr>
      </w:pPr>
    </w:p>
    <w:p>
      <w:pPr>
        <w:ind w:left="1080"/>
        <w:spacing w:after="0" w:line="272" w:lineRule="auto"/>
        <w:rPr>
          <w:sz w:val="20"/>
          <w:szCs w:val="20"/>
          <w:color w:val="auto"/>
        </w:rPr>
      </w:pPr>
      <w:r>
        <w:rPr>
          <w:rFonts w:ascii="Arial" w:cs="Arial" w:eastAsia="Arial" w:hAnsi="Arial"/>
          <w:sz w:val="17"/>
          <w:szCs w:val="17"/>
          <w:color w:val="auto"/>
        </w:rPr>
        <w:t>The Company provides retirement benefits to named executive officers through a combination of qualified (under the Internal Revenue Code) and nonqualified plans. AFG provides retirement benefits to all qualified employees through the 401(k) Retirement and Savings Plan (“RASP”), a defined contribution plan. AFG matches 100% on the first 3% of contributions and an additional</w:t>
      </w:r>
    </w:p>
    <w:p>
      <w:pPr>
        <w:spacing w:after="0" w:line="290"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2020 Proxy Statement | Compensation Discussion and Analysis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50% on the next 3% of contributions and makes discretionary contributions to the retirement fund portion of the plan. The amount of such contributions and matching payments are based on a percentage of the employee’s salary up to certain thresholds. AFG also makes available to certain employees benefits in its Nonqualified Auxiliary RASP (“Auxiliary RASP”). The purpose of the Auxiliary RASP is to enable employees whose contributions in the retirement contribution portion of the 401(k) RASP are limited by IRS regulations to have an additional benefit to the 401(k) RASP.</w:t>
      </w:r>
    </w:p>
    <w:p>
      <w:pPr>
        <w:spacing w:after="0" w:line="74" w:lineRule="exact"/>
        <w:rPr>
          <w:sz w:val="20"/>
          <w:szCs w:val="20"/>
          <w:color w:val="auto"/>
        </w:rPr>
      </w:pPr>
    </w:p>
    <w:p>
      <w:pPr>
        <w:spacing w:after="0" w:line="285" w:lineRule="auto"/>
        <w:rPr>
          <w:rFonts w:ascii="Arial" w:cs="Arial" w:eastAsia="Arial" w:hAnsi="Arial"/>
          <w:sz w:val="16"/>
          <w:szCs w:val="16"/>
          <w:color w:val="auto"/>
        </w:rPr>
      </w:pPr>
      <w:r>
        <w:rPr>
          <w:rFonts w:ascii="Arial" w:cs="Arial" w:eastAsia="Arial" w:hAnsi="Arial"/>
          <w:sz w:val="16"/>
          <w:szCs w:val="16"/>
          <w:color w:val="auto"/>
        </w:rPr>
        <w:t xml:space="preserve">The Company also maintains a Deferred Compensation Plan pursuant to which certain employees of AFG and its subsidiaries (currently those paid $110,000 or more annually) may defer up to 80% of their annual salary and/or bonus. For 2019, participants could elect to have the value of deferrals earn a fixed rate of interest, set annually by the Board of Directors (3.625% in 2019); fluctuate based on the market value of Company common shares, as adjusted to reflect stock splits, distributions, dividends; or earn interest as determined by one or more publicly traded mutual funds. A deferral term of either a fixed number of years or upon termination of employment must be elected at the time of deferral. Under the plan, no federal or state income taxes are paid on deferred compensation. Rather, such taxes will be due upon receipt at the end of the deferral period. The Nonqualified Deferred Compensation Table on page </w:t>
      </w:r>
      <w:hyperlink w:anchor="page48">
        <w:r>
          <w:rPr>
            <w:rFonts w:ascii="Arial" w:cs="Arial" w:eastAsia="Arial" w:hAnsi="Arial"/>
            <w:sz w:val="16"/>
            <w:szCs w:val="16"/>
            <w:u w:val="single" w:color="auto"/>
            <w:color w:val="0000EE"/>
          </w:rPr>
          <w:t>40</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this proxy statement discloses 2019 compensation earned by the named executive officers in connection with the Deferred Compensation Plan.</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140"/>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-3634105</wp:posOffset>
            </wp:positionH>
            <wp:positionV relativeFrom="paragraph">
              <wp:posOffset>144145</wp:posOffset>
            </wp:positionV>
            <wp:extent cx="699516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5400" w:space="440"/>
            <w:col w:w="4300"/>
          </w:cols>
          <w:pgMar w:left="320" w:top="265" w:right="1439" w:bottom="1440" w:gutter="0" w:footer="0" w:header="0"/>
          <w:type w:val="continuous"/>
        </w:sectPr>
      </w:pPr>
    </w:p>
    <w:bookmarkStart w:id="42" w:name="page43"/>
    <w:bookmarkEnd w:id="42"/>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6515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080"/>
        <w:spacing w:after="0"/>
        <w:rPr>
          <w:sz w:val="20"/>
          <w:szCs w:val="20"/>
          <w:color w:val="auto"/>
        </w:rPr>
      </w:pPr>
      <w:r>
        <w:rPr>
          <w:rFonts w:ascii="Arial" w:cs="Arial" w:eastAsia="Arial" w:hAnsi="Arial"/>
          <w:sz w:val="31"/>
          <w:szCs w:val="31"/>
          <w:b w:val="1"/>
          <w:bCs w:val="1"/>
          <w:color w:val="002875"/>
        </w:rPr>
        <w:t>Executive Compensation</w:t>
      </w:r>
    </w:p>
    <w:p>
      <w:pPr>
        <w:spacing w:after="0" w:line="305" w:lineRule="exact"/>
        <w:rPr>
          <w:sz w:val="20"/>
          <w:szCs w:val="20"/>
          <w:color w:val="auto"/>
        </w:rPr>
      </w:pPr>
    </w:p>
    <w:p>
      <w:pPr>
        <w:ind w:left="1080"/>
        <w:spacing w:after="0"/>
        <w:rPr>
          <w:sz w:val="20"/>
          <w:szCs w:val="20"/>
          <w:color w:val="auto"/>
        </w:rPr>
      </w:pPr>
      <w:r>
        <w:rPr>
          <w:rFonts w:ascii="Arial" w:cs="Arial" w:eastAsia="Arial" w:hAnsi="Arial"/>
          <w:sz w:val="20"/>
          <w:szCs w:val="20"/>
          <w:b w:val="1"/>
          <w:bCs w:val="1"/>
          <w:color w:val="3F3F3F"/>
        </w:rPr>
        <w:t>Summary Compensation Table</w:t>
      </w:r>
    </w:p>
    <w:p>
      <w:pPr>
        <w:spacing w:after="0" w:line="116" w:lineRule="exact"/>
        <w:rPr>
          <w:sz w:val="20"/>
          <w:szCs w:val="20"/>
          <w:color w:val="auto"/>
        </w:rPr>
      </w:pPr>
    </w:p>
    <w:p>
      <w:pPr>
        <w:ind w:left="1080"/>
        <w:spacing w:after="0" w:line="259" w:lineRule="auto"/>
        <w:rPr>
          <w:sz w:val="20"/>
          <w:szCs w:val="20"/>
          <w:color w:val="auto"/>
        </w:rPr>
      </w:pPr>
      <w:r>
        <w:rPr>
          <w:rFonts w:ascii="Arial" w:cs="Arial" w:eastAsia="Arial" w:hAnsi="Arial"/>
          <w:sz w:val="18"/>
          <w:szCs w:val="18"/>
          <w:color w:val="auto"/>
        </w:rPr>
        <w:t>The following table summarizes the aggregate compensation paid to or earned by the named executive officers for each of the last three years. Such compensation includes amounts paid by AFG and its subsidiaries and certain affiliates for the years indicated. Amounts shown relate to the year indicated, regardless of when paid. AFG has no employment agreements with the named executive officers.</w:t>
      </w:r>
    </w:p>
    <w:p>
      <w:pPr>
        <w:spacing w:after="0" w:line="167" w:lineRule="exact"/>
        <w:rPr>
          <w:sz w:val="20"/>
          <w:szCs w:val="20"/>
          <w:color w:val="auto"/>
        </w:rPr>
      </w:pPr>
    </w:p>
    <w:tbl>
      <w:tblPr>
        <w:tblLayout w:type="fixed"/>
        <w:tblInd w:w="1090" w:type="dxa"/>
        <w:tblCellMar>
          <w:top w:w="0" w:type="dxa"/>
          <w:left w:w="0" w:type="dxa"/>
          <w:bottom w:w="0" w:type="dxa"/>
          <w:right w:w="0" w:type="dxa"/>
        </w:tblCellMar>
      </w:tblPr>
      <w:tr>
        <w:trPr>
          <w:trHeight w:val="310"/>
        </w:trPr>
        <w:tc>
          <w:tcPr>
            <w:tcW w:w="2600" w:type="dxa"/>
            <w:vAlign w:val="bottom"/>
            <w:tcBorders>
              <w:top w:val="single" w:sz="8" w:color="auto"/>
              <w:left w:val="single" w:sz="8" w:color="auto"/>
              <w:right w:val="single" w:sz="8" w:color="auto"/>
            </w:tcBorders>
            <w:shd w:val="clear" w:color="auto" w:fill="BFBFBF"/>
          </w:tcPr>
          <w:p>
            <w:pPr>
              <w:spacing w:after="0"/>
              <w:rPr>
                <w:sz w:val="24"/>
                <w:szCs w:val="24"/>
                <w:color w:val="auto"/>
              </w:rPr>
            </w:pPr>
          </w:p>
        </w:tc>
        <w:tc>
          <w:tcPr>
            <w:tcW w:w="680" w:type="dxa"/>
            <w:vAlign w:val="bottom"/>
            <w:tcBorders>
              <w:top w:val="single" w:sz="8" w:color="auto"/>
              <w:right w:val="single" w:sz="8" w:color="auto"/>
            </w:tcBorders>
            <w:shd w:val="clear" w:color="auto" w:fill="BFBFBF"/>
          </w:tcPr>
          <w:p>
            <w:pPr>
              <w:spacing w:after="0"/>
              <w:rPr>
                <w:sz w:val="24"/>
                <w:szCs w:val="24"/>
                <w:color w:val="auto"/>
              </w:rPr>
            </w:pPr>
          </w:p>
        </w:tc>
        <w:tc>
          <w:tcPr>
            <w:tcW w:w="1060" w:type="dxa"/>
            <w:vAlign w:val="bottom"/>
            <w:tcBorders>
              <w:top w:val="single" w:sz="8" w:color="auto"/>
              <w:right w:val="single" w:sz="8" w:color="auto"/>
            </w:tcBorders>
            <w:shd w:val="clear" w:color="auto" w:fill="BFBFBF"/>
          </w:tcPr>
          <w:p>
            <w:pPr>
              <w:spacing w:after="0"/>
              <w:rPr>
                <w:sz w:val="24"/>
                <w:szCs w:val="24"/>
                <w:color w:val="auto"/>
              </w:rPr>
            </w:pPr>
          </w:p>
        </w:tc>
        <w:tc>
          <w:tcPr>
            <w:tcW w:w="1040" w:type="dxa"/>
            <w:vAlign w:val="bottom"/>
            <w:tcBorders>
              <w:top w:val="single" w:sz="8" w:color="auto"/>
              <w:right w:val="single" w:sz="8" w:color="auto"/>
            </w:tcBorders>
            <w:shd w:val="clear" w:color="auto" w:fill="BFBFBF"/>
          </w:tcPr>
          <w:p>
            <w:pPr>
              <w:spacing w:after="0"/>
              <w:rPr>
                <w:sz w:val="24"/>
                <w:szCs w:val="24"/>
                <w:color w:val="auto"/>
              </w:rPr>
            </w:pPr>
          </w:p>
        </w:tc>
        <w:tc>
          <w:tcPr>
            <w:tcW w:w="1340" w:type="dxa"/>
            <w:vAlign w:val="bottom"/>
            <w:tcBorders>
              <w:top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16"/>
                <w:szCs w:val="16"/>
                <w:b w:val="1"/>
                <w:bCs w:val="1"/>
                <w:color w:val="auto"/>
                <w:w w:val="93"/>
              </w:rPr>
              <w:t>Non-Equity</w:t>
            </w:r>
          </w:p>
        </w:tc>
        <w:tc>
          <w:tcPr>
            <w:tcW w:w="1340" w:type="dxa"/>
            <w:vAlign w:val="bottom"/>
            <w:tcBorders>
              <w:top w:val="single" w:sz="8" w:color="auto"/>
              <w:right w:val="single" w:sz="8" w:color="auto"/>
            </w:tcBorders>
            <w:shd w:val="clear" w:color="auto" w:fill="BFBFBF"/>
          </w:tcPr>
          <w:p>
            <w:pPr>
              <w:spacing w:after="0"/>
              <w:rPr>
                <w:sz w:val="24"/>
                <w:szCs w:val="24"/>
                <w:color w:val="auto"/>
              </w:rPr>
            </w:pPr>
          </w:p>
        </w:tc>
        <w:tc>
          <w:tcPr>
            <w:tcW w:w="1020" w:type="dxa"/>
            <w:vAlign w:val="bottom"/>
            <w:tcBorders>
              <w:top w:val="single" w:sz="8" w:color="auto"/>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600" w:type="dxa"/>
            <w:vAlign w:val="bottom"/>
            <w:tcBorders>
              <w:left w:val="single" w:sz="8" w:color="auto"/>
              <w:right w:val="single" w:sz="8" w:color="auto"/>
            </w:tcBorders>
            <w:shd w:val="clear" w:color="auto" w:fill="BFBFBF"/>
          </w:tcPr>
          <w:p>
            <w:pPr>
              <w:spacing w:after="0"/>
              <w:rPr>
                <w:sz w:val="17"/>
                <w:szCs w:val="17"/>
                <w:color w:val="auto"/>
              </w:rPr>
            </w:pPr>
          </w:p>
        </w:tc>
        <w:tc>
          <w:tcPr>
            <w:tcW w:w="680" w:type="dxa"/>
            <w:vAlign w:val="bottom"/>
            <w:tcBorders>
              <w:right w:val="single" w:sz="8" w:color="auto"/>
            </w:tcBorders>
            <w:shd w:val="clear" w:color="auto" w:fill="BFBFBF"/>
          </w:tcPr>
          <w:p>
            <w:pPr>
              <w:spacing w:after="0"/>
              <w:rPr>
                <w:sz w:val="17"/>
                <w:szCs w:val="17"/>
                <w:color w:val="auto"/>
              </w:rPr>
            </w:pPr>
          </w:p>
        </w:tc>
        <w:tc>
          <w:tcPr>
            <w:tcW w:w="1060" w:type="dxa"/>
            <w:vAlign w:val="bottom"/>
            <w:tcBorders>
              <w:right w:val="single" w:sz="8" w:color="auto"/>
            </w:tcBorders>
            <w:shd w:val="clear" w:color="auto" w:fill="BFBFBF"/>
          </w:tcPr>
          <w:p>
            <w:pPr>
              <w:spacing w:after="0"/>
              <w:rPr>
                <w:sz w:val="17"/>
                <w:szCs w:val="17"/>
                <w:color w:val="auto"/>
              </w:rPr>
            </w:pPr>
          </w:p>
        </w:tc>
        <w:tc>
          <w:tcPr>
            <w:tcW w:w="1040" w:type="dxa"/>
            <w:vAlign w:val="bottom"/>
            <w:tcBorders>
              <w:right w:val="single" w:sz="8" w:color="auto"/>
            </w:tcBorders>
            <w:shd w:val="clear" w:color="auto" w:fill="BFBFBF"/>
          </w:tcPr>
          <w:p>
            <w:pPr>
              <w:jc w:val="center"/>
              <w:spacing w:after="0"/>
              <w:rPr>
                <w:sz w:val="20"/>
                <w:szCs w:val="20"/>
                <w:color w:val="auto"/>
              </w:rPr>
            </w:pPr>
            <w:r>
              <w:rPr>
                <w:rFonts w:ascii="Arial" w:cs="Arial" w:eastAsia="Arial" w:hAnsi="Arial"/>
                <w:sz w:val="16"/>
                <w:szCs w:val="16"/>
                <w:b w:val="1"/>
                <w:bCs w:val="1"/>
                <w:color w:val="auto"/>
                <w:w w:val="91"/>
              </w:rPr>
              <w:t>Stock</w:t>
            </w:r>
          </w:p>
        </w:tc>
        <w:tc>
          <w:tcPr>
            <w:tcW w:w="1340" w:type="dxa"/>
            <w:vAlign w:val="bottom"/>
            <w:tcBorders>
              <w:right w:val="single" w:sz="8" w:color="auto"/>
            </w:tcBorders>
            <w:shd w:val="clear" w:color="auto" w:fill="BFBFBF"/>
          </w:tcPr>
          <w:p>
            <w:pPr>
              <w:jc w:val="center"/>
              <w:spacing w:after="0"/>
              <w:rPr>
                <w:sz w:val="20"/>
                <w:szCs w:val="20"/>
                <w:color w:val="auto"/>
              </w:rPr>
            </w:pPr>
            <w:r>
              <w:rPr>
                <w:rFonts w:ascii="Arial" w:cs="Arial" w:eastAsia="Arial" w:hAnsi="Arial"/>
                <w:sz w:val="16"/>
                <w:szCs w:val="16"/>
                <w:b w:val="1"/>
                <w:bCs w:val="1"/>
                <w:color w:val="auto"/>
                <w:w w:val="92"/>
              </w:rPr>
              <w:t>Incentive Plan</w:t>
            </w:r>
          </w:p>
        </w:tc>
        <w:tc>
          <w:tcPr>
            <w:tcW w:w="1340" w:type="dxa"/>
            <w:vAlign w:val="bottom"/>
            <w:tcBorders>
              <w:right w:val="single" w:sz="8" w:color="auto"/>
            </w:tcBorders>
            <w:shd w:val="clear" w:color="auto" w:fill="BFBFBF"/>
          </w:tcPr>
          <w:p>
            <w:pPr>
              <w:jc w:val="center"/>
              <w:spacing w:after="0"/>
              <w:rPr>
                <w:sz w:val="20"/>
                <w:szCs w:val="20"/>
                <w:color w:val="auto"/>
              </w:rPr>
            </w:pPr>
            <w:r>
              <w:rPr>
                <w:rFonts w:ascii="Arial" w:cs="Arial" w:eastAsia="Arial" w:hAnsi="Arial"/>
                <w:sz w:val="16"/>
                <w:szCs w:val="16"/>
                <w:b w:val="1"/>
                <w:bCs w:val="1"/>
                <w:color w:val="auto"/>
                <w:w w:val="97"/>
              </w:rPr>
              <w:t>All Other</w:t>
            </w:r>
          </w:p>
        </w:tc>
        <w:tc>
          <w:tcPr>
            <w:tcW w:w="1020" w:type="dxa"/>
            <w:vAlign w:val="bottom"/>
            <w:tcBorders>
              <w:right w:val="single" w:sz="8" w:color="auto"/>
            </w:tcBorders>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00" w:type="dxa"/>
            <w:vAlign w:val="bottom"/>
            <w:tcBorders>
              <w:left w:val="single" w:sz="8" w:color="auto"/>
              <w:right w:val="single" w:sz="8" w:color="auto"/>
            </w:tcBorders>
            <w:shd w:val="clear" w:color="auto" w:fill="BFBFBF"/>
          </w:tcPr>
          <w:p>
            <w:pPr>
              <w:spacing w:after="0"/>
              <w:rPr>
                <w:sz w:val="17"/>
                <w:szCs w:val="17"/>
                <w:color w:val="auto"/>
              </w:rPr>
            </w:pPr>
          </w:p>
        </w:tc>
        <w:tc>
          <w:tcPr>
            <w:tcW w:w="680" w:type="dxa"/>
            <w:vAlign w:val="bottom"/>
            <w:tcBorders>
              <w:right w:val="single" w:sz="8" w:color="auto"/>
            </w:tcBorders>
            <w:shd w:val="clear" w:color="auto" w:fill="BFBFBF"/>
          </w:tcPr>
          <w:p>
            <w:pPr>
              <w:spacing w:after="0"/>
              <w:rPr>
                <w:sz w:val="17"/>
                <w:szCs w:val="17"/>
                <w:color w:val="auto"/>
              </w:rPr>
            </w:pPr>
          </w:p>
        </w:tc>
        <w:tc>
          <w:tcPr>
            <w:tcW w:w="1060" w:type="dxa"/>
            <w:vAlign w:val="bottom"/>
            <w:tcBorders>
              <w:right w:val="single" w:sz="8" w:color="auto"/>
            </w:tcBorders>
            <w:shd w:val="clear" w:color="auto" w:fill="BFBFBF"/>
          </w:tcPr>
          <w:p>
            <w:pPr>
              <w:jc w:val="right"/>
              <w:ind w:right="251"/>
              <w:spacing w:after="0"/>
              <w:rPr>
                <w:sz w:val="20"/>
                <w:szCs w:val="20"/>
                <w:color w:val="auto"/>
              </w:rPr>
            </w:pPr>
            <w:r>
              <w:rPr>
                <w:rFonts w:ascii="Arial" w:cs="Arial" w:eastAsia="Arial" w:hAnsi="Arial"/>
                <w:sz w:val="16"/>
                <w:szCs w:val="16"/>
                <w:b w:val="1"/>
                <w:bCs w:val="1"/>
                <w:color w:val="auto"/>
              </w:rPr>
              <w:t>Salary</w:t>
            </w:r>
          </w:p>
        </w:tc>
        <w:tc>
          <w:tcPr>
            <w:tcW w:w="1040" w:type="dxa"/>
            <w:vAlign w:val="bottom"/>
            <w:tcBorders>
              <w:right w:val="single" w:sz="8" w:color="auto"/>
            </w:tcBorders>
            <w:shd w:val="clear" w:color="auto" w:fill="BFBFBF"/>
          </w:tcPr>
          <w:p>
            <w:pPr>
              <w:jc w:val="center"/>
              <w:spacing w:after="0"/>
              <w:rPr>
                <w:sz w:val="20"/>
                <w:szCs w:val="20"/>
                <w:color w:val="auto"/>
              </w:rPr>
            </w:pPr>
            <w:r>
              <w:rPr>
                <w:rFonts w:ascii="Arial" w:cs="Arial" w:eastAsia="Arial" w:hAnsi="Arial"/>
                <w:sz w:val="16"/>
                <w:szCs w:val="16"/>
                <w:b w:val="1"/>
                <w:bCs w:val="1"/>
                <w:color w:val="auto"/>
                <w:w w:val="89"/>
              </w:rPr>
              <w:t>Awards</w:t>
            </w:r>
          </w:p>
        </w:tc>
        <w:tc>
          <w:tcPr>
            <w:tcW w:w="1340" w:type="dxa"/>
            <w:vAlign w:val="bottom"/>
            <w:tcBorders>
              <w:right w:val="single" w:sz="8" w:color="auto"/>
            </w:tcBorders>
            <w:shd w:val="clear" w:color="auto" w:fill="BFBFBF"/>
          </w:tcPr>
          <w:p>
            <w:pPr>
              <w:jc w:val="center"/>
              <w:spacing w:after="0"/>
              <w:rPr>
                <w:sz w:val="20"/>
                <w:szCs w:val="20"/>
                <w:color w:val="auto"/>
              </w:rPr>
            </w:pPr>
            <w:r>
              <w:rPr>
                <w:rFonts w:ascii="Arial" w:cs="Arial" w:eastAsia="Arial" w:hAnsi="Arial"/>
                <w:sz w:val="16"/>
                <w:szCs w:val="16"/>
                <w:b w:val="1"/>
                <w:bCs w:val="1"/>
                <w:color w:val="auto"/>
                <w:w w:val="89"/>
              </w:rPr>
              <w:t>Compensation</w:t>
            </w:r>
          </w:p>
        </w:tc>
        <w:tc>
          <w:tcPr>
            <w:tcW w:w="1340" w:type="dxa"/>
            <w:vAlign w:val="bottom"/>
            <w:tcBorders>
              <w:right w:val="single" w:sz="8" w:color="auto"/>
            </w:tcBorders>
            <w:shd w:val="clear" w:color="auto" w:fill="BFBFBF"/>
          </w:tcPr>
          <w:p>
            <w:pPr>
              <w:jc w:val="center"/>
              <w:spacing w:after="0"/>
              <w:rPr>
                <w:sz w:val="20"/>
                <w:szCs w:val="20"/>
                <w:color w:val="auto"/>
              </w:rPr>
            </w:pPr>
            <w:r>
              <w:rPr>
                <w:rFonts w:ascii="Arial" w:cs="Arial" w:eastAsia="Arial" w:hAnsi="Arial"/>
                <w:sz w:val="16"/>
                <w:szCs w:val="16"/>
                <w:b w:val="1"/>
                <w:bCs w:val="1"/>
                <w:color w:val="auto"/>
                <w:w w:val="89"/>
              </w:rPr>
              <w:t>Compensation</w:t>
            </w:r>
          </w:p>
        </w:tc>
        <w:tc>
          <w:tcPr>
            <w:tcW w:w="1020" w:type="dxa"/>
            <w:vAlign w:val="bottom"/>
            <w:tcBorders>
              <w:right w:val="single" w:sz="8" w:color="auto"/>
            </w:tcBorders>
            <w:shd w:val="clear" w:color="auto" w:fill="BFBFBF"/>
          </w:tcPr>
          <w:p>
            <w:pPr>
              <w:jc w:val="center"/>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210"/>
        </w:trPr>
        <w:tc>
          <w:tcPr>
            <w:tcW w:w="2600" w:type="dxa"/>
            <w:vAlign w:val="bottom"/>
            <w:tcBorders>
              <w:left w:val="single" w:sz="8" w:color="auto"/>
              <w:right w:val="single" w:sz="8" w:color="auto"/>
            </w:tcBorders>
            <w:shd w:val="clear" w:color="auto" w:fill="BFBFBF"/>
          </w:tcPr>
          <w:p>
            <w:pPr>
              <w:ind w:left="220"/>
              <w:spacing w:after="0"/>
              <w:rPr>
                <w:sz w:val="20"/>
                <w:szCs w:val="20"/>
                <w:color w:val="auto"/>
              </w:rPr>
            </w:pPr>
            <w:r>
              <w:rPr>
                <w:rFonts w:ascii="Arial" w:cs="Arial" w:eastAsia="Arial" w:hAnsi="Arial"/>
                <w:sz w:val="16"/>
                <w:szCs w:val="16"/>
                <w:b w:val="1"/>
                <w:bCs w:val="1"/>
                <w:color w:val="auto"/>
              </w:rPr>
              <w:t>Name and Principal Position</w:t>
            </w:r>
          </w:p>
        </w:tc>
        <w:tc>
          <w:tcPr>
            <w:tcW w:w="680" w:type="dxa"/>
            <w:vAlign w:val="bottom"/>
            <w:tcBorders>
              <w:right w:val="single" w:sz="8" w:color="auto"/>
            </w:tcBorders>
            <w:shd w:val="clear" w:color="auto" w:fill="BFBFBF"/>
          </w:tcPr>
          <w:p>
            <w:pPr>
              <w:ind w:left="160"/>
              <w:spacing w:after="0"/>
              <w:rPr>
                <w:sz w:val="20"/>
                <w:szCs w:val="20"/>
                <w:color w:val="auto"/>
              </w:rPr>
            </w:pPr>
            <w:r>
              <w:rPr>
                <w:rFonts w:ascii="Arial" w:cs="Arial" w:eastAsia="Arial" w:hAnsi="Arial"/>
                <w:sz w:val="16"/>
                <w:szCs w:val="16"/>
                <w:b w:val="1"/>
                <w:bCs w:val="1"/>
                <w:color w:val="auto"/>
              </w:rPr>
              <w:t>Year</w:t>
            </w:r>
          </w:p>
        </w:tc>
        <w:tc>
          <w:tcPr>
            <w:tcW w:w="1060" w:type="dxa"/>
            <w:vAlign w:val="bottom"/>
            <w:tcBorders>
              <w:right w:val="single" w:sz="8" w:color="auto"/>
            </w:tcBorders>
            <w:shd w:val="clear" w:color="auto" w:fill="BFBFBF"/>
          </w:tcPr>
          <w:p>
            <w:pPr>
              <w:jc w:val="right"/>
              <w:ind w:right="251"/>
              <w:spacing w:after="0"/>
              <w:rPr>
                <w:sz w:val="20"/>
                <w:szCs w:val="20"/>
                <w:color w:val="auto"/>
              </w:rPr>
            </w:pPr>
            <w:r>
              <w:rPr>
                <w:rFonts w:ascii="Arial" w:cs="Arial" w:eastAsia="Arial" w:hAnsi="Arial"/>
                <w:sz w:val="16"/>
                <w:szCs w:val="16"/>
                <w:b w:val="1"/>
                <w:bCs w:val="1"/>
                <w:color w:val="auto"/>
              </w:rPr>
              <w:t>($) (1)</w:t>
            </w:r>
          </w:p>
        </w:tc>
        <w:tc>
          <w:tcPr>
            <w:tcW w:w="1040" w:type="dxa"/>
            <w:vAlign w:val="bottom"/>
            <w:tcBorders>
              <w:right w:val="single" w:sz="8" w:color="auto"/>
            </w:tcBorders>
            <w:shd w:val="clear" w:color="auto" w:fill="BFBFBF"/>
          </w:tcPr>
          <w:p>
            <w:pPr>
              <w:jc w:val="center"/>
              <w:spacing w:after="0"/>
              <w:rPr>
                <w:sz w:val="20"/>
                <w:szCs w:val="20"/>
                <w:color w:val="auto"/>
              </w:rPr>
            </w:pPr>
            <w:r>
              <w:rPr>
                <w:rFonts w:ascii="Arial" w:cs="Arial" w:eastAsia="Arial" w:hAnsi="Arial"/>
                <w:sz w:val="16"/>
                <w:szCs w:val="16"/>
                <w:b w:val="1"/>
                <w:bCs w:val="1"/>
                <w:color w:val="auto"/>
                <w:w w:val="96"/>
              </w:rPr>
              <w:t>($) (2)</w:t>
            </w:r>
          </w:p>
        </w:tc>
        <w:tc>
          <w:tcPr>
            <w:tcW w:w="1340" w:type="dxa"/>
            <w:vAlign w:val="bottom"/>
            <w:tcBorders>
              <w:right w:val="single" w:sz="8" w:color="auto"/>
            </w:tcBorders>
            <w:shd w:val="clear" w:color="auto" w:fill="BFBFBF"/>
          </w:tcPr>
          <w:p>
            <w:pPr>
              <w:jc w:val="center"/>
              <w:spacing w:after="0"/>
              <w:rPr>
                <w:sz w:val="20"/>
                <w:szCs w:val="20"/>
                <w:color w:val="auto"/>
              </w:rPr>
            </w:pPr>
            <w:r>
              <w:rPr>
                <w:rFonts w:ascii="Arial" w:cs="Arial" w:eastAsia="Arial" w:hAnsi="Arial"/>
                <w:sz w:val="16"/>
                <w:szCs w:val="16"/>
                <w:b w:val="1"/>
                <w:bCs w:val="1"/>
                <w:color w:val="auto"/>
                <w:w w:val="96"/>
              </w:rPr>
              <w:t>($) (3)</w:t>
            </w:r>
          </w:p>
        </w:tc>
        <w:tc>
          <w:tcPr>
            <w:tcW w:w="1340" w:type="dxa"/>
            <w:vAlign w:val="bottom"/>
            <w:tcBorders>
              <w:right w:val="single" w:sz="8" w:color="auto"/>
            </w:tcBorders>
            <w:shd w:val="clear" w:color="auto" w:fill="BFBFBF"/>
          </w:tcPr>
          <w:p>
            <w:pPr>
              <w:jc w:val="center"/>
              <w:spacing w:after="0"/>
              <w:rPr>
                <w:sz w:val="20"/>
                <w:szCs w:val="20"/>
                <w:color w:val="auto"/>
              </w:rPr>
            </w:pPr>
            <w:r>
              <w:rPr>
                <w:rFonts w:ascii="Arial" w:cs="Arial" w:eastAsia="Arial" w:hAnsi="Arial"/>
                <w:sz w:val="16"/>
                <w:szCs w:val="16"/>
                <w:b w:val="1"/>
                <w:bCs w:val="1"/>
                <w:color w:val="auto"/>
                <w:w w:val="96"/>
              </w:rPr>
              <w:t>($) (4)</w:t>
            </w:r>
          </w:p>
        </w:tc>
        <w:tc>
          <w:tcPr>
            <w:tcW w:w="1020" w:type="dxa"/>
            <w:vAlign w:val="bottom"/>
            <w:tcBorders>
              <w:right w:val="single" w:sz="8" w:color="auto"/>
            </w:tcBorders>
            <w:shd w:val="clear" w:color="auto" w:fill="BFBFBF"/>
          </w:tcPr>
          <w:p>
            <w:pPr>
              <w:jc w:val="center"/>
              <w:ind w:left="11"/>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73"/>
        </w:trPr>
        <w:tc>
          <w:tcPr>
            <w:tcW w:w="2600" w:type="dxa"/>
            <w:vAlign w:val="bottom"/>
            <w:tcBorders>
              <w:left w:val="single" w:sz="8" w:color="auto"/>
              <w:right w:val="single" w:sz="8" w:color="auto"/>
            </w:tcBorders>
            <w:shd w:val="clear" w:color="auto" w:fill="BFBFBF"/>
          </w:tcPr>
          <w:p>
            <w:pPr>
              <w:spacing w:after="0"/>
              <w:rPr>
                <w:sz w:val="6"/>
                <w:szCs w:val="6"/>
                <w:color w:val="auto"/>
              </w:rPr>
            </w:pPr>
          </w:p>
        </w:tc>
        <w:tc>
          <w:tcPr>
            <w:tcW w:w="680" w:type="dxa"/>
            <w:vAlign w:val="bottom"/>
            <w:tcBorders>
              <w:right w:val="single" w:sz="8" w:color="auto"/>
            </w:tcBorders>
            <w:shd w:val="clear" w:color="auto" w:fill="BFBFBF"/>
          </w:tcPr>
          <w:p>
            <w:pPr>
              <w:spacing w:after="0"/>
              <w:rPr>
                <w:sz w:val="6"/>
                <w:szCs w:val="6"/>
                <w:color w:val="auto"/>
              </w:rPr>
            </w:pPr>
          </w:p>
        </w:tc>
        <w:tc>
          <w:tcPr>
            <w:tcW w:w="1060" w:type="dxa"/>
            <w:vAlign w:val="bottom"/>
            <w:tcBorders>
              <w:right w:val="single" w:sz="8" w:color="auto"/>
            </w:tcBorders>
            <w:shd w:val="clear" w:color="auto" w:fill="BFBFBF"/>
          </w:tcPr>
          <w:p>
            <w:pPr>
              <w:spacing w:after="0"/>
              <w:rPr>
                <w:sz w:val="6"/>
                <w:szCs w:val="6"/>
                <w:color w:val="auto"/>
              </w:rPr>
            </w:pPr>
          </w:p>
        </w:tc>
        <w:tc>
          <w:tcPr>
            <w:tcW w:w="1040" w:type="dxa"/>
            <w:vAlign w:val="bottom"/>
            <w:tcBorders>
              <w:right w:val="single" w:sz="8" w:color="auto"/>
            </w:tcBorders>
            <w:shd w:val="clear" w:color="auto" w:fill="BFBFBF"/>
          </w:tcPr>
          <w:p>
            <w:pPr>
              <w:spacing w:after="0"/>
              <w:rPr>
                <w:sz w:val="6"/>
                <w:szCs w:val="6"/>
                <w:color w:val="auto"/>
              </w:rPr>
            </w:pPr>
          </w:p>
        </w:tc>
        <w:tc>
          <w:tcPr>
            <w:tcW w:w="1340" w:type="dxa"/>
            <w:vAlign w:val="bottom"/>
            <w:tcBorders>
              <w:right w:val="single" w:sz="8" w:color="auto"/>
            </w:tcBorders>
            <w:shd w:val="clear" w:color="auto" w:fill="BFBFBF"/>
          </w:tcPr>
          <w:p>
            <w:pPr>
              <w:spacing w:after="0"/>
              <w:rPr>
                <w:sz w:val="6"/>
                <w:szCs w:val="6"/>
                <w:color w:val="auto"/>
              </w:rPr>
            </w:pPr>
          </w:p>
        </w:tc>
        <w:tc>
          <w:tcPr>
            <w:tcW w:w="1340" w:type="dxa"/>
            <w:vAlign w:val="bottom"/>
            <w:tcBorders>
              <w:right w:val="single" w:sz="8" w:color="auto"/>
            </w:tcBorders>
            <w:shd w:val="clear" w:color="auto" w:fill="BFBFBF"/>
          </w:tcPr>
          <w:p>
            <w:pPr>
              <w:spacing w:after="0"/>
              <w:rPr>
                <w:sz w:val="6"/>
                <w:szCs w:val="6"/>
                <w:color w:val="auto"/>
              </w:rPr>
            </w:pPr>
          </w:p>
        </w:tc>
        <w:tc>
          <w:tcPr>
            <w:tcW w:w="1020" w:type="dxa"/>
            <w:vAlign w:val="bottom"/>
            <w:tcBorders>
              <w:right w:val="single" w:sz="8" w:color="auto"/>
            </w:tcBorders>
            <w:shd w:val="clear" w:color="auto" w:fill="BFBFBF"/>
          </w:tcPr>
          <w:p>
            <w:pPr>
              <w:spacing w:after="0"/>
              <w:rPr>
                <w:sz w:val="6"/>
                <w:szCs w:val="6"/>
                <w:color w:val="auto"/>
              </w:rPr>
            </w:pPr>
          </w:p>
        </w:tc>
        <w:tc>
          <w:tcPr>
            <w:tcW w:w="0" w:type="dxa"/>
            <w:vAlign w:val="bottom"/>
          </w:tcPr>
          <w:p>
            <w:pPr>
              <w:spacing w:after="0"/>
              <w:rPr>
                <w:sz w:val="1"/>
                <w:szCs w:val="1"/>
                <w:color w:val="auto"/>
              </w:rPr>
            </w:pPr>
          </w:p>
        </w:tc>
      </w:tr>
      <w:tr>
        <w:trPr>
          <w:trHeight w:val="269"/>
        </w:trPr>
        <w:tc>
          <w:tcPr>
            <w:tcW w:w="26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Carl H. Lindner III</w:t>
            </w:r>
          </w:p>
        </w:tc>
        <w:tc>
          <w:tcPr>
            <w:tcW w:w="6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2019</w:t>
            </w:r>
          </w:p>
        </w:tc>
        <w:tc>
          <w:tcPr>
            <w:tcW w:w="1060" w:type="dxa"/>
            <w:vAlign w:val="bottom"/>
            <w:tcBorders>
              <w:right w:val="single" w:sz="8" w:color="auto"/>
            </w:tcBorders>
          </w:tcPr>
          <w:p>
            <w:pPr>
              <w:jc w:val="right"/>
              <w:ind w:right="91"/>
              <w:spacing w:after="0"/>
              <w:rPr>
                <w:sz w:val="20"/>
                <w:szCs w:val="20"/>
                <w:color w:val="auto"/>
              </w:rPr>
            </w:pPr>
            <w:r>
              <w:rPr>
                <w:rFonts w:ascii="Arial" w:cs="Arial" w:eastAsia="Arial" w:hAnsi="Arial"/>
                <w:sz w:val="18"/>
                <w:szCs w:val="18"/>
                <w:color w:val="auto"/>
              </w:rPr>
              <w:t>1,250,000</w:t>
            </w:r>
          </w:p>
        </w:tc>
        <w:tc>
          <w:tcPr>
            <w:tcW w:w="1040" w:type="dxa"/>
            <w:vAlign w:val="bottom"/>
            <w:tcBorders>
              <w:right w:val="single" w:sz="8" w:color="auto"/>
            </w:tcBorders>
          </w:tcPr>
          <w:p>
            <w:pPr>
              <w:jc w:val="right"/>
              <w:ind w:right="91"/>
              <w:spacing w:after="0"/>
              <w:rPr>
                <w:sz w:val="20"/>
                <w:szCs w:val="20"/>
                <w:color w:val="auto"/>
              </w:rPr>
            </w:pPr>
            <w:r>
              <w:rPr>
                <w:rFonts w:ascii="Arial" w:cs="Arial" w:eastAsia="Arial" w:hAnsi="Arial"/>
                <w:sz w:val="18"/>
                <w:szCs w:val="18"/>
                <w:color w:val="auto"/>
              </w:rPr>
              <w:t>1,500,045</w:t>
            </w:r>
          </w:p>
        </w:tc>
        <w:tc>
          <w:tcPr>
            <w:tcW w:w="1340" w:type="dxa"/>
            <w:vAlign w:val="bottom"/>
            <w:tcBorders>
              <w:right w:val="single" w:sz="8" w:color="auto"/>
            </w:tcBorders>
          </w:tcPr>
          <w:p>
            <w:pPr>
              <w:jc w:val="right"/>
              <w:ind w:right="252"/>
              <w:spacing w:after="0"/>
              <w:rPr>
                <w:sz w:val="20"/>
                <w:szCs w:val="20"/>
                <w:color w:val="auto"/>
              </w:rPr>
            </w:pPr>
            <w:r>
              <w:rPr>
                <w:rFonts w:ascii="Arial" w:cs="Arial" w:eastAsia="Arial" w:hAnsi="Arial"/>
                <w:sz w:val="18"/>
                <w:szCs w:val="18"/>
                <w:color w:val="auto"/>
              </w:rPr>
              <w:t>6,597,992</w:t>
            </w:r>
          </w:p>
        </w:tc>
        <w:tc>
          <w:tcPr>
            <w:tcW w:w="1340" w:type="dxa"/>
            <w:vAlign w:val="bottom"/>
            <w:tcBorders>
              <w:right w:val="single" w:sz="8" w:color="auto"/>
            </w:tcBorders>
          </w:tcPr>
          <w:p>
            <w:pPr>
              <w:jc w:val="right"/>
              <w:ind w:right="251"/>
              <w:spacing w:after="0"/>
              <w:rPr>
                <w:sz w:val="20"/>
                <w:szCs w:val="20"/>
                <w:color w:val="auto"/>
              </w:rPr>
            </w:pPr>
            <w:r>
              <w:rPr>
                <w:rFonts w:ascii="Arial" w:cs="Arial" w:eastAsia="Arial" w:hAnsi="Arial"/>
                <w:sz w:val="18"/>
                <w:szCs w:val="18"/>
                <w:color w:val="auto"/>
              </w:rPr>
              <w:t>1,116,550</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10,464,587</w:t>
            </w:r>
          </w:p>
        </w:tc>
        <w:tc>
          <w:tcPr>
            <w:tcW w:w="0" w:type="dxa"/>
            <w:vAlign w:val="bottom"/>
          </w:tcPr>
          <w:p>
            <w:pPr>
              <w:spacing w:after="0"/>
              <w:rPr>
                <w:sz w:val="1"/>
                <w:szCs w:val="1"/>
                <w:color w:val="auto"/>
              </w:rPr>
            </w:pPr>
          </w:p>
        </w:tc>
      </w:tr>
      <w:tr>
        <w:trPr>
          <w:trHeight w:val="216"/>
        </w:trPr>
        <w:tc>
          <w:tcPr>
            <w:tcW w:w="26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i w:val="1"/>
                <w:iCs w:val="1"/>
                <w:color w:val="auto"/>
              </w:rPr>
              <w:t>Co-Chief Executive Officer and</w:t>
            </w:r>
          </w:p>
        </w:tc>
        <w:tc>
          <w:tcPr>
            <w:tcW w:w="680" w:type="dxa"/>
            <w:vAlign w:val="bottom"/>
            <w:tcBorders>
              <w:right w:val="single" w:sz="8" w:color="auto"/>
            </w:tcBorders>
            <w:vMerge w:val="restart"/>
          </w:tcPr>
          <w:p>
            <w:pPr>
              <w:ind w:left="140"/>
              <w:spacing w:after="0"/>
              <w:rPr>
                <w:sz w:val="20"/>
                <w:szCs w:val="20"/>
                <w:color w:val="auto"/>
              </w:rPr>
            </w:pPr>
            <w:r>
              <w:rPr>
                <w:rFonts w:ascii="Arial" w:cs="Arial" w:eastAsia="Arial" w:hAnsi="Arial"/>
                <w:sz w:val="18"/>
                <w:szCs w:val="18"/>
                <w:color w:val="auto"/>
              </w:rPr>
              <w:t>2018</w:t>
            </w:r>
          </w:p>
        </w:tc>
        <w:tc>
          <w:tcPr>
            <w:tcW w:w="1060" w:type="dxa"/>
            <w:vAlign w:val="bottom"/>
            <w:tcBorders>
              <w:right w:val="single" w:sz="8" w:color="auto"/>
            </w:tcBorders>
            <w:vMerge w:val="restart"/>
          </w:tcPr>
          <w:p>
            <w:pPr>
              <w:jc w:val="right"/>
              <w:ind w:right="91"/>
              <w:spacing w:after="0"/>
              <w:rPr>
                <w:sz w:val="20"/>
                <w:szCs w:val="20"/>
                <w:color w:val="auto"/>
              </w:rPr>
            </w:pPr>
            <w:r>
              <w:rPr>
                <w:rFonts w:ascii="Arial" w:cs="Arial" w:eastAsia="Arial" w:hAnsi="Arial"/>
                <w:sz w:val="18"/>
                <w:szCs w:val="18"/>
                <w:color w:val="auto"/>
              </w:rPr>
              <w:t>1,234,615</w:t>
            </w:r>
          </w:p>
        </w:tc>
        <w:tc>
          <w:tcPr>
            <w:tcW w:w="1040" w:type="dxa"/>
            <w:vAlign w:val="bottom"/>
            <w:tcBorders>
              <w:right w:val="single" w:sz="8" w:color="auto"/>
            </w:tcBorders>
            <w:vMerge w:val="restart"/>
          </w:tcPr>
          <w:p>
            <w:pPr>
              <w:jc w:val="right"/>
              <w:ind w:right="91"/>
              <w:spacing w:after="0"/>
              <w:rPr>
                <w:sz w:val="20"/>
                <w:szCs w:val="20"/>
                <w:color w:val="auto"/>
              </w:rPr>
            </w:pPr>
            <w:r>
              <w:rPr>
                <w:rFonts w:ascii="Arial" w:cs="Arial" w:eastAsia="Arial" w:hAnsi="Arial"/>
                <w:sz w:val="18"/>
                <w:szCs w:val="18"/>
                <w:color w:val="auto"/>
              </w:rPr>
              <w:t>1,500,474</w:t>
            </w:r>
          </w:p>
        </w:tc>
        <w:tc>
          <w:tcPr>
            <w:tcW w:w="1340" w:type="dxa"/>
            <w:vAlign w:val="bottom"/>
            <w:tcBorders>
              <w:right w:val="single" w:sz="8" w:color="auto"/>
            </w:tcBorders>
            <w:vMerge w:val="restart"/>
          </w:tcPr>
          <w:p>
            <w:pPr>
              <w:jc w:val="right"/>
              <w:ind w:right="252"/>
              <w:spacing w:after="0"/>
              <w:rPr>
                <w:sz w:val="20"/>
                <w:szCs w:val="20"/>
                <w:color w:val="auto"/>
              </w:rPr>
            </w:pPr>
            <w:r>
              <w:rPr>
                <w:rFonts w:ascii="Arial" w:cs="Arial" w:eastAsia="Arial" w:hAnsi="Arial"/>
                <w:sz w:val="18"/>
                <w:szCs w:val="18"/>
                <w:color w:val="auto"/>
              </w:rPr>
              <w:t>6,461,345</w:t>
            </w:r>
          </w:p>
        </w:tc>
        <w:tc>
          <w:tcPr>
            <w:tcW w:w="1340" w:type="dxa"/>
            <w:vAlign w:val="bottom"/>
            <w:tcBorders>
              <w:right w:val="single" w:sz="8" w:color="auto"/>
            </w:tcBorders>
            <w:vMerge w:val="restart"/>
          </w:tcPr>
          <w:p>
            <w:pPr>
              <w:jc w:val="right"/>
              <w:ind w:right="251"/>
              <w:spacing w:after="0"/>
              <w:rPr>
                <w:sz w:val="20"/>
                <w:szCs w:val="20"/>
                <w:color w:val="auto"/>
              </w:rPr>
            </w:pPr>
            <w:r>
              <w:rPr>
                <w:rFonts w:ascii="Arial" w:cs="Arial" w:eastAsia="Arial" w:hAnsi="Arial"/>
                <w:sz w:val="18"/>
                <w:szCs w:val="18"/>
                <w:color w:val="auto"/>
              </w:rPr>
              <w:t>1,012,951</w:t>
            </w:r>
          </w:p>
        </w:tc>
        <w:tc>
          <w:tcPr>
            <w:tcW w:w="1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10,209,385</w:t>
            </w:r>
          </w:p>
        </w:tc>
        <w:tc>
          <w:tcPr>
            <w:tcW w:w="0" w:type="dxa"/>
            <w:vAlign w:val="bottom"/>
          </w:tcPr>
          <w:p>
            <w:pPr>
              <w:spacing w:after="0"/>
              <w:rPr>
                <w:sz w:val="1"/>
                <w:szCs w:val="1"/>
                <w:color w:val="auto"/>
              </w:rPr>
            </w:pPr>
          </w:p>
        </w:tc>
      </w:tr>
      <w:tr>
        <w:trPr>
          <w:trHeight w:val="149"/>
        </w:trPr>
        <w:tc>
          <w:tcPr>
            <w:tcW w:w="2600" w:type="dxa"/>
            <w:vAlign w:val="bottom"/>
            <w:tcBorders>
              <w:left w:val="single" w:sz="8" w:color="auto"/>
              <w:right w:val="single" w:sz="8" w:color="auto"/>
            </w:tcBorders>
            <w:vMerge w:val="restart"/>
          </w:tcPr>
          <w:p>
            <w:pPr>
              <w:ind w:left="60"/>
              <w:spacing w:after="0"/>
              <w:rPr>
                <w:sz w:val="20"/>
                <w:szCs w:val="20"/>
                <w:color w:val="auto"/>
              </w:rPr>
            </w:pPr>
            <w:r>
              <w:rPr>
                <w:rFonts w:ascii="Arial" w:cs="Arial" w:eastAsia="Arial" w:hAnsi="Arial"/>
                <w:sz w:val="18"/>
                <w:szCs w:val="18"/>
                <w:i w:val="1"/>
                <w:iCs w:val="1"/>
                <w:color w:val="auto"/>
              </w:rPr>
              <w:t>Co-President (Co-Principal</w:t>
            </w:r>
          </w:p>
        </w:tc>
        <w:tc>
          <w:tcPr>
            <w:tcW w:w="680" w:type="dxa"/>
            <w:vAlign w:val="bottom"/>
            <w:tcBorders>
              <w:right w:val="single" w:sz="8" w:color="auto"/>
            </w:tcBorders>
            <w:vMerge w:val="continue"/>
          </w:tcPr>
          <w:p>
            <w:pPr>
              <w:spacing w:after="0"/>
              <w:rPr>
                <w:sz w:val="12"/>
                <w:szCs w:val="12"/>
                <w:color w:val="auto"/>
              </w:rPr>
            </w:pPr>
          </w:p>
        </w:tc>
        <w:tc>
          <w:tcPr>
            <w:tcW w:w="1060" w:type="dxa"/>
            <w:vAlign w:val="bottom"/>
            <w:tcBorders>
              <w:right w:val="single" w:sz="8" w:color="auto"/>
            </w:tcBorders>
            <w:vMerge w:val="continue"/>
          </w:tcPr>
          <w:p>
            <w:pPr>
              <w:spacing w:after="0"/>
              <w:rPr>
                <w:sz w:val="12"/>
                <w:szCs w:val="12"/>
                <w:color w:val="auto"/>
              </w:rPr>
            </w:pPr>
          </w:p>
        </w:tc>
        <w:tc>
          <w:tcPr>
            <w:tcW w:w="1040" w:type="dxa"/>
            <w:vAlign w:val="bottom"/>
            <w:tcBorders>
              <w:right w:val="single" w:sz="8" w:color="auto"/>
            </w:tcBorders>
            <w:vMerge w:val="continue"/>
          </w:tcPr>
          <w:p>
            <w:pPr>
              <w:spacing w:after="0"/>
              <w:rPr>
                <w:sz w:val="12"/>
                <w:szCs w:val="12"/>
                <w:color w:val="auto"/>
              </w:rPr>
            </w:pPr>
          </w:p>
        </w:tc>
        <w:tc>
          <w:tcPr>
            <w:tcW w:w="1340" w:type="dxa"/>
            <w:vAlign w:val="bottom"/>
            <w:tcBorders>
              <w:right w:val="single" w:sz="8" w:color="auto"/>
            </w:tcBorders>
            <w:vMerge w:val="continue"/>
          </w:tcPr>
          <w:p>
            <w:pPr>
              <w:spacing w:after="0"/>
              <w:rPr>
                <w:sz w:val="12"/>
                <w:szCs w:val="12"/>
                <w:color w:val="auto"/>
              </w:rPr>
            </w:pPr>
          </w:p>
        </w:tc>
        <w:tc>
          <w:tcPr>
            <w:tcW w:w="1340" w:type="dxa"/>
            <w:vAlign w:val="bottom"/>
            <w:tcBorders>
              <w:right w:val="single" w:sz="8" w:color="auto"/>
            </w:tcBorders>
            <w:vMerge w:val="continue"/>
          </w:tcPr>
          <w:p>
            <w:pPr>
              <w:spacing w:after="0"/>
              <w:rPr>
                <w:sz w:val="12"/>
                <w:szCs w:val="12"/>
                <w:color w:val="auto"/>
              </w:rPr>
            </w:pPr>
          </w:p>
        </w:tc>
        <w:tc>
          <w:tcPr>
            <w:tcW w:w="10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600" w:type="dxa"/>
            <w:vAlign w:val="bottom"/>
            <w:tcBorders>
              <w:left w:val="single" w:sz="8" w:color="auto"/>
              <w:right w:val="single" w:sz="8" w:color="auto"/>
            </w:tcBorders>
            <w:vMerge w:val="continue"/>
          </w:tcPr>
          <w:p>
            <w:pPr>
              <w:spacing w:after="0"/>
              <w:rPr>
                <w:sz w:val="5"/>
                <w:szCs w:val="5"/>
                <w:color w:val="auto"/>
              </w:rPr>
            </w:pPr>
          </w:p>
        </w:tc>
        <w:tc>
          <w:tcPr>
            <w:tcW w:w="680" w:type="dxa"/>
            <w:vAlign w:val="bottom"/>
            <w:tcBorders>
              <w:right w:val="single" w:sz="8" w:color="auto"/>
            </w:tcBorders>
          </w:tcPr>
          <w:p>
            <w:pPr>
              <w:spacing w:after="0"/>
              <w:rPr>
                <w:sz w:val="5"/>
                <w:szCs w:val="5"/>
                <w:color w:val="auto"/>
              </w:rPr>
            </w:pPr>
          </w:p>
        </w:tc>
        <w:tc>
          <w:tcPr>
            <w:tcW w:w="1060" w:type="dxa"/>
            <w:vAlign w:val="bottom"/>
            <w:tcBorders>
              <w:right w:val="single" w:sz="8" w:color="auto"/>
            </w:tcBorders>
          </w:tcPr>
          <w:p>
            <w:pPr>
              <w:spacing w:after="0"/>
              <w:rPr>
                <w:sz w:val="5"/>
                <w:szCs w:val="5"/>
                <w:color w:val="auto"/>
              </w:rPr>
            </w:pPr>
          </w:p>
        </w:tc>
        <w:tc>
          <w:tcPr>
            <w:tcW w:w="1040" w:type="dxa"/>
            <w:vAlign w:val="bottom"/>
            <w:tcBorders>
              <w:right w:val="single" w:sz="8" w:color="auto"/>
            </w:tcBorders>
          </w:tcPr>
          <w:p>
            <w:pPr>
              <w:spacing w:after="0"/>
              <w:rPr>
                <w:sz w:val="5"/>
                <w:szCs w:val="5"/>
                <w:color w:val="auto"/>
              </w:rPr>
            </w:pPr>
          </w:p>
        </w:tc>
        <w:tc>
          <w:tcPr>
            <w:tcW w:w="1340" w:type="dxa"/>
            <w:vAlign w:val="bottom"/>
            <w:tcBorders>
              <w:right w:val="single" w:sz="8" w:color="auto"/>
            </w:tcBorders>
          </w:tcPr>
          <w:p>
            <w:pPr>
              <w:spacing w:after="0"/>
              <w:rPr>
                <w:sz w:val="5"/>
                <w:szCs w:val="5"/>
                <w:color w:val="auto"/>
              </w:rPr>
            </w:pPr>
          </w:p>
        </w:tc>
        <w:tc>
          <w:tcPr>
            <w:tcW w:w="1340" w:type="dxa"/>
            <w:vAlign w:val="bottom"/>
            <w:tcBorders>
              <w:right w:val="single" w:sz="8" w:color="auto"/>
            </w:tcBorders>
          </w:tcPr>
          <w:p>
            <w:pPr>
              <w:spacing w:after="0"/>
              <w:rPr>
                <w:sz w:val="5"/>
                <w:szCs w:val="5"/>
                <w:color w:val="auto"/>
              </w:rPr>
            </w:pPr>
          </w:p>
        </w:tc>
        <w:tc>
          <w:tcPr>
            <w:tcW w:w="10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84"/>
        </w:trPr>
        <w:tc>
          <w:tcPr>
            <w:tcW w:w="26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i w:val="1"/>
                <w:iCs w:val="1"/>
                <w:color w:val="auto"/>
              </w:rPr>
              <w:t>Executive Officer)</w:t>
            </w:r>
          </w:p>
        </w:tc>
        <w:tc>
          <w:tcPr>
            <w:tcW w:w="6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2017</w:t>
            </w:r>
          </w:p>
        </w:tc>
        <w:tc>
          <w:tcPr>
            <w:tcW w:w="1060" w:type="dxa"/>
            <w:vAlign w:val="bottom"/>
            <w:tcBorders>
              <w:right w:val="single" w:sz="8" w:color="auto"/>
            </w:tcBorders>
          </w:tcPr>
          <w:p>
            <w:pPr>
              <w:jc w:val="right"/>
              <w:ind w:right="91"/>
              <w:spacing w:after="0"/>
              <w:rPr>
                <w:sz w:val="20"/>
                <w:szCs w:val="20"/>
                <w:color w:val="auto"/>
              </w:rPr>
            </w:pPr>
            <w:r>
              <w:rPr>
                <w:rFonts w:ascii="Arial" w:cs="Arial" w:eastAsia="Arial" w:hAnsi="Arial"/>
                <w:sz w:val="18"/>
                <w:szCs w:val="18"/>
                <w:color w:val="auto"/>
              </w:rPr>
              <w:t>1,150,000</w:t>
            </w:r>
          </w:p>
        </w:tc>
        <w:tc>
          <w:tcPr>
            <w:tcW w:w="1040" w:type="dxa"/>
            <w:vAlign w:val="bottom"/>
            <w:tcBorders>
              <w:right w:val="single" w:sz="8" w:color="auto"/>
            </w:tcBorders>
          </w:tcPr>
          <w:p>
            <w:pPr>
              <w:jc w:val="right"/>
              <w:ind w:right="91"/>
              <w:spacing w:after="0"/>
              <w:rPr>
                <w:sz w:val="20"/>
                <w:szCs w:val="20"/>
                <w:color w:val="auto"/>
              </w:rPr>
            </w:pPr>
            <w:r>
              <w:rPr>
                <w:rFonts w:ascii="Arial" w:cs="Arial" w:eastAsia="Arial" w:hAnsi="Arial"/>
                <w:sz w:val="18"/>
                <w:szCs w:val="18"/>
                <w:color w:val="auto"/>
              </w:rPr>
              <w:t>5,195,752</w:t>
            </w:r>
          </w:p>
        </w:tc>
        <w:tc>
          <w:tcPr>
            <w:tcW w:w="1340" w:type="dxa"/>
            <w:vAlign w:val="bottom"/>
            <w:tcBorders>
              <w:right w:val="single" w:sz="8" w:color="auto"/>
            </w:tcBorders>
          </w:tcPr>
          <w:p>
            <w:pPr>
              <w:jc w:val="right"/>
              <w:ind w:right="252"/>
              <w:spacing w:after="0"/>
              <w:rPr>
                <w:sz w:val="20"/>
                <w:szCs w:val="20"/>
                <w:color w:val="auto"/>
              </w:rPr>
            </w:pPr>
            <w:r>
              <w:rPr>
                <w:rFonts w:ascii="Arial" w:cs="Arial" w:eastAsia="Arial" w:hAnsi="Arial"/>
                <w:sz w:val="18"/>
                <w:szCs w:val="18"/>
                <w:color w:val="auto"/>
              </w:rPr>
              <w:t>2,231,547</w:t>
            </w:r>
          </w:p>
        </w:tc>
        <w:tc>
          <w:tcPr>
            <w:tcW w:w="1340" w:type="dxa"/>
            <w:vAlign w:val="bottom"/>
            <w:tcBorders>
              <w:right w:val="single" w:sz="8" w:color="auto"/>
            </w:tcBorders>
          </w:tcPr>
          <w:p>
            <w:pPr>
              <w:jc w:val="right"/>
              <w:ind w:right="251"/>
              <w:spacing w:after="0"/>
              <w:rPr>
                <w:sz w:val="20"/>
                <w:szCs w:val="20"/>
                <w:color w:val="auto"/>
              </w:rPr>
            </w:pPr>
            <w:r>
              <w:rPr>
                <w:rFonts w:ascii="Arial" w:cs="Arial" w:eastAsia="Arial" w:hAnsi="Arial"/>
                <w:sz w:val="18"/>
                <w:szCs w:val="18"/>
                <w:color w:val="auto"/>
              </w:rPr>
              <w:t>1,195,551</w:t>
            </w: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9,772,850</w:t>
            </w:r>
          </w:p>
        </w:tc>
        <w:tc>
          <w:tcPr>
            <w:tcW w:w="0" w:type="dxa"/>
            <w:vAlign w:val="bottom"/>
          </w:tcPr>
          <w:p>
            <w:pPr>
              <w:spacing w:after="0"/>
              <w:rPr>
                <w:sz w:val="1"/>
                <w:szCs w:val="1"/>
                <w:color w:val="auto"/>
              </w:rPr>
            </w:pPr>
          </w:p>
        </w:tc>
      </w:tr>
      <w:tr>
        <w:trPr>
          <w:trHeight w:val="67"/>
        </w:trPr>
        <w:tc>
          <w:tcPr>
            <w:tcW w:w="2600" w:type="dxa"/>
            <w:vAlign w:val="bottom"/>
            <w:tcBorders>
              <w:left w:val="single" w:sz="8" w:color="auto"/>
              <w:bottom w:val="single" w:sz="8" w:color="auto"/>
              <w:right w:val="single" w:sz="8" w:color="auto"/>
            </w:tcBorders>
          </w:tcPr>
          <w:p>
            <w:pPr>
              <w:spacing w:after="0"/>
              <w:rPr>
                <w:sz w:val="5"/>
                <w:szCs w:val="5"/>
                <w:color w:val="auto"/>
              </w:rPr>
            </w:pPr>
          </w:p>
        </w:tc>
        <w:tc>
          <w:tcPr>
            <w:tcW w:w="680" w:type="dxa"/>
            <w:vAlign w:val="bottom"/>
            <w:tcBorders>
              <w:bottom w:val="single" w:sz="8" w:color="auto"/>
              <w:right w:val="single" w:sz="8" w:color="auto"/>
            </w:tcBorders>
          </w:tcPr>
          <w:p>
            <w:pPr>
              <w:spacing w:after="0"/>
              <w:rPr>
                <w:sz w:val="5"/>
                <w:szCs w:val="5"/>
                <w:color w:val="auto"/>
              </w:rPr>
            </w:pPr>
          </w:p>
        </w:tc>
        <w:tc>
          <w:tcPr>
            <w:tcW w:w="106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26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S. Craig Lindner</w:t>
            </w:r>
          </w:p>
        </w:tc>
        <w:tc>
          <w:tcPr>
            <w:tcW w:w="6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2019</w:t>
            </w:r>
          </w:p>
        </w:tc>
        <w:tc>
          <w:tcPr>
            <w:tcW w:w="1060" w:type="dxa"/>
            <w:vAlign w:val="bottom"/>
            <w:tcBorders>
              <w:right w:val="single" w:sz="8" w:color="auto"/>
            </w:tcBorders>
          </w:tcPr>
          <w:p>
            <w:pPr>
              <w:jc w:val="right"/>
              <w:ind w:right="91"/>
              <w:spacing w:after="0"/>
              <w:rPr>
                <w:sz w:val="20"/>
                <w:szCs w:val="20"/>
                <w:color w:val="auto"/>
              </w:rPr>
            </w:pPr>
            <w:r>
              <w:rPr>
                <w:rFonts w:ascii="Arial" w:cs="Arial" w:eastAsia="Arial" w:hAnsi="Arial"/>
                <w:sz w:val="18"/>
                <w:szCs w:val="18"/>
                <w:color w:val="auto"/>
              </w:rPr>
              <w:t>1,250,000</w:t>
            </w:r>
          </w:p>
        </w:tc>
        <w:tc>
          <w:tcPr>
            <w:tcW w:w="1040" w:type="dxa"/>
            <w:vAlign w:val="bottom"/>
            <w:tcBorders>
              <w:right w:val="single" w:sz="8" w:color="auto"/>
            </w:tcBorders>
          </w:tcPr>
          <w:p>
            <w:pPr>
              <w:jc w:val="right"/>
              <w:ind w:right="91"/>
              <w:spacing w:after="0"/>
              <w:rPr>
                <w:sz w:val="20"/>
                <w:szCs w:val="20"/>
                <w:color w:val="auto"/>
              </w:rPr>
            </w:pPr>
            <w:r>
              <w:rPr>
                <w:rFonts w:ascii="Arial" w:cs="Arial" w:eastAsia="Arial" w:hAnsi="Arial"/>
                <w:sz w:val="18"/>
                <w:szCs w:val="18"/>
                <w:color w:val="auto"/>
              </w:rPr>
              <w:t>1,500,045</w:t>
            </w:r>
          </w:p>
        </w:tc>
        <w:tc>
          <w:tcPr>
            <w:tcW w:w="1340" w:type="dxa"/>
            <w:vAlign w:val="bottom"/>
            <w:tcBorders>
              <w:right w:val="single" w:sz="8" w:color="auto"/>
            </w:tcBorders>
          </w:tcPr>
          <w:p>
            <w:pPr>
              <w:jc w:val="right"/>
              <w:ind w:right="252"/>
              <w:spacing w:after="0"/>
              <w:rPr>
                <w:sz w:val="20"/>
                <w:szCs w:val="20"/>
                <w:color w:val="auto"/>
              </w:rPr>
            </w:pPr>
            <w:r>
              <w:rPr>
                <w:rFonts w:ascii="Arial" w:cs="Arial" w:eastAsia="Arial" w:hAnsi="Arial"/>
                <w:sz w:val="18"/>
                <w:szCs w:val="18"/>
                <w:color w:val="auto"/>
              </w:rPr>
              <w:t>6,597,992</w:t>
            </w:r>
          </w:p>
        </w:tc>
        <w:tc>
          <w:tcPr>
            <w:tcW w:w="1340" w:type="dxa"/>
            <w:vAlign w:val="bottom"/>
            <w:tcBorders>
              <w:right w:val="single" w:sz="8" w:color="auto"/>
            </w:tcBorders>
          </w:tcPr>
          <w:p>
            <w:pPr>
              <w:jc w:val="right"/>
              <w:ind w:right="251"/>
              <w:spacing w:after="0"/>
              <w:rPr>
                <w:sz w:val="20"/>
                <w:szCs w:val="20"/>
                <w:color w:val="auto"/>
              </w:rPr>
            </w:pPr>
            <w:r>
              <w:rPr>
                <w:rFonts w:ascii="Arial" w:cs="Arial" w:eastAsia="Arial" w:hAnsi="Arial"/>
                <w:sz w:val="18"/>
                <w:szCs w:val="18"/>
                <w:color w:val="auto"/>
              </w:rPr>
              <w:t>1,109,383</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10,457,420</w:t>
            </w:r>
          </w:p>
        </w:tc>
        <w:tc>
          <w:tcPr>
            <w:tcW w:w="0" w:type="dxa"/>
            <w:vAlign w:val="bottom"/>
          </w:tcPr>
          <w:p>
            <w:pPr>
              <w:spacing w:after="0"/>
              <w:rPr>
                <w:sz w:val="1"/>
                <w:szCs w:val="1"/>
                <w:color w:val="auto"/>
              </w:rPr>
            </w:pPr>
          </w:p>
        </w:tc>
      </w:tr>
      <w:tr>
        <w:trPr>
          <w:trHeight w:val="216"/>
        </w:trPr>
        <w:tc>
          <w:tcPr>
            <w:tcW w:w="26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i w:val="1"/>
                <w:iCs w:val="1"/>
                <w:color w:val="auto"/>
              </w:rPr>
              <w:t>Co-Chief Executive Officer and</w:t>
            </w:r>
          </w:p>
        </w:tc>
        <w:tc>
          <w:tcPr>
            <w:tcW w:w="680" w:type="dxa"/>
            <w:vAlign w:val="bottom"/>
            <w:tcBorders>
              <w:right w:val="single" w:sz="8" w:color="auto"/>
            </w:tcBorders>
            <w:vMerge w:val="restart"/>
          </w:tcPr>
          <w:p>
            <w:pPr>
              <w:ind w:left="140"/>
              <w:spacing w:after="0"/>
              <w:rPr>
                <w:sz w:val="20"/>
                <w:szCs w:val="20"/>
                <w:color w:val="auto"/>
              </w:rPr>
            </w:pPr>
            <w:r>
              <w:rPr>
                <w:rFonts w:ascii="Arial" w:cs="Arial" w:eastAsia="Arial" w:hAnsi="Arial"/>
                <w:sz w:val="18"/>
                <w:szCs w:val="18"/>
                <w:color w:val="auto"/>
              </w:rPr>
              <w:t>2018</w:t>
            </w:r>
          </w:p>
        </w:tc>
        <w:tc>
          <w:tcPr>
            <w:tcW w:w="1060" w:type="dxa"/>
            <w:vAlign w:val="bottom"/>
            <w:tcBorders>
              <w:right w:val="single" w:sz="8" w:color="auto"/>
            </w:tcBorders>
            <w:vMerge w:val="restart"/>
          </w:tcPr>
          <w:p>
            <w:pPr>
              <w:jc w:val="right"/>
              <w:ind w:right="91"/>
              <w:spacing w:after="0"/>
              <w:rPr>
                <w:sz w:val="20"/>
                <w:szCs w:val="20"/>
                <w:color w:val="auto"/>
              </w:rPr>
            </w:pPr>
            <w:r>
              <w:rPr>
                <w:rFonts w:ascii="Arial" w:cs="Arial" w:eastAsia="Arial" w:hAnsi="Arial"/>
                <w:sz w:val="18"/>
                <w:szCs w:val="18"/>
                <w:color w:val="auto"/>
              </w:rPr>
              <w:t>1,234,615</w:t>
            </w:r>
          </w:p>
        </w:tc>
        <w:tc>
          <w:tcPr>
            <w:tcW w:w="1040" w:type="dxa"/>
            <w:vAlign w:val="bottom"/>
            <w:tcBorders>
              <w:right w:val="single" w:sz="8" w:color="auto"/>
            </w:tcBorders>
            <w:vMerge w:val="restart"/>
          </w:tcPr>
          <w:p>
            <w:pPr>
              <w:jc w:val="right"/>
              <w:ind w:right="91"/>
              <w:spacing w:after="0"/>
              <w:rPr>
                <w:sz w:val="20"/>
                <w:szCs w:val="20"/>
                <w:color w:val="auto"/>
              </w:rPr>
            </w:pPr>
            <w:r>
              <w:rPr>
                <w:rFonts w:ascii="Arial" w:cs="Arial" w:eastAsia="Arial" w:hAnsi="Arial"/>
                <w:sz w:val="18"/>
                <w:szCs w:val="18"/>
                <w:color w:val="auto"/>
              </w:rPr>
              <w:t>1,500,474</w:t>
            </w:r>
          </w:p>
        </w:tc>
        <w:tc>
          <w:tcPr>
            <w:tcW w:w="1340" w:type="dxa"/>
            <w:vAlign w:val="bottom"/>
            <w:tcBorders>
              <w:right w:val="single" w:sz="8" w:color="auto"/>
            </w:tcBorders>
            <w:vMerge w:val="restart"/>
          </w:tcPr>
          <w:p>
            <w:pPr>
              <w:jc w:val="right"/>
              <w:ind w:right="252"/>
              <w:spacing w:after="0"/>
              <w:rPr>
                <w:sz w:val="20"/>
                <w:szCs w:val="20"/>
                <w:color w:val="auto"/>
              </w:rPr>
            </w:pPr>
            <w:r>
              <w:rPr>
                <w:rFonts w:ascii="Arial" w:cs="Arial" w:eastAsia="Arial" w:hAnsi="Arial"/>
                <w:sz w:val="18"/>
                <w:szCs w:val="18"/>
                <w:color w:val="auto"/>
              </w:rPr>
              <w:t>6,461,345</w:t>
            </w:r>
          </w:p>
        </w:tc>
        <w:tc>
          <w:tcPr>
            <w:tcW w:w="1340" w:type="dxa"/>
            <w:vAlign w:val="bottom"/>
            <w:tcBorders>
              <w:right w:val="single" w:sz="8" w:color="auto"/>
            </w:tcBorders>
            <w:vMerge w:val="restart"/>
          </w:tcPr>
          <w:p>
            <w:pPr>
              <w:jc w:val="right"/>
              <w:ind w:right="251"/>
              <w:spacing w:after="0"/>
              <w:rPr>
                <w:sz w:val="20"/>
                <w:szCs w:val="20"/>
                <w:color w:val="auto"/>
              </w:rPr>
            </w:pPr>
            <w:r>
              <w:rPr>
                <w:rFonts w:ascii="Arial" w:cs="Arial" w:eastAsia="Arial" w:hAnsi="Arial"/>
                <w:sz w:val="18"/>
                <w:szCs w:val="18"/>
                <w:color w:val="auto"/>
              </w:rPr>
              <w:t>995,061</w:t>
            </w:r>
          </w:p>
        </w:tc>
        <w:tc>
          <w:tcPr>
            <w:tcW w:w="1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10,191,495</w:t>
            </w:r>
          </w:p>
        </w:tc>
        <w:tc>
          <w:tcPr>
            <w:tcW w:w="0" w:type="dxa"/>
            <w:vAlign w:val="bottom"/>
          </w:tcPr>
          <w:p>
            <w:pPr>
              <w:spacing w:after="0"/>
              <w:rPr>
                <w:sz w:val="1"/>
                <w:szCs w:val="1"/>
                <w:color w:val="auto"/>
              </w:rPr>
            </w:pPr>
          </w:p>
        </w:tc>
      </w:tr>
      <w:tr>
        <w:trPr>
          <w:trHeight w:val="149"/>
        </w:trPr>
        <w:tc>
          <w:tcPr>
            <w:tcW w:w="2600" w:type="dxa"/>
            <w:vAlign w:val="bottom"/>
            <w:tcBorders>
              <w:left w:val="single" w:sz="8" w:color="auto"/>
              <w:right w:val="single" w:sz="8" w:color="auto"/>
            </w:tcBorders>
            <w:vMerge w:val="restart"/>
          </w:tcPr>
          <w:p>
            <w:pPr>
              <w:ind w:left="60"/>
              <w:spacing w:after="0"/>
              <w:rPr>
                <w:sz w:val="20"/>
                <w:szCs w:val="20"/>
                <w:color w:val="auto"/>
              </w:rPr>
            </w:pPr>
            <w:r>
              <w:rPr>
                <w:rFonts w:ascii="Arial" w:cs="Arial" w:eastAsia="Arial" w:hAnsi="Arial"/>
                <w:sz w:val="18"/>
                <w:szCs w:val="18"/>
                <w:i w:val="1"/>
                <w:iCs w:val="1"/>
                <w:color w:val="auto"/>
              </w:rPr>
              <w:t>Co-President (Co-Principal</w:t>
            </w:r>
          </w:p>
        </w:tc>
        <w:tc>
          <w:tcPr>
            <w:tcW w:w="680" w:type="dxa"/>
            <w:vAlign w:val="bottom"/>
            <w:tcBorders>
              <w:right w:val="single" w:sz="8" w:color="auto"/>
            </w:tcBorders>
            <w:vMerge w:val="continue"/>
          </w:tcPr>
          <w:p>
            <w:pPr>
              <w:spacing w:after="0"/>
              <w:rPr>
                <w:sz w:val="12"/>
                <w:szCs w:val="12"/>
                <w:color w:val="auto"/>
              </w:rPr>
            </w:pPr>
          </w:p>
        </w:tc>
        <w:tc>
          <w:tcPr>
            <w:tcW w:w="1060" w:type="dxa"/>
            <w:vAlign w:val="bottom"/>
            <w:tcBorders>
              <w:right w:val="single" w:sz="8" w:color="auto"/>
            </w:tcBorders>
            <w:vMerge w:val="continue"/>
          </w:tcPr>
          <w:p>
            <w:pPr>
              <w:spacing w:after="0"/>
              <w:rPr>
                <w:sz w:val="12"/>
                <w:szCs w:val="12"/>
                <w:color w:val="auto"/>
              </w:rPr>
            </w:pPr>
          </w:p>
        </w:tc>
        <w:tc>
          <w:tcPr>
            <w:tcW w:w="1040" w:type="dxa"/>
            <w:vAlign w:val="bottom"/>
            <w:tcBorders>
              <w:right w:val="single" w:sz="8" w:color="auto"/>
            </w:tcBorders>
            <w:vMerge w:val="continue"/>
          </w:tcPr>
          <w:p>
            <w:pPr>
              <w:spacing w:after="0"/>
              <w:rPr>
                <w:sz w:val="12"/>
                <w:szCs w:val="12"/>
                <w:color w:val="auto"/>
              </w:rPr>
            </w:pPr>
          </w:p>
        </w:tc>
        <w:tc>
          <w:tcPr>
            <w:tcW w:w="1340" w:type="dxa"/>
            <w:vAlign w:val="bottom"/>
            <w:tcBorders>
              <w:right w:val="single" w:sz="8" w:color="auto"/>
            </w:tcBorders>
            <w:vMerge w:val="continue"/>
          </w:tcPr>
          <w:p>
            <w:pPr>
              <w:spacing w:after="0"/>
              <w:rPr>
                <w:sz w:val="12"/>
                <w:szCs w:val="12"/>
                <w:color w:val="auto"/>
              </w:rPr>
            </w:pPr>
          </w:p>
        </w:tc>
        <w:tc>
          <w:tcPr>
            <w:tcW w:w="1340" w:type="dxa"/>
            <w:vAlign w:val="bottom"/>
            <w:tcBorders>
              <w:right w:val="single" w:sz="8" w:color="auto"/>
            </w:tcBorders>
            <w:vMerge w:val="continue"/>
          </w:tcPr>
          <w:p>
            <w:pPr>
              <w:spacing w:after="0"/>
              <w:rPr>
                <w:sz w:val="12"/>
                <w:szCs w:val="12"/>
                <w:color w:val="auto"/>
              </w:rPr>
            </w:pPr>
          </w:p>
        </w:tc>
        <w:tc>
          <w:tcPr>
            <w:tcW w:w="10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600" w:type="dxa"/>
            <w:vAlign w:val="bottom"/>
            <w:tcBorders>
              <w:left w:val="single" w:sz="8" w:color="auto"/>
              <w:right w:val="single" w:sz="8" w:color="auto"/>
            </w:tcBorders>
            <w:vMerge w:val="continue"/>
          </w:tcPr>
          <w:p>
            <w:pPr>
              <w:spacing w:after="0"/>
              <w:rPr>
                <w:sz w:val="5"/>
                <w:szCs w:val="5"/>
                <w:color w:val="auto"/>
              </w:rPr>
            </w:pPr>
          </w:p>
        </w:tc>
        <w:tc>
          <w:tcPr>
            <w:tcW w:w="680" w:type="dxa"/>
            <w:vAlign w:val="bottom"/>
            <w:tcBorders>
              <w:right w:val="single" w:sz="8" w:color="auto"/>
            </w:tcBorders>
          </w:tcPr>
          <w:p>
            <w:pPr>
              <w:spacing w:after="0"/>
              <w:rPr>
                <w:sz w:val="5"/>
                <w:szCs w:val="5"/>
                <w:color w:val="auto"/>
              </w:rPr>
            </w:pPr>
          </w:p>
        </w:tc>
        <w:tc>
          <w:tcPr>
            <w:tcW w:w="1060" w:type="dxa"/>
            <w:vAlign w:val="bottom"/>
            <w:tcBorders>
              <w:right w:val="single" w:sz="8" w:color="auto"/>
            </w:tcBorders>
          </w:tcPr>
          <w:p>
            <w:pPr>
              <w:spacing w:after="0"/>
              <w:rPr>
                <w:sz w:val="5"/>
                <w:szCs w:val="5"/>
                <w:color w:val="auto"/>
              </w:rPr>
            </w:pPr>
          </w:p>
        </w:tc>
        <w:tc>
          <w:tcPr>
            <w:tcW w:w="1040" w:type="dxa"/>
            <w:vAlign w:val="bottom"/>
            <w:tcBorders>
              <w:right w:val="single" w:sz="8" w:color="auto"/>
            </w:tcBorders>
          </w:tcPr>
          <w:p>
            <w:pPr>
              <w:spacing w:after="0"/>
              <w:rPr>
                <w:sz w:val="5"/>
                <w:szCs w:val="5"/>
                <w:color w:val="auto"/>
              </w:rPr>
            </w:pPr>
          </w:p>
        </w:tc>
        <w:tc>
          <w:tcPr>
            <w:tcW w:w="1340" w:type="dxa"/>
            <w:vAlign w:val="bottom"/>
            <w:tcBorders>
              <w:right w:val="single" w:sz="8" w:color="auto"/>
            </w:tcBorders>
          </w:tcPr>
          <w:p>
            <w:pPr>
              <w:spacing w:after="0"/>
              <w:rPr>
                <w:sz w:val="5"/>
                <w:szCs w:val="5"/>
                <w:color w:val="auto"/>
              </w:rPr>
            </w:pPr>
          </w:p>
        </w:tc>
        <w:tc>
          <w:tcPr>
            <w:tcW w:w="1340" w:type="dxa"/>
            <w:vAlign w:val="bottom"/>
            <w:tcBorders>
              <w:right w:val="single" w:sz="8" w:color="auto"/>
            </w:tcBorders>
          </w:tcPr>
          <w:p>
            <w:pPr>
              <w:spacing w:after="0"/>
              <w:rPr>
                <w:sz w:val="5"/>
                <w:szCs w:val="5"/>
                <w:color w:val="auto"/>
              </w:rPr>
            </w:pPr>
          </w:p>
        </w:tc>
        <w:tc>
          <w:tcPr>
            <w:tcW w:w="10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84"/>
        </w:trPr>
        <w:tc>
          <w:tcPr>
            <w:tcW w:w="26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i w:val="1"/>
                <w:iCs w:val="1"/>
                <w:color w:val="auto"/>
              </w:rPr>
              <w:t>Executive Officer)</w:t>
            </w:r>
          </w:p>
        </w:tc>
        <w:tc>
          <w:tcPr>
            <w:tcW w:w="6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2017</w:t>
            </w:r>
          </w:p>
        </w:tc>
        <w:tc>
          <w:tcPr>
            <w:tcW w:w="1060" w:type="dxa"/>
            <w:vAlign w:val="bottom"/>
            <w:tcBorders>
              <w:right w:val="single" w:sz="8" w:color="auto"/>
            </w:tcBorders>
          </w:tcPr>
          <w:p>
            <w:pPr>
              <w:jc w:val="right"/>
              <w:ind w:right="91"/>
              <w:spacing w:after="0"/>
              <w:rPr>
                <w:sz w:val="20"/>
                <w:szCs w:val="20"/>
                <w:color w:val="auto"/>
              </w:rPr>
            </w:pPr>
            <w:r>
              <w:rPr>
                <w:rFonts w:ascii="Arial" w:cs="Arial" w:eastAsia="Arial" w:hAnsi="Arial"/>
                <w:sz w:val="18"/>
                <w:szCs w:val="18"/>
                <w:color w:val="auto"/>
              </w:rPr>
              <w:t>1,150,000</w:t>
            </w:r>
          </w:p>
        </w:tc>
        <w:tc>
          <w:tcPr>
            <w:tcW w:w="1040" w:type="dxa"/>
            <w:vAlign w:val="bottom"/>
            <w:tcBorders>
              <w:right w:val="single" w:sz="8" w:color="auto"/>
            </w:tcBorders>
          </w:tcPr>
          <w:p>
            <w:pPr>
              <w:jc w:val="right"/>
              <w:ind w:right="91"/>
              <w:spacing w:after="0"/>
              <w:rPr>
                <w:sz w:val="20"/>
                <w:szCs w:val="20"/>
                <w:color w:val="auto"/>
              </w:rPr>
            </w:pPr>
            <w:r>
              <w:rPr>
                <w:rFonts w:ascii="Arial" w:cs="Arial" w:eastAsia="Arial" w:hAnsi="Arial"/>
                <w:sz w:val="18"/>
                <w:szCs w:val="18"/>
                <w:color w:val="auto"/>
              </w:rPr>
              <w:t>5,195,752</w:t>
            </w:r>
          </w:p>
        </w:tc>
        <w:tc>
          <w:tcPr>
            <w:tcW w:w="1340" w:type="dxa"/>
            <w:vAlign w:val="bottom"/>
            <w:tcBorders>
              <w:right w:val="single" w:sz="8" w:color="auto"/>
            </w:tcBorders>
          </w:tcPr>
          <w:p>
            <w:pPr>
              <w:jc w:val="right"/>
              <w:ind w:right="252"/>
              <w:spacing w:after="0"/>
              <w:rPr>
                <w:sz w:val="20"/>
                <w:szCs w:val="20"/>
                <w:color w:val="auto"/>
              </w:rPr>
            </w:pPr>
            <w:r>
              <w:rPr>
                <w:rFonts w:ascii="Arial" w:cs="Arial" w:eastAsia="Arial" w:hAnsi="Arial"/>
                <w:sz w:val="18"/>
                <w:szCs w:val="18"/>
                <w:color w:val="auto"/>
              </w:rPr>
              <w:t>2,231,547</w:t>
            </w:r>
          </w:p>
        </w:tc>
        <w:tc>
          <w:tcPr>
            <w:tcW w:w="1340" w:type="dxa"/>
            <w:vAlign w:val="bottom"/>
            <w:tcBorders>
              <w:right w:val="single" w:sz="8" w:color="auto"/>
            </w:tcBorders>
          </w:tcPr>
          <w:p>
            <w:pPr>
              <w:jc w:val="right"/>
              <w:ind w:right="251"/>
              <w:spacing w:after="0"/>
              <w:rPr>
                <w:sz w:val="20"/>
                <w:szCs w:val="20"/>
                <w:color w:val="auto"/>
              </w:rPr>
            </w:pPr>
            <w:r>
              <w:rPr>
                <w:rFonts w:ascii="Arial" w:cs="Arial" w:eastAsia="Arial" w:hAnsi="Arial"/>
                <w:sz w:val="18"/>
                <w:szCs w:val="18"/>
                <w:color w:val="auto"/>
              </w:rPr>
              <w:t>1,024,850</w:t>
            </w: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9,602,149</w:t>
            </w:r>
          </w:p>
        </w:tc>
        <w:tc>
          <w:tcPr>
            <w:tcW w:w="0" w:type="dxa"/>
            <w:vAlign w:val="bottom"/>
          </w:tcPr>
          <w:p>
            <w:pPr>
              <w:spacing w:after="0"/>
              <w:rPr>
                <w:sz w:val="1"/>
                <w:szCs w:val="1"/>
                <w:color w:val="auto"/>
              </w:rPr>
            </w:pPr>
          </w:p>
        </w:tc>
      </w:tr>
      <w:tr>
        <w:trPr>
          <w:trHeight w:val="68"/>
        </w:trPr>
        <w:tc>
          <w:tcPr>
            <w:tcW w:w="2600" w:type="dxa"/>
            <w:vAlign w:val="bottom"/>
            <w:tcBorders>
              <w:left w:val="single" w:sz="8" w:color="auto"/>
              <w:bottom w:val="single" w:sz="8" w:color="auto"/>
              <w:right w:val="single" w:sz="8" w:color="auto"/>
            </w:tcBorders>
          </w:tcPr>
          <w:p>
            <w:pPr>
              <w:spacing w:after="0"/>
              <w:rPr>
                <w:sz w:val="5"/>
                <w:szCs w:val="5"/>
                <w:color w:val="auto"/>
              </w:rPr>
            </w:pPr>
          </w:p>
        </w:tc>
        <w:tc>
          <w:tcPr>
            <w:tcW w:w="680" w:type="dxa"/>
            <w:vAlign w:val="bottom"/>
            <w:tcBorders>
              <w:bottom w:val="single" w:sz="8" w:color="auto"/>
              <w:right w:val="single" w:sz="8" w:color="auto"/>
            </w:tcBorders>
          </w:tcPr>
          <w:p>
            <w:pPr>
              <w:spacing w:after="0"/>
              <w:rPr>
                <w:sz w:val="5"/>
                <w:szCs w:val="5"/>
                <w:color w:val="auto"/>
              </w:rPr>
            </w:pPr>
          </w:p>
        </w:tc>
        <w:tc>
          <w:tcPr>
            <w:tcW w:w="106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26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Joseph E. (Jeff) Consolino</w:t>
            </w:r>
          </w:p>
        </w:tc>
        <w:tc>
          <w:tcPr>
            <w:tcW w:w="6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2019</w:t>
            </w:r>
          </w:p>
        </w:tc>
        <w:tc>
          <w:tcPr>
            <w:tcW w:w="1060" w:type="dxa"/>
            <w:vAlign w:val="bottom"/>
            <w:tcBorders>
              <w:right w:val="single" w:sz="8" w:color="auto"/>
            </w:tcBorders>
          </w:tcPr>
          <w:p>
            <w:pPr>
              <w:jc w:val="right"/>
              <w:ind w:right="91"/>
              <w:spacing w:after="0"/>
              <w:rPr>
                <w:sz w:val="20"/>
                <w:szCs w:val="20"/>
                <w:color w:val="auto"/>
              </w:rPr>
            </w:pPr>
            <w:r>
              <w:rPr>
                <w:rFonts w:ascii="Arial" w:cs="Arial" w:eastAsia="Arial" w:hAnsi="Arial"/>
                <w:sz w:val="18"/>
                <w:szCs w:val="18"/>
                <w:color w:val="auto"/>
              </w:rPr>
              <w:t>960,000</w:t>
            </w:r>
          </w:p>
        </w:tc>
        <w:tc>
          <w:tcPr>
            <w:tcW w:w="1040" w:type="dxa"/>
            <w:vAlign w:val="bottom"/>
            <w:tcBorders>
              <w:right w:val="single" w:sz="8" w:color="auto"/>
            </w:tcBorders>
          </w:tcPr>
          <w:p>
            <w:pPr>
              <w:jc w:val="right"/>
              <w:ind w:right="91"/>
              <w:spacing w:after="0"/>
              <w:rPr>
                <w:sz w:val="20"/>
                <w:szCs w:val="20"/>
                <w:color w:val="auto"/>
              </w:rPr>
            </w:pPr>
            <w:r>
              <w:rPr>
                <w:rFonts w:ascii="Arial" w:cs="Arial" w:eastAsia="Arial" w:hAnsi="Arial"/>
                <w:sz w:val="18"/>
                <w:szCs w:val="18"/>
                <w:color w:val="auto"/>
              </w:rPr>
              <w:t>800,157</w:t>
            </w:r>
          </w:p>
        </w:tc>
        <w:tc>
          <w:tcPr>
            <w:tcW w:w="1340" w:type="dxa"/>
            <w:vAlign w:val="bottom"/>
            <w:tcBorders>
              <w:right w:val="single" w:sz="8" w:color="auto"/>
            </w:tcBorders>
          </w:tcPr>
          <w:p>
            <w:pPr>
              <w:jc w:val="right"/>
              <w:ind w:right="252"/>
              <w:spacing w:after="0"/>
              <w:rPr>
                <w:sz w:val="20"/>
                <w:szCs w:val="20"/>
                <w:color w:val="auto"/>
              </w:rPr>
            </w:pPr>
            <w:r>
              <w:rPr>
                <w:rFonts w:ascii="Arial" w:cs="Arial" w:eastAsia="Arial" w:hAnsi="Arial"/>
                <w:sz w:val="18"/>
                <w:szCs w:val="18"/>
                <w:color w:val="auto"/>
              </w:rPr>
              <w:t>2,874,267</w:t>
            </w:r>
          </w:p>
        </w:tc>
        <w:tc>
          <w:tcPr>
            <w:tcW w:w="1340" w:type="dxa"/>
            <w:vAlign w:val="bottom"/>
            <w:tcBorders>
              <w:right w:val="single" w:sz="8" w:color="auto"/>
            </w:tcBorders>
          </w:tcPr>
          <w:p>
            <w:pPr>
              <w:jc w:val="right"/>
              <w:ind w:right="251"/>
              <w:spacing w:after="0"/>
              <w:rPr>
                <w:sz w:val="20"/>
                <w:szCs w:val="20"/>
                <w:color w:val="auto"/>
              </w:rPr>
            </w:pPr>
            <w:r>
              <w:rPr>
                <w:rFonts w:ascii="Arial" w:cs="Arial" w:eastAsia="Arial" w:hAnsi="Arial"/>
                <w:sz w:val="18"/>
                <w:szCs w:val="18"/>
                <w:color w:val="auto"/>
              </w:rPr>
              <w:t>149,259</w:t>
            </w: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4,783,682</w:t>
            </w:r>
          </w:p>
        </w:tc>
        <w:tc>
          <w:tcPr>
            <w:tcW w:w="0" w:type="dxa"/>
            <w:vAlign w:val="bottom"/>
          </w:tcPr>
          <w:p>
            <w:pPr>
              <w:spacing w:after="0"/>
              <w:rPr>
                <w:sz w:val="1"/>
                <w:szCs w:val="1"/>
                <w:color w:val="auto"/>
              </w:rPr>
            </w:pPr>
          </w:p>
        </w:tc>
      </w:tr>
      <w:tr>
        <w:trPr>
          <w:trHeight w:val="216"/>
        </w:trPr>
        <w:tc>
          <w:tcPr>
            <w:tcW w:w="26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i w:val="1"/>
                <w:iCs w:val="1"/>
                <w:color w:val="auto"/>
              </w:rPr>
              <w:t>Executive Vice President and</w:t>
            </w:r>
          </w:p>
        </w:tc>
        <w:tc>
          <w:tcPr>
            <w:tcW w:w="680" w:type="dxa"/>
            <w:vAlign w:val="bottom"/>
            <w:tcBorders>
              <w:right w:val="single" w:sz="8" w:color="auto"/>
            </w:tcBorders>
            <w:vMerge w:val="restart"/>
          </w:tcPr>
          <w:p>
            <w:pPr>
              <w:ind w:left="140"/>
              <w:spacing w:after="0"/>
              <w:rPr>
                <w:sz w:val="20"/>
                <w:szCs w:val="20"/>
                <w:color w:val="auto"/>
              </w:rPr>
            </w:pPr>
            <w:r>
              <w:rPr>
                <w:rFonts w:ascii="Arial" w:cs="Arial" w:eastAsia="Arial" w:hAnsi="Arial"/>
                <w:sz w:val="18"/>
                <w:szCs w:val="18"/>
                <w:color w:val="auto"/>
              </w:rPr>
              <w:t>2018</w:t>
            </w:r>
          </w:p>
        </w:tc>
        <w:tc>
          <w:tcPr>
            <w:tcW w:w="1060" w:type="dxa"/>
            <w:vAlign w:val="bottom"/>
            <w:tcBorders>
              <w:right w:val="single" w:sz="8" w:color="auto"/>
            </w:tcBorders>
            <w:vMerge w:val="restart"/>
          </w:tcPr>
          <w:p>
            <w:pPr>
              <w:jc w:val="right"/>
              <w:ind w:right="91"/>
              <w:spacing w:after="0"/>
              <w:rPr>
                <w:sz w:val="20"/>
                <w:szCs w:val="20"/>
                <w:color w:val="auto"/>
              </w:rPr>
            </w:pPr>
            <w:r>
              <w:rPr>
                <w:rFonts w:ascii="Arial" w:cs="Arial" w:eastAsia="Arial" w:hAnsi="Arial"/>
                <w:sz w:val="18"/>
                <w:szCs w:val="18"/>
                <w:color w:val="auto"/>
              </w:rPr>
              <w:t>921,346</w:t>
            </w:r>
          </w:p>
        </w:tc>
        <w:tc>
          <w:tcPr>
            <w:tcW w:w="1040" w:type="dxa"/>
            <w:vAlign w:val="bottom"/>
            <w:tcBorders>
              <w:right w:val="single" w:sz="8" w:color="auto"/>
            </w:tcBorders>
            <w:vMerge w:val="restart"/>
          </w:tcPr>
          <w:p>
            <w:pPr>
              <w:jc w:val="right"/>
              <w:ind w:right="91"/>
              <w:spacing w:after="0"/>
              <w:rPr>
                <w:sz w:val="20"/>
                <w:szCs w:val="20"/>
                <w:color w:val="auto"/>
              </w:rPr>
            </w:pPr>
            <w:r>
              <w:rPr>
                <w:rFonts w:ascii="Arial" w:cs="Arial" w:eastAsia="Arial" w:hAnsi="Arial"/>
                <w:sz w:val="18"/>
                <w:szCs w:val="18"/>
                <w:color w:val="auto"/>
              </w:rPr>
              <w:t>800,177</w:t>
            </w:r>
          </w:p>
        </w:tc>
        <w:tc>
          <w:tcPr>
            <w:tcW w:w="1340" w:type="dxa"/>
            <w:vAlign w:val="bottom"/>
            <w:tcBorders>
              <w:right w:val="single" w:sz="8" w:color="auto"/>
            </w:tcBorders>
            <w:vMerge w:val="restart"/>
          </w:tcPr>
          <w:p>
            <w:pPr>
              <w:jc w:val="right"/>
              <w:ind w:right="252"/>
              <w:spacing w:after="0"/>
              <w:rPr>
                <w:sz w:val="20"/>
                <w:szCs w:val="20"/>
                <w:color w:val="auto"/>
              </w:rPr>
            </w:pPr>
            <w:r>
              <w:rPr>
                <w:rFonts w:ascii="Arial" w:cs="Arial" w:eastAsia="Arial" w:hAnsi="Arial"/>
                <w:sz w:val="18"/>
                <w:szCs w:val="18"/>
                <w:color w:val="auto"/>
              </w:rPr>
              <w:t>2,815,031</w:t>
            </w:r>
          </w:p>
        </w:tc>
        <w:tc>
          <w:tcPr>
            <w:tcW w:w="1340" w:type="dxa"/>
            <w:vAlign w:val="bottom"/>
            <w:tcBorders>
              <w:right w:val="single" w:sz="8" w:color="auto"/>
            </w:tcBorders>
            <w:vMerge w:val="restart"/>
          </w:tcPr>
          <w:p>
            <w:pPr>
              <w:jc w:val="right"/>
              <w:ind w:right="251"/>
              <w:spacing w:after="0"/>
              <w:rPr>
                <w:sz w:val="20"/>
                <w:szCs w:val="20"/>
                <w:color w:val="auto"/>
              </w:rPr>
            </w:pPr>
            <w:r>
              <w:rPr>
                <w:rFonts w:ascii="Arial" w:cs="Arial" w:eastAsia="Arial" w:hAnsi="Arial"/>
                <w:sz w:val="18"/>
                <w:szCs w:val="18"/>
                <w:color w:val="auto"/>
              </w:rPr>
              <w:t>147,246</w:t>
            </w:r>
          </w:p>
        </w:tc>
        <w:tc>
          <w:tcPr>
            <w:tcW w:w="10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4,683,800</w:t>
            </w:r>
          </w:p>
        </w:tc>
        <w:tc>
          <w:tcPr>
            <w:tcW w:w="0" w:type="dxa"/>
            <w:vAlign w:val="bottom"/>
          </w:tcPr>
          <w:p>
            <w:pPr>
              <w:spacing w:after="0"/>
              <w:rPr>
                <w:sz w:val="1"/>
                <w:szCs w:val="1"/>
                <w:color w:val="auto"/>
              </w:rPr>
            </w:pPr>
          </w:p>
        </w:tc>
      </w:tr>
      <w:tr>
        <w:trPr>
          <w:trHeight w:val="149"/>
        </w:trPr>
        <w:tc>
          <w:tcPr>
            <w:tcW w:w="2600" w:type="dxa"/>
            <w:vAlign w:val="bottom"/>
            <w:tcBorders>
              <w:left w:val="single" w:sz="8" w:color="auto"/>
              <w:right w:val="single" w:sz="8" w:color="auto"/>
            </w:tcBorders>
            <w:vMerge w:val="restart"/>
          </w:tcPr>
          <w:p>
            <w:pPr>
              <w:ind w:left="60"/>
              <w:spacing w:after="0"/>
              <w:rPr>
                <w:sz w:val="20"/>
                <w:szCs w:val="20"/>
                <w:color w:val="auto"/>
              </w:rPr>
            </w:pPr>
            <w:r>
              <w:rPr>
                <w:rFonts w:ascii="Arial" w:cs="Arial" w:eastAsia="Arial" w:hAnsi="Arial"/>
                <w:sz w:val="18"/>
                <w:szCs w:val="18"/>
                <w:i w:val="1"/>
                <w:iCs w:val="1"/>
                <w:color w:val="auto"/>
              </w:rPr>
              <w:t>Chief Financial Officer</w:t>
            </w:r>
          </w:p>
        </w:tc>
        <w:tc>
          <w:tcPr>
            <w:tcW w:w="680" w:type="dxa"/>
            <w:vAlign w:val="bottom"/>
            <w:tcBorders>
              <w:right w:val="single" w:sz="8" w:color="auto"/>
            </w:tcBorders>
            <w:vMerge w:val="continue"/>
          </w:tcPr>
          <w:p>
            <w:pPr>
              <w:spacing w:after="0"/>
              <w:rPr>
                <w:sz w:val="12"/>
                <w:szCs w:val="12"/>
                <w:color w:val="auto"/>
              </w:rPr>
            </w:pPr>
          </w:p>
        </w:tc>
        <w:tc>
          <w:tcPr>
            <w:tcW w:w="1060" w:type="dxa"/>
            <w:vAlign w:val="bottom"/>
            <w:tcBorders>
              <w:right w:val="single" w:sz="8" w:color="auto"/>
            </w:tcBorders>
            <w:vMerge w:val="continue"/>
          </w:tcPr>
          <w:p>
            <w:pPr>
              <w:spacing w:after="0"/>
              <w:rPr>
                <w:sz w:val="12"/>
                <w:szCs w:val="12"/>
                <w:color w:val="auto"/>
              </w:rPr>
            </w:pPr>
          </w:p>
        </w:tc>
        <w:tc>
          <w:tcPr>
            <w:tcW w:w="1040" w:type="dxa"/>
            <w:vAlign w:val="bottom"/>
            <w:tcBorders>
              <w:right w:val="single" w:sz="8" w:color="auto"/>
            </w:tcBorders>
            <w:vMerge w:val="continue"/>
          </w:tcPr>
          <w:p>
            <w:pPr>
              <w:spacing w:after="0"/>
              <w:rPr>
                <w:sz w:val="12"/>
                <w:szCs w:val="12"/>
                <w:color w:val="auto"/>
              </w:rPr>
            </w:pPr>
          </w:p>
        </w:tc>
        <w:tc>
          <w:tcPr>
            <w:tcW w:w="1340" w:type="dxa"/>
            <w:vAlign w:val="bottom"/>
            <w:tcBorders>
              <w:right w:val="single" w:sz="8" w:color="auto"/>
            </w:tcBorders>
            <w:vMerge w:val="continue"/>
          </w:tcPr>
          <w:p>
            <w:pPr>
              <w:spacing w:after="0"/>
              <w:rPr>
                <w:sz w:val="12"/>
                <w:szCs w:val="12"/>
                <w:color w:val="auto"/>
              </w:rPr>
            </w:pPr>
          </w:p>
        </w:tc>
        <w:tc>
          <w:tcPr>
            <w:tcW w:w="1340" w:type="dxa"/>
            <w:vAlign w:val="bottom"/>
            <w:tcBorders>
              <w:right w:val="single" w:sz="8" w:color="auto"/>
            </w:tcBorders>
            <w:vMerge w:val="continue"/>
          </w:tcPr>
          <w:p>
            <w:pPr>
              <w:spacing w:after="0"/>
              <w:rPr>
                <w:sz w:val="12"/>
                <w:szCs w:val="12"/>
                <w:color w:val="auto"/>
              </w:rPr>
            </w:pPr>
          </w:p>
        </w:tc>
        <w:tc>
          <w:tcPr>
            <w:tcW w:w="10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600" w:type="dxa"/>
            <w:vAlign w:val="bottom"/>
            <w:tcBorders>
              <w:left w:val="single" w:sz="8" w:color="auto"/>
              <w:right w:val="single" w:sz="8" w:color="auto"/>
            </w:tcBorders>
            <w:vMerge w:val="continue"/>
          </w:tcPr>
          <w:p>
            <w:pPr>
              <w:spacing w:after="0"/>
              <w:rPr>
                <w:sz w:val="5"/>
                <w:szCs w:val="5"/>
                <w:color w:val="auto"/>
              </w:rPr>
            </w:pPr>
          </w:p>
        </w:tc>
        <w:tc>
          <w:tcPr>
            <w:tcW w:w="680" w:type="dxa"/>
            <w:vAlign w:val="bottom"/>
            <w:tcBorders>
              <w:right w:val="single" w:sz="8" w:color="auto"/>
            </w:tcBorders>
          </w:tcPr>
          <w:p>
            <w:pPr>
              <w:spacing w:after="0"/>
              <w:rPr>
                <w:sz w:val="5"/>
                <w:szCs w:val="5"/>
                <w:color w:val="auto"/>
              </w:rPr>
            </w:pPr>
          </w:p>
        </w:tc>
        <w:tc>
          <w:tcPr>
            <w:tcW w:w="1060" w:type="dxa"/>
            <w:vAlign w:val="bottom"/>
            <w:tcBorders>
              <w:right w:val="single" w:sz="8" w:color="auto"/>
            </w:tcBorders>
          </w:tcPr>
          <w:p>
            <w:pPr>
              <w:spacing w:after="0"/>
              <w:rPr>
                <w:sz w:val="5"/>
                <w:szCs w:val="5"/>
                <w:color w:val="auto"/>
              </w:rPr>
            </w:pPr>
          </w:p>
        </w:tc>
        <w:tc>
          <w:tcPr>
            <w:tcW w:w="1040" w:type="dxa"/>
            <w:vAlign w:val="bottom"/>
            <w:tcBorders>
              <w:right w:val="single" w:sz="8" w:color="auto"/>
            </w:tcBorders>
          </w:tcPr>
          <w:p>
            <w:pPr>
              <w:spacing w:after="0"/>
              <w:rPr>
                <w:sz w:val="5"/>
                <w:szCs w:val="5"/>
                <w:color w:val="auto"/>
              </w:rPr>
            </w:pPr>
          </w:p>
        </w:tc>
        <w:tc>
          <w:tcPr>
            <w:tcW w:w="1340" w:type="dxa"/>
            <w:vAlign w:val="bottom"/>
            <w:tcBorders>
              <w:right w:val="single" w:sz="8" w:color="auto"/>
            </w:tcBorders>
          </w:tcPr>
          <w:p>
            <w:pPr>
              <w:spacing w:after="0"/>
              <w:rPr>
                <w:sz w:val="5"/>
                <w:szCs w:val="5"/>
                <w:color w:val="auto"/>
              </w:rPr>
            </w:pPr>
          </w:p>
        </w:tc>
        <w:tc>
          <w:tcPr>
            <w:tcW w:w="1340" w:type="dxa"/>
            <w:vAlign w:val="bottom"/>
            <w:tcBorders>
              <w:right w:val="single" w:sz="8" w:color="auto"/>
            </w:tcBorders>
          </w:tcPr>
          <w:p>
            <w:pPr>
              <w:spacing w:after="0"/>
              <w:rPr>
                <w:sz w:val="5"/>
                <w:szCs w:val="5"/>
                <w:color w:val="auto"/>
              </w:rPr>
            </w:pPr>
          </w:p>
        </w:tc>
        <w:tc>
          <w:tcPr>
            <w:tcW w:w="10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84"/>
        </w:trPr>
        <w:tc>
          <w:tcPr>
            <w:tcW w:w="26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i w:val="1"/>
                <w:iCs w:val="1"/>
                <w:color w:val="auto"/>
              </w:rPr>
              <w:t>(Principal Financial Officer)</w:t>
            </w:r>
          </w:p>
        </w:tc>
        <w:tc>
          <w:tcPr>
            <w:tcW w:w="6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2017</w:t>
            </w:r>
          </w:p>
        </w:tc>
        <w:tc>
          <w:tcPr>
            <w:tcW w:w="1060" w:type="dxa"/>
            <w:vAlign w:val="bottom"/>
            <w:tcBorders>
              <w:right w:val="single" w:sz="8" w:color="auto"/>
            </w:tcBorders>
          </w:tcPr>
          <w:p>
            <w:pPr>
              <w:jc w:val="right"/>
              <w:ind w:right="91"/>
              <w:spacing w:after="0"/>
              <w:rPr>
                <w:sz w:val="20"/>
                <w:szCs w:val="20"/>
                <w:color w:val="auto"/>
              </w:rPr>
            </w:pPr>
            <w:r>
              <w:rPr>
                <w:rFonts w:ascii="Arial" w:cs="Arial" w:eastAsia="Arial" w:hAnsi="Arial"/>
                <w:sz w:val="18"/>
                <w:szCs w:val="18"/>
                <w:color w:val="auto"/>
              </w:rPr>
              <w:t>895,192</w:t>
            </w:r>
          </w:p>
        </w:tc>
        <w:tc>
          <w:tcPr>
            <w:tcW w:w="1040" w:type="dxa"/>
            <w:vAlign w:val="bottom"/>
            <w:tcBorders>
              <w:right w:val="single" w:sz="8" w:color="auto"/>
            </w:tcBorders>
          </w:tcPr>
          <w:p>
            <w:pPr>
              <w:jc w:val="right"/>
              <w:ind w:right="91"/>
              <w:spacing w:after="0"/>
              <w:rPr>
                <w:sz w:val="20"/>
                <w:szCs w:val="20"/>
                <w:color w:val="auto"/>
              </w:rPr>
            </w:pPr>
            <w:r>
              <w:rPr>
                <w:rFonts w:ascii="Arial" w:cs="Arial" w:eastAsia="Arial" w:hAnsi="Arial"/>
                <w:sz w:val="18"/>
                <w:szCs w:val="18"/>
                <w:color w:val="auto"/>
              </w:rPr>
              <w:t>1,909,133</w:t>
            </w:r>
          </w:p>
        </w:tc>
        <w:tc>
          <w:tcPr>
            <w:tcW w:w="1340" w:type="dxa"/>
            <w:vAlign w:val="bottom"/>
            <w:tcBorders>
              <w:right w:val="single" w:sz="8" w:color="auto"/>
            </w:tcBorders>
          </w:tcPr>
          <w:p>
            <w:pPr>
              <w:jc w:val="right"/>
              <w:ind w:right="252"/>
              <w:spacing w:after="0"/>
              <w:rPr>
                <w:sz w:val="20"/>
                <w:szCs w:val="20"/>
                <w:color w:val="auto"/>
              </w:rPr>
            </w:pPr>
            <w:r>
              <w:rPr>
                <w:rFonts w:ascii="Arial" w:cs="Arial" w:eastAsia="Arial" w:hAnsi="Arial"/>
                <w:sz w:val="18"/>
                <w:szCs w:val="18"/>
                <w:color w:val="auto"/>
              </w:rPr>
              <w:t>1,535,950</w:t>
            </w:r>
          </w:p>
        </w:tc>
        <w:tc>
          <w:tcPr>
            <w:tcW w:w="1340" w:type="dxa"/>
            <w:vAlign w:val="bottom"/>
            <w:tcBorders>
              <w:right w:val="single" w:sz="8" w:color="auto"/>
            </w:tcBorders>
          </w:tcPr>
          <w:p>
            <w:pPr>
              <w:jc w:val="right"/>
              <w:ind w:right="251"/>
              <w:spacing w:after="0"/>
              <w:rPr>
                <w:sz w:val="20"/>
                <w:szCs w:val="20"/>
                <w:color w:val="auto"/>
              </w:rPr>
            </w:pPr>
            <w:r>
              <w:rPr>
                <w:rFonts w:ascii="Arial" w:cs="Arial" w:eastAsia="Arial" w:hAnsi="Arial"/>
                <w:sz w:val="18"/>
                <w:szCs w:val="18"/>
                <w:color w:val="auto"/>
              </w:rPr>
              <w:t>130,459</w:t>
            </w: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4,470,735</w:t>
            </w:r>
          </w:p>
        </w:tc>
        <w:tc>
          <w:tcPr>
            <w:tcW w:w="0" w:type="dxa"/>
            <w:vAlign w:val="bottom"/>
          </w:tcPr>
          <w:p>
            <w:pPr>
              <w:spacing w:after="0"/>
              <w:rPr>
                <w:sz w:val="1"/>
                <w:szCs w:val="1"/>
                <w:color w:val="auto"/>
              </w:rPr>
            </w:pPr>
          </w:p>
        </w:tc>
      </w:tr>
      <w:tr>
        <w:trPr>
          <w:trHeight w:val="68"/>
        </w:trPr>
        <w:tc>
          <w:tcPr>
            <w:tcW w:w="2600" w:type="dxa"/>
            <w:vAlign w:val="bottom"/>
            <w:tcBorders>
              <w:left w:val="single" w:sz="8" w:color="auto"/>
              <w:bottom w:val="single" w:sz="8" w:color="auto"/>
              <w:right w:val="single" w:sz="8" w:color="auto"/>
            </w:tcBorders>
          </w:tcPr>
          <w:p>
            <w:pPr>
              <w:spacing w:after="0"/>
              <w:rPr>
                <w:sz w:val="5"/>
                <w:szCs w:val="5"/>
                <w:color w:val="auto"/>
              </w:rPr>
            </w:pPr>
          </w:p>
        </w:tc>
        <w:tc>
          <w:tcPr>
            <w:tcW w:w="680" w:type="dxa"/>
            <w:vAlign w:val="bottom"/>
            <w:tcBorders>
              <w:bottom w:val="single" w:sz="8" w:color="auto"/>
              <w:right w:val="single" w:sz="8" w:color="auto"/>
            </w:tcBorders>
          </w:tcPr>
          <w:p>
            <w:pPr>
              <w:spacing w:after="0"/>
              <w:rPr>
                <w:sz w:val="5"/>
                <w:szCs w:val="5"/>
                <w:color w:val="auto"/>
              </w:rPr>
            </w:pPr>
          </w:p>
        </w:tc>
        <w:tc>
          <w:tcPr>
            <w:tcW w:w="106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26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John B. Berding</w:t>
            </w:r>
          </w:p>
        </w:tc>
        <w:tc>
          <w:tcPr>
            <w:tcW w:w="6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2019</w:t>
            </w:r>
          </w:p>
        </w:tc>
        <w:tc>
          <w:tcPr>
            <w:tcW w:w="1060" w:type="dxa"/>
            <w:vAlign w:val="bottom"/>
            <w:tcBorders>
              <w:right w:val="single" w:sz="8" w:color="auto"/>
            </w:tcBorders>
          </w:tcPr>
          <w:p>
            <w:pPr>
              <w:jc w:val="right"/>
              <w:ind w:right="91"/>
              <w:spacing w:after="0"/>
              <w:rPr>
                <w:sz w:val="20"/>
                <w:szCs w:val="20"/>
                <w:color w:val="auto"/>
              </w:rPr>
            </w:pPr>
            <w:r>
              <w:rPr>
                <w:rFonts w:ascii="Arial" w:cs="Arial" w:eastAsia="Arial" w:hAnsi="Arial"/>
                <w:sz w:val="18"/>
                <w:szCs w:val="18"/>
                <w:color w:val="auto"/>
              </w:rPr>
              <w:t>960,000</w:t>
            </w:r>
          </w:p>
        </w:tc>
        <w:tc>
          <w:tcPr>
            <w:tcW w:w="1040" w:type="dxa"/>
            <w:vAlign w:val="bottom"/>
            <w:tcBorders>
              <w:right w:val="single" w:sz="8" w:color="auto"/>
            </w:tcBorders>
          </w:tcPr>
          <w:p>
            <w:pPr>
              <w:jc w:val="right"/>
              <w:ind w:right="91"/>
              <w:spacing w:after="0"/>
              <w:rPr>
                <w:sz w:val="20"/>
                <w:szCs w:val="20"/>
                <w:color w:val="auto"/>
              </w:rPr>
            </w:pPr>
            <w:r>
              <w:rPr>
                <w:rFonts w:ascii="Arial" w:cs="Arial" w:eastAsia="Arial" w:hAnsi="Arial"/>
                <w:sz w:val="18"/>
                <w:szCs w:val="18"/>
                <w:color w:val="auto"/>
              </w:rPr>
              <w:t>950,062</w:t>
            </w:r>
          </w:p>
        </w:tc>
        <w:tc>
          <w:tcPr>
            <w:tcW w:w="1340" w:type="dxa"/>
            <w:vAlign w:val="bottom"/>
            <w:tcBorders>
              <w:right w:val="single" w:sz="8" w:color="auto"/>
            </w:tcBorders>
          </w:tcPr>
          <w:p>
            <w:pPr>
              <w:jc w:val="right"/>
              <w:ind w:right="252"/>
              <w:spacing w:after="0"/>
              <w:rPr>
                <w:sz w:val="20"/>
                <w:szCs w:val="20"/>
                <w:color w:val="auto"/>
              </w:rPr>
            </w:pPr>
            <w:r>
              <w:rPr>
                <w:rFonts w:ascii="Arial" w:cs="Arial" w:eastAsia="Arial" w:hAnsi="Arial"/>
                <w:sz w:val="18"/>
                <w:szCs w:val="18"/>
                <w:color w:val="auto"/>
              </w:rPr>
              <w:t>2,874,267</w:t>
            </w:r>
          </w:p>
        </w:tc>
        <w:tc>
          <w:tcPr>
            <w:tcW w:w="1340" w:type="dxa"/>
            <w:vAlign w:val="bottom"/>
            <w:tcBorders>
              <w:right w:val="single" w:sz="8" w:color="auto"/>
            </w:tcBorders>
          </w:tcPr>
          <w:p>
            <w:pPr>
              <w:jc w:val="right"/>
              <w:ind w:right="251"/>
              <w:spacing w:after="0"/>
              <w:rPr>
                <w:sz w:val="20"/>
                <w:szCs w:val="20"/>
                <w:color w:val="auto"/>
              </w:rPr>
            </w:pPr>
            <w:r>
              <w:rPr>
                <w:rFonts w:ascii="Arial" w:cs="Arial" w:eastAsia="Arial" w:hAnsi="Arial"/>
                <w:sz w:val="18"/>
                <w:szCs w:val="18"/>
                <w:color w:val="auto"/>
              </w:rPr>
              <w:t>99,597</w:t>
            </w: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4,883,926</w:t>
            </w:r>
          </w:p>
        </w:tc>
        <w:tc>
          <w:tcPr>
            <w:tcW w:w="0" w:type="dxa"/>
            <w:vAlign w:val="bottom"/>
          </w:tcPr>
          <w:p>
            <w:pPr>
              <w:spacing w:after="0"/>
              <w:rPr>
                <w:sz w:val="1"/>
                <w:szCs w:val="1"/>
                <w:color w:val="auto"/>
              </w:rPr>
            </w:pPr>
          </w:p>
        </w:tc>
      </w:tr>
      <w:tr>
        <w:trPr>
          <w:trHeight w:val="216"/>
        </w:trPr>
        <w:tc>
          <w:tcPr>
            <w:tcW w:w="26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i w:val="1"/>
                <w:iCs w:val="1"/>
                <w:color w:val="auto"/>
              </w:rPr>
              <w:t>President of American Money</w:t>
            </w:r>
          </w:p>
        </w:tc>
        <w:tc>
          <w:tcPr>
            <w:tcW w:w="680" w:type="dxa"/>
            <w:vAlign w:val="bottom"/>
            <w:tcBorders>
              <w:right w:val="single" w:sz="8" w:color="auto"/>
            </w:tcBorders>
            <w:vMerge w:val="restart"/>
          </w:tcPr>
          <w:p>
            <w:pPr>
              <w:ind w:left="140"/>
              <w:spacing w:after="0"/>
              <w:rPr>
                <w:sz w:val="20"/>
                <w:szCs w:val="20"/>
                <w:color w:val="auto"/>
              </w:rPr>
            </w:pPr>
            <w:r>
              <w:rPr>
                <w:rFonts w:ascii="Arial" w:cs="Arial" w:eastAsia="Arial" w:hAnsi="Arial"/>
                <w:sz w:val="18"/>
                <w:szCs w:val="18"/>
                <w:color w:val="auto"/>
              </w:rPr>
              <w:t>2018</w:t>
            </w:r>
          </w:p>
        </w:tc>
        <w:tc>
          <w:tcPr>
            <w:tcW w:w="1060" w:type="dxa"/>
            <w:vAlign w:val="bottom"/>
            <w:tcBorders>
              <w:right w:val="single" w:sz="8" w:color="auto"/>
            </w:tcBorders>
            <w:vMerge w:val="restart"/>
          </w:tcPr>
          <w:p>
            <w:pPr>
              <w:jc w:val="right"/>
              <w:ind w:right="91"/>
              <w:spacing w:after="0"/>
              <w:rPr>
                <w:sz w:val="20"/>
                <w:szCs w:val="20"/>
                <w:color w:val="auto"/>
              </w:rPr>
            </w:pPr>
            <w:r>
              <w:rPr>
                <w:rFonts w:ascii="Arial" w:cs="Arial" w:eastAsia="Arial" w:hAnsi="Arial"/>
                <w:sz w:val="18"/>
                <w:szCs w:val="18"/>
                <w:color w:val="auto"/>
              </w:rPr>
              <w:t>928,846</w:t>
            </w:r>
          </w:p>
        </w:tc>
        <w:tc>
          <w:tcPr>
            <w:tcW w:w="1040" w:type="dxa"/>
            <w:vAlign w:val="bottom"/>
            <w:tcBorders>
              <w:right w:val="single" w:sz="8" w:color="auto"/>
            </w:tcBorders>
            <w:vMerge w:val="restart"/>
          </w:tcPr>
          <w:p>
            <w:pPr>
              <w:jc w:val="right"/>
              <w:ind w:right="91"/>
              <w:spacing w:after="0"/>
              <w:rPr>
                <w:sz w:val="20"/>
                <w:szCs w:val="20"/>
                <w:color w:val="auto"/>
              </w:rPr>
            </w:pPr>
            <w:r>
              <w:rPr>
                <w:rFonts w:ascii="Arial" w:cs="Arial" w:eastAsia="Arial" w:hAnsi="Arial"/>
                <w:sz w:val="18"/>
                <w:szCs w:val="18"/>
                <w:color w:val="auto"/>
              </w:rPr>
              <w:t>950,281</w:t>
            </w:r>
          </w:p>
        </w:tc>
        <w:tc>
          <w:tcPr>
            <w:tcW w:w="1340" w:type="dxa"/>
            <w:vAlign w:val="bottom"/>
            <w:tcBorders>
              <w:right w:val="single" w:sz="8" w:color="auto"/>
            </w:tcBorders>
            <w:vMerge w:val="restart"/>
          </w:tcPr>
          <w:p>
            <w:pPr>
              <w:jc w:val="right"/>
              <w:ind w:right="252"/>
              <w:spacing w:after="0"/>
              <w:rPr>
                <w:sz w:val="20"/>
                <w:szCs w:val="20"/>
                <w:color w:val="auto"/>
              </w:rPr>
            </w:pPr>
            <w:r>
              <w:rPr>
                <w:rFonts w:ascii="Arial" w:cs="Arial" w:eastAsia="Arial" w:hAnsi="Arial"/>
                <w:sz w:val="18"/>
                <w:szCs w:val="18"/>
                <w:color w:val="auto"/>
              </w:rPr>
              <w:t>2,815,031</w:t>
            </w:r>
          </w:p>
        </w:tc>
        <w:tc>
          <w:tcPr>
            <w:tcW w:w="1340" w:type="dxa"/>
            <w:vAlign w:val="bottom"/>
            <w:tcBorders>
              <w:right w:val="single" w:sz="8" w:color="auto"/>
            </w:tcBorders>
            <w:vMerge w:val="restart"/>
          </w:tcPr>
          <w:p>
            <w:pPr>
              <w:jc w:val="right"/>
              <w:ind w:right="251"/>
              <w:spacing w:after="0"/>
              <w:rPr>
                <w:sz w:val="20"/>
                <w:szCs w:val="20"/>
                <w:color w:val="auto"/>
              </w:rPr>
            </w:pPr>
            <w:r>
              <w:rPr>
                <w:rFonts w:ascii="Arial" w:cs="Arial" w:eastAsia="Arial" w:hAnsi="Arial"/>
                <w:sz w:val="18"/>
                <w:szCs w:val="18"/>
                <w:color w:val="auto"/>
              </w:rPr>
              <w:t>99,986</w:t>
            </w:r>
          </w:p>
        </w:tc>
        <w:tc>
          <w:tcPr>
            <w:tcW w:w="10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4,794,144</w:t>
            </w:r>
          </w:p>
        </w:tc>
        <w:tc>
          <w:tcPr>
            <w:tcW w:w="0" w:type="dxa"/>
            <w:vAlign w:val="bottom"/>
          </w:tcPr>
          <w:p>
            <w:pPr>
              <w:spacing w:after="0"/>
              <w:rPr>
                <w:sz w:val="1"/>
                <w:szCs w:val="1"/>
                <w:color w:val="auto"/>
              </w:rPr>
            </w:pPr>
          </w:p>
        </w:tc>
      </w:tr>
      <w:tr>
        <w:trPr>
          <w:trHeight w:val="149"/>
        </w:trPr>
        <w:tc>
          <w:tcPr>
            <w:tcW w:w="2600" w:type="dxa"/>
            <w:vAlign w:val="bottom"/>
            <w:tcBorders>
              <w:left w:val="single" w:sz="8" w:color="auto"/>
              <w:right w:val="single" w:sz="8" w:color="auto"/>
            </w:tcBorders>
            <w:vMerge w:val="restart"/>
          </w:tcPr>
          <w:p>
            <w:pPr>
              <w:ind w:left="60"/>
              <w:spacing w:after="0"/>
              <w:rPr>
                <w:sz w:val="20"/>
                <w:szCs w:val="20"/>
                <w:color w:val="auto"/>
              </w:rPr>
            </w:pPr>
            <w:r>
              <w:rPr>
                <w:rFonts w:ascii="Arial" w:cs="Arial" w:eastAsia="Arial" w:hAnsi="Arial"/>
                <w:sz w:val="18"/>
                <w:szCs w:val="18"/>
                <w:i w:val="1"/>
                <w:iCs w:val="1"/>
                <w:color w:val="auto"/>
              </w:rPr>
              <w:t>Management</w:t>
            </w:r>
          </w:p>
        </w:tc>
        <w:tc>
          <w:tcPr>
            <w:tcW w:w="680" w:type="dxa"/>
            <w:vAlign w:val="bottom"/>
            <w:tcBorders>
              <w:right w:val="single" w:sz="8" w:color="auto"/>
            </w:tcBorders>
            <w:vMerge w:val="continue"/>
          </w:tcPr>
          <w:p>
            <w:pPr>
              <w:spacing w:after="0"/>
              <w:rPr>
                <w:sz w:val="12"/>
                <w:szCs w:val="12"/>
                <w:color w:val="auto"/>
              </w:rPr>
            </w:pPr>
          </w:p>
        </w:tc>
        <w:tc>
          <w:tcPr>
            <w:tcW w:w="1060" w:type="dxa"/>
            <w:vAlign w:val="bottom"/>
            <w:tcBorders>
              <w:right w:val="single" w:sz="8" w:color="auto"/>
            </w:tcBorders>
            <w:vMerge w:val="continue"/>
          </w:tcPr>
          <w:p>
            <w:pPr>
              <w:spacing w:after="0"/>
              <w:rPr>
                <w:sz w:val="12"/>
                <w:szCs w:val="12"/>
                <w:color w:val="auto"/>
              </w:rPr>
            </w:pPr>
          </w:p>
        </w:tc>
        <w:tc>
          <w:tcPr>
            <w:tcW w:w="1040" w:type="dxa"/>
            <w:vAlign w:val="bottom"/>
            <w:tcBorders>
              <w:right w:val="single" w:sz="8" w:color="auto"/>
            </w:tcBorders>
            <w:vMerge w:val="continue"/>
          </w:tcPr>
          <w:p>
            <w:pPr>
              <w:spacing w:after="0"/>
              <w:rPr>
                <w:sz w:val="12"/>
                <w:szCs w:val="12"/>
                <w:color w:val="auto"/>
              </w:rPr>
            </w:pPr>
          </w:p>
        </w:tc>
        <w:tc>
          <w:tcPr>
            <w:tcW w:w="1340" w:type="dxa"/>
            <w:vAlign w:val="bottom"/>
            <w:tcBorders>
              <w:right w:val="single" w:sz="8" w:color="auto"/>
            </w:tcBorders>
            <w:vMerge w:val="continue"/>
          </w:tcPr>
          <w:p>
            <w:pPr>
              <w:spacing w:after="0"/>
              <w:rPr>
                <w:sz w:val="12"/>
                <w:szCs w:val="12"/>
                <w:color w:val="auto"/>
              </w:rPr>
            </w:pPr>
          </w:p>
        </w:tc>
        <w:tc>
          <w:tcPr>
            <w:tcW w:w="1340" w:type="dxa"/>
            <w:vAlign w:val="bottom"/>
            <w:tcBorders>
              <w:right w:val="single" w:sz="8" w:color="auto"/>
            </w:tcBorders>
            <w:vMerge w:val="continue"/>
          </w:tcPr>
          <w:p>
            <w:pPr>
              <w:spacing w:after="0"/>
              <w:rPr>
                <w:sz w:val="12"/>
                <w:szCs w:val="12"/>
                <w:color w:val="auto"/>
              </w:rPr>
            </w:pPr>
          </w:p>
        </w:tc>
        <w:tc>
          <w:tcPr>
            <w:tcW w:w="10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600" w:type="dxa"/>
            <w:vAlign w:val="bottom"/>
            <w:tcBorders>
              <w:left w:val="single" w:sz="8" w:color="auto"/>
              <w:right w:val="single" w:sz="8" w:color="auto"/>
            </w:tcBorders>
            <w:vMerge w:val="continue"/>
          </w:tcPr>
          <w:p>
            <w:pPr>
              <w:spacing w:after="0"/>
              <w:rPr>
                <w:sz w:val="7"/>
                <w:szCs w:val="7"/>
                <w:color w:val="auto"/>
              </w:rPr>
            </w:pPr>
          </w:p>
        </w:tc>
        <w:tc>
          <w:tcPr>
            <w:tcW w:w="680" w:type="dxa"/>
            <w:vAlign w:val="bottom"/>
            <w:tcBorders>
              <w:right w:val="single" w:sz="8" w:color="auto"/>
            </w:tcBorders>
          </w:tcPr>
          <w:p>
            <w:pPr>
              <w:spacing w:after="0"/>
              <w:rPr>
                <w:sz w:val="7"/>
                <w:szCs w:val="7"/>
                <w:color w:val="auto"/>
              </w:rPr>
            </w:pPr>
          </w:p>
        </w:tc>
        <w:tc>
          <w:tcPr>
            <w:tcW w:w="1060" w:type="dxa"/>
            <w:vAlign w:val="bottom"/>
            <w:tcBorders>
              <w:right w:val="single" w:sz="8" w:color="auto"/>
            </w:tcBorders>
          </w:tcPr>
          <w:p>
            <w:pPr>
              <w:spacing w:after="0"/>
              <w:rPr>
                <w:sz w:val="7"/>
                <w:szCs w:val="7"/>
                <w:color w:val="auto"/>
              </w:rPr>
            </w:pPr>
          </w:p>
        </w:tc>
        <w:tc>
          <w:tcPr>
            <w:tcW w:w="1040" w:type="dxa"/>
            <w:vAlign w:val="bottom"/>
            <w:tcBorders>
              <w:right w:val="single" w:sz="8" w:color="auto"/>
            </w:tcBorders>
          </w:tcPr>
          <w:p>
            <w:pPr>
              <w:spacing w:after="0"/>
              <w:rPr>
                <w:sz w:val="7"/>
                <w:szCs w:val="7"/>
                <w:color w:val="auto"/>
              </w:rPr>
            </w:pPr>
          </w:p>
        </w:tc>
        <w:tc>
          <w:tcPr>
            <w:tcW w:w="1340" w:type="dxa"/>
            <w:vAlign w:val="bottom"/>
            <w:tcBorders>
              <w:right w:val="single" w:sz="8" w:color="auto"/>
            </w:tcBorders>
          </w:tcPr>
          <w:p>
            <w:pPr>
              <w:spacing w:after="0"/>
              <w:rPr>
                <w:sz w:val="7"/>
                <w:szCs w:val="7"/>
                <w:color w:val="auto"/>
              </w:rPr>
            </w:pPr>
          </w:p>
        </w:tc>
        <w:tc>
          <w:tcPr>
            <w:tcW w:w="1340" w:type="dxa"/>
            <w:vAlign w:val="bottom"/>
            <w:tcBorders>
              <w:right w:val="single" w:sz="8" w:color="auto"/>
            </w:tcBorders>
          </w:tcPr>
          <w:p>
            <w:pPr>
              <w:spacing w:after="0"/>
              <w:rPr>
                <w:sz w:val="7"/>
                <w:szCs w:val="7"/>
                <w:color w:val="auto"/>
              </w:rPr>
            </w:pPr>
          </w:p>
        </w:tc>
        <w:tc>
          <w:tcPr>
            <w:tcW w:w="10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2600" w:type="dxa"/>
            <w:vAlign w:val="bottom"/>
            <w:tcBorders>
              <w:left w:val="single" w:sz="8" w:color="auto"/>
              <w:right w:val="single" w:sz="8" w:color="auto"/>
            </w:tcBorders>
          </w:tcPr>
          <w:p>
            <w:pPr>
              <w:spacing w:after="0"/>
              <w:rPr>
                <w:sz w:val="23"/>
                <w:szCs w:val="23"/>
                <w:color w:val="auto"/>
              </w:rPr>
            </w:pPr>
          </w:p>
        </w:tc>
        <w:tc>
          <w:tcPr>
            <w:tcW w:w="6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2017</w:t>
            </w:r>
          </w:p>
        </w:tc>
        <w:tc>
          <w:tcPr>
            <w:tcW w:w="1060" w:type="dxa"/>
            <w:vAlign w:val="bottom"/>
            <w:tcBorders>
              <w:right w:val="single" w:sz="8" w:color="auto"/>
            </w:tcBorders>
          </w:tcPr>
          <w:p>
            <w:pPr>
              <w:jc w:val="right"/>
              <w:ind w:right="91"/>
              <w:spacing w:after="0"/>
              <w:rPr>
                <w:sz w:val="20"/>
                <w:szCs w:val="20"/>
                <w:color w:val="auto"/>
              </w:rPr>
            </w:pPr>
            <w:r>
              <w:rPr>
                <w:rFonts w:ascii="Arial" w:cs="Arial" w:eastAsia="Arial" w:hAnsi="Arial"/>
                <w:sz w:val="18"/>
                <w:szCs w:val="18"/>
                <w:color w:val="auto"/>
              </w:rPr>
              <w:t>900,000</w:t>
            </w:r>
          </w:p>
        </w:tc>
        <w:tc>
          <w:tcPr>
            <w:tcW w:w="1040" w:type="dxa"/>
            <w:vAlign w:val="bottom"/>
            <w:tcBorders>
              <w:right w:val="single" w:sz="8" w:color="auto"/>
            </w:tcBorders>
          </w:tcPr>
          <w:p>
            <w:pPr>
              <w:jc w:val="right"/>
              <w:ind w:right="91"/>
              <w:spacing w:after="0"/>
              <w:rPr>
                <w:sz w:val="20"/>
                <w:szCs w:val="20"/>
                <w:color w:val="auto"/>
              </w:rPr>
            </w:pPr>
            <w:r>
              <w:rPr>
                <w:rFonts w:ascii="Arial" w:cs="Arial" w:eastAsia="Arial" w:hAnsi="Arial"/>
                <w:sz w:val="18"/>
                <w:szCs w:val="18"/>
                <w:color w:val="auto"/>
              </w:rPr>
              <w:t>2,008,662</w:t>
            </w:r>
          </w:p>
        </w:tc>
        <w:tc>
          <w:tcPr>
            <w:tcW w:w="1340" w:type="dxa"/>
            <w:vAlign w:val="bottom"/>
            <w:tcBorders>
              <w:right w:val="single" w:sz="8" w:color="auto"/>
            </w:tcBorders>
          </w:tcPr>
          <w:p>
            <w:pPr>
              <w:jc w:val="right"/>
              <w:ind w:right="252"/>
              <w:spacing w:after="0"/>
              <w:rPr>
                <w:sz w:val="20"/>
                <w:szCs w:val="20"/>
                <w:color w:val="auto"/>
              </w:rPr>
            </w:pPr>
            <w:r>
              <w:rPr>
                <w:rFonts w:ascii="Arial" w:cs="Arial" w:eastAsia="Arial" w:hAnsi="Arial"/>
                <w:sz w:val="18"/>
                <w:szCs w:val="18"/>
                <w:color w:val="auto"/>
              </w:rPr>
              <w:t>1,535,950</w:t>
            </w:r>
          </w:p>
        </w:tc>
        <w:tc>
          <w:tcPr>
            <w:tcW w:w="1340" w:type="dxa"/>
            <w:vAlign w:val="bottom"/>
            <w:tcBorders>
              <w:right w:val="single" w:sz="8" w:color="auto"/>
            </w:tcBorders>
          </w:tcPr>
          <w:p>
            <w:pPr>
              <w:jc w:val="right"/>
              <w:ind w:right="251"/>
              <w:spacing w:after="0"/>
              <w:rPr>
                <w:sz w:val="20"/>
                <w:szCs w:val="20"/>
                <w:color w:val="auto"/>
              </w:rPr>
            </w:pPr>
            <w:r>
              <w:rPr>
                <w:rFonts w:ascii="Arial" w:cs="Arial" w:eastAsia="Arial" w:hAnsi="Arial"/>
                <w:sz w:val="18"/>
                <w:szCs w:val="18"/>
                <w:color w:val="auto"/>
              </w:rPr>
              <w:t>93,010</w:t>
            </w: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4,537,622</w:t>
            </w:r>
          </w:p>
        </w:tc>
        <w:tc>
          <w:tcPr>
            <w:tcW w:w="0" w:type="dxa"/>
            <w:vAlign w:val="bottom"/>
          </w:tcPr>
          <w:p>
            <w:pPr>
              <w:spacing w:after="0"/>
              <w:rPr>
                <w:sz w:val="1"/>
                <w:szCs w:val="1"/>
                <w:color w:val="auto"/>
              </w:rPr>
            </w:pPr>
          </w:p>
        </w:tc>
      </w:tr>
      <w:tr>
        <w:trPr>
          <w:trHeight w:val="67"/>
        </w:trPr>
        <w:tc>
          <w:tcPr>
            <w:tcW w:w="2600" w:type="dxa"/>
            <w:vAlign w:val="bottom"/>
            <w:tcBorders>
              <w:left w:val="single" w:sz="8" w:color="auto"/>
              <w:bottom w:val="single" w:sz="8" w:color="auto"/>
              <w:right w:val="single" w:sz="8" w:color="auto"/>
            </w:tcBorders>
          </w:tcPr>
          <w:p>
            <w:pPr>
              <w:spacing w:after="0"/>
              <w:rPr>
                <w:sz w:val="5"/>
                <w:szCs w:val="5"/>
                <w:color w:val="auto"/>
              </w:rPr>
            </w:pPr>
          </w:p>
        </w:tc>
        <w:tc>
          <w:tcPr>
            <w:tcW w:w="680" w:type="dxa"/>
            <w:vAlign w:val="bottom"/>
            <w:tcBorders>
              <w:bottom w:val="single" w:sz="8" w:color="auto"/>
              <w:right w:val="single" w:sz="8" w:color="auto"/>
            </w:tcBorders>
          </w:tcPr>
          <w:p>
            <w:pPr>
              <w:spacing w:after="0"/>
              <w:rPr>
                <w:sz w:val="5"/>
                <w:szCs w:val="5"/>
                <w:color w:val="auto"/>
              </w:rPr>
            </w:pPr>
          </w:p>
        </w:tc>
        <w:tc>
          <w:tcPr>
            <w:tcW w:w="106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26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Michelle A. Gillis</w:t>
            </w:r>
          </w:p>
        </w:tc>
        <w:tc>
          <w:tcPr>
            <w:tcW w:w="6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2019</w:t>
            </w:r>
          </w:p>
        </w:tc>
        <w:tc>
          <w:tcPr>
            <w:tcW w:w="1060" w:type="dxa"/>
            <w:vAlign w:val="bottom"/>
            <w:tcBorders>
              <w:right w:val="single" w:sz="8" w:color="auto"/>
            </w:tcBorders>
          </w:tcPr>
          <w:p>
            <w:pPr>
              <w:jc w:val="right"/>
              <w:ind w:right="91"/>
              <w:spacing w:after="0"/>
              <w:rPr>
                <w:sz w:val="20"/>
                <w:szCs w:val="20"/>
                <w:color w:val="auto"/>
              </w:rPr>
            </w:pPr>
            <w:r>
              <w:rPr>
                <w:rFonts w:ascii="Arial" w:cs="Arial" w:eastAsia="Arial" w:hAnsi="Arial"/>
                <w:sz w:val="18"/>
                <w:szCs w:val="18"/>
                <w:color w:val="auto"/>
              </w:rPr>
              <w:t>390,770</w:t>
            </w:r>
          </w:p>
        </w:tc>
        <w:tc>
          <w:tcPr>
            <w:tcW w:w="1040" w:type="dxa"/>
            <w:vAlign w:val="bottom"/>
            <w:tcBorders>
              <w:right w:val="single" w:sz="8" w:color="auto"/>
            </w:tcBorders>
          </w:tcPr>
          <w:p>
            <w:pPr>
              <w:jc w:val="right"/>
              <w:ind w:right="91"/>
              <w:spacing w:after="0"/>
              <w:rPr>
                <w:sz w:val="20"/>
                <w:szCs w:val="20"/>
                <w:color w:val="auto"/>
              </w:rPr>
            </w:pPr>
            <w:r>
              <w:rPr>
                <w:rFonts w:ascii="Arial" w:cs="Arial" w:eastAsia="Arial" w:hAnsi="Arial"/>
                <w:sz w:val="18"/>
                <w:szCs w:val="18"/>
                <w:color w:val="auto"/>
              </w:rPr>
              <w:t>320,162</w:t>
            </w:r>
          </w:p>
        </w:tc>
        <w:tc>
          <w:tcPr>
            <w:tcW w:w="1340" w:type="dxa"/>
            <w:vAlign w:val="bottom"/>
            <w:tcBorders>
              <w:right w:val="single" w:sz="8" w:color="auto"/>
            </w:tcBorders>
          </w:tcPr>
          <w:p>
            <w:pPr>
              <w:jc w:val="right"/>
              <w:ind w:right="252"/>
              <w:spacing w:after="0"/>
              <w:rPr>
                <w:sz w:val="20"/>
                <w:szCs w:val="20"/>
                <w:color w:val="auto"/>
              </w:rPr>
            </w:pPr>
            <w:r>
              <w:rPr>
                <w:rFonts w:ascii="Arial" w:cs="Arial" w:eastAsia="Arial" w:hAnsi="Arial"/>
                <w:sz w:val="18"/>
                <w:szCs w:val="18"/>
                <w:color w:val="auto"/>
              </w:rPr>
              <w:t>310,174</w:t>
            </w:r>
          </w:p>
        </w:tc>
        <w:tc>
          <w:tcPr>
            <w:tcW w:w="1340" w:type="dxa"/>
            <w:vAlign w:val="bottom"/>
            <w:tcBorders>
              <w:right w:val="single" w:sz="8" w:color="auto"/>
            </w:tcBorders>
          </w:tcPr>
          <w:p>
            <w:pPr>
              <w:jc w:val="right"/>
              <w:ind w:right="251"/>
              <w:spacing w:after="0"/>
              <w:rPr>
                <w:sz w:val="20"/>
                <w:szCs w:val="20"/>
                <w:color w:val="auto"/>
              </w:rPr>
            </w:pPr>
            <w:r>
              <w:rPr>
                <w:rFonts w:ascii="Arial" w:cs="Arial" w:eastAsia="Arial" w:hAnsi="Arial"/>
                <w:sz w:val="18"/>
                <w:szCs w:val="18"/>
                <w:color w:val="auto"/>
              </w:rPr>
              <w:t>61,482</w:t>
            </w: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1,082,589</w:t>
            </w:r>
          </w:p>
        </w:tc>
        <w:tc>
          <w:tcPr>
            <w:tcW w:w="0" w:type="dxa"/>
            <w:vAlign w:val="bottom"/>
          </w:tcPr>
          <w:p>
            <w:pPr>
              <w:spacing w:after="0"/>
              <w:rPr>
                <w:sz w:val="1"/>
                <w:szCs w:val="1"/>
                <w:color w:val="auto"/>
              </w:rPr>
            </w:pPr>
          </w:p>
        </w:tc>
      </w:tr>
      <w:tr>
        <w:trPr>
          <w:trHeight w:val="216"/>
        </w:trPr>
        <w:tc>
          <w:tcPr>
            <w:tcW w:w="26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i w:val="1"/>
                <w:iCs w:val="1"/>
                <w:color w:val="auto"/>
                <w:w w:val="97"/>
              </w:rPr>
              <w:t>Senior Vice President and Chief</w:t>
            </w:r>
          </w:p>
        </w:tc>
        <w:tc>
          <w:tcPr>
            <w:tcW w:w="680" w:type="dxa"/>
            <w:vAlign w:val="bottom"/>
            <w:tcBorders>
              <w:right w:val="single" w:sz="8" w:color="auto"/>
            </w:tcBorders>
            <w:vMerge w:val="restart"/>
          </w:tcPr>
          <w:p>
            <w:pPr>
              <w:ind w:left="140"/>
              <w:spacing w:after="0"/>
              <w:rPr>
                <w:sz w:val="20"/>
                <w:szCs w:val="20"/>
                <w:color w:val="auto"/>
              </w:rPr>
            </w:pPr>
            <w:r>
              <w:rPr>
                <w:rFonts w:ascii="Arial" w:cs="Arial" w:eastAsia="Arial" w:hAnsi="Arial"/>
                <w:sz w:val="18"/>
                <w:szCs w:val="18"/>
                <w:color w:val="auto"/>
              </w:rPr>
              <w:t>2018</w:t>
            </w:r>
          </w:p>
        </w:tc>
        <w:tc>
          <w:tcPr>
            <w:tcW w:w="1060" w:type="dxa"/>
            <w:vAlign w:val="bottom"/>
            <w:tcBorders>
              <w:right w:val="single" w:sz="8" w:color="auto"/>
            </w:tcBorders>
            <w:vMerge w:val="restart"/>
          </w:tcPr>
          <w:p>
            <w:pPr>
              <w:jc w:val="right"/>
              <w:ind w:right="91"/>
              <w:spacing w:after="0"/>
              <w:rPr>
                <w:sz w:val="20"/>
                <w:szCs w:val="20"/>
                <w:color w:val="auto"/>
              </w:rPr>
            </w:pPr>
            <w:r>
              <w:rPr>
                <w:rFonts w:ascii="Arial" w:cs="Arial" w:eastAsia="Arial" w:hAnsi="Arial"/>
                <w:sz w:val="18"/>
                <w:szCs w:val="18"/>
                <w:color w:val="auto"/>
              </w:rPr>
              <w:t>355,979</w:t>
            </w:r>
          </w:p>
        </w:tc>
        <w:tc>
          <w:tcPr>
            <w:tcW w:w="1040" w:type="dxa"/>
            <w:vAlign w:val="bottom"/>
            <w:tcBorders>
              <w:right w:val="single" w:sz="8" w:color="auto"/>
            </w:tcBorders>
            <w:vMerge w:val="restart"/>
          </w:tcPr>
          <w:p>
            <w:pPr>
              <w:jc w:val="right"/>
              <w:ind w:right="91"/>
              <w:spacing w:after="0"/>
              <w:rPr>
                <w:sz w:val="20"/>
                <w:szCs w:val="20"/>
                <w:color w:val="auto"/>
              </w:rPr>
            </w:pPr>
            <w:r>
              <w:rPr>
                <w:rFonts w:ascii="Arial" w:cs="Arial" w:eastAsia="Arial" w:hAnsi="Arial"/>
                <w:sz w:val="18"/>
                <w:szCs w:val="18"/>
                <w:color w:val="auto"/>
              </w:rPr>
              <w:t>320,522</w:t>
            </w:r>
          </w:p>
        </w:tc>
        <w:tc>
          <w:tcPr>
            <w:tcW w:w="1340" w:type="dxa"/>
            <w:vAlign w:val="bottom"/>
            <w:tcBorders>
              <w:right w:val="single" w:sz="8" w:color="auto"/>
            </w:tcBorders>
            <w:vMerge w:val="restart"/>
          </w:tcPr>
          <w:p>
            <w:pPr>
              <w:jc w:val="right"/>
              <w:ind w:right="252"/>
              <w:spacing w:after="0"/>
              <w:rPr>
                <w:sz w:val="20"/>
                <w:szCs w:val="20"/>
                <w:color w:val="auto"/>
              </w:rPr>
            </w:pPr>
            <w:r>
              <w:rPr>
                <w:rFonts w:ascii="Arial" w:cs="Arial" w:eastAsia="Arial" w:hAnsi="Arial"/>
                <w:sz w:val="18"/>
                <w:szCs w:val="18"/>
                <w:color w:val="auto"/>
              </w:rPr>
              <w:t>314,040</w:t>
            </w:r>
          </w:p>
        </w:tc>
        <w:tc>
          <w:tcPr>
            <w:tcW w:w="1340" w:type="dxa"/>
            <w:vAlign w:val="bottom"/>
            <w:tcBorders>
              <w:right w:val="single" w:sz="8" w:color="auto"/>
            </w:tcBorders>
            <w:vMerge w:val="restart"/>
          </w:tcPr>
          <w:p>
            <w:pPr>
              <w:jc w:val="right"/>
              <w:ind w:right="251"/>
              <w:spacing w:after="0"/>
              <w:rPr>
                <w:sz w:val="20"/>
                <w:szCs w:val="20"/>
                <w:color w:val="auto"/>
              </w:rPr>
            </w:pPr>
            <w:r>
              <w:rPr>
                <w:rFonts w:ascii="Arial" w:cs="Arial" w:eastAsia="Arial" w:hAnsi="Arial"/>
                <w:sz w:val="18"/>
                <w:szCs w:val="18"/>
                <w:color w:val="auto"/>
              </w:rPr>
              <w:t>57,557</w:t>
            </w:r>
          </w:p>
        </w:tc>
        <w:tc>
          <w:tcPr>
            <w:tcW w:w="10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1,048,098</w:t>
            </w:r>
          </w:p>
        </w:tc>
        <w:tc>
          <w:tcPr>
            <w:tcW w:w="0" w:type="dxa"/>
            <w:vAlign w:val="bottom"/>
          </w:tcPr>
          <w:p>
            <w:pPr>
              <w:spacing w:after="0"/>
              <w:rPr>
                <w:sz w:val="1"/>
                <w:szCs w:val="1"/>
                <w:color w:val="auto"/>
              </w:rPr>
            </w:pPr>
          </w:p>
        </w:tc>
      </w:tr>
      <w:tr>
        <w:trPr>
          <w:trHeight w:val="149"/>
        </w:trPr>
        <w:tc>
          <w:tcPr>
            <w:tcW w:w="2600" w:type="dxa"/>
            <w:vAlign w:val="bottom"/>
            <w:tcBorders>
              <w:left w:val="single" w:sz="8" w:color="auto"/>
              <w:right w:val="single" w:sz="8" w:color="auto"/>
            </w:tcBorders>
            <w:vMerge w:val="restart"/>
          </w:tcPr>
          <w:p>
            <w:pPr>
              <w:ind w:left="60"/>
              <w:spacing w:after="0"/>
              <w:rPr>
                <w:sz w:val="20"/>
                <w:szCs w:val="20"/>
                <w:color w:val="auto"/>
              </w:rPr>
            </w:pPr>
            <w:r>
              <w:rPr>
                <w:rFonts w:ascii="Arial" w:cs="Arial" w:eastAsia="Arial" w:hAnsi="Arial"/>
                <w:sz w:val="18"/>
                <w:szCs w:val="18"/>
                <w:i w:val="1"/>
                <w:iCs w:val="1"/>
                <w:color w:val="auto"/>
              </w:rPr>
              <w:t>Administrative Officer</w:t>
            </w:r>
          </w:p>
        </w:tc>
        <w:tc>
          <w:tcPr>
            <w:tcW w:w="680" w:type="dxa"/>
            <w:vAlign w:val="bottom"/>
            <w:tcBorders>
              <w:right w:val="single" w:sz="8" w:color="auto"/>
            </w:tcBorders>
            <w:vMerge w:val="continue"/>
          </w:tcPr>
          <w:p>
            <w:pPr>
              <w:spacing w:after="0"/>
              <w:rPr>
                <w:sz w:val="12"/>
                <w:szCs w:val="12"/>
                <w:color w:val="auto"/>
              </w:rPr>
            </w:pPr>
          </w:p>
        </w:tc>
        <w:tc>
          <w:tcPr>
            <w:tcW w:w="1060" w:type="dxa"/>
            <w:vAlign w:val="bottom"/>
            <w:tcBorders>
              <w:right w:val="single" w:sz="8" w:color="auto"/>
            </w:tcBorders>
            <w:vMerge w:val="continue"/>
          </w:tcPr>
          <w:p>
            <w:pPr>
              <w:spacing w:after="0"/>
              <w:rPr>
                <w:sz w:val="12"/>
                <w:szCs w:val="12"/>
                <w:color w:val="auto"/>
              </w:rPr>
            </w:pPr>
          </w:p>
        </w:tc>
        <w:tc>
          <w:tcPr>
            <w:tcW w:w="1040" w:type="dxa"/>
            <w:vAlign w:val="bottom"/>
            <w:tcBorders>
              <w:right w:val="single" w:sz="8" w:color="auto"/>
            </w:tcBorders>
            <w:vMerge w:val="continue"/>
          </w:tcPr>
          <w:p>
            <w:pPr>
              <w:spacing w:after="0"/>
              <w:rPr>
                <w:sz w:val="12"/>
                <w:szCs w:val="12"/>
                <w:color w:val="auto"/>
              </w:rPr>
            </w:pPr>
          </w:p>
        </w:tc>
        <w:tc>
          <w:tcPr>
            <w:tcW w:w="1340" w:type="dxa"/>
            <w:vAlign w:val="bottom"/>
            <w:tcBorders>
              <w:right w:val="single" w:sz="8" w:color="auto"/>
            </w:tcBorders>
            <w:vMerge w:val="continue"/>
          </w:tcPr>
          <w:p>
            <w:pPr>
              <w:spacing w:after="0"/>
              <w:rPr>
                <w:sz w:val="12"/>
                <w:szCs w:val="12"/>
                <w:color w:val="auto"/>
              </w:rPr>
            </w:pPr>
          </w:p>
        </w:tc>
        <w:tc>
          <w:tcPr>
            <w:tcW w:w="1340" w:type="dxa"/>
            <w:vAlign w:val="bottom"/>
            <w:tcBorders>
              <w:right w:val="single" w:sz="8" w:color="auto"/>
            </w:tcBorders>
            <w:vMerge w:val="continue"/>
          </w:tcPr>
          <w:p>
            <w:pPr>
              <w:spacing w:after="0"/>
              <w:rPr>
                <w:sz w:val="12"/>
                <w:szCs w:val="12"/>
                <w:color w:val="auto"/>
              </w:rPr>
            </w:pPr>
          </w:p>
        </w:tc>
        <w:tc>
          <w:tcPr>
            <w:tcW w:w="10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600" w:type="dxa"/>
            <w:vAlign w:val="bottom"/>
            <w:tcBorders>
              <w:left w:val="single" w:sz="8" w:color="auto"/>
              <w:right w:val="single" w:sz="8" w:color="auto"/>
            </w:tcBorders>
            <w:vMerge w:val="continue"/>
          </w:tcPr>
          <w:p>
            <w:pPr>
              <w:spacing w:after="0"/>
              <w:rPr>
                <w:sz w:val="7"/>
                <w:szCs w:val="7"/>
                <w:color w:val="auto"/>
              </w:rPr>
            </w:pPr>
          </w:p>
        </w:tc>
        <w:tc>
          <w:tcPr>
            <w:tcW w:w="680" w:type="dxa"/>
            <w:vAlign w:val="bottom"/>
            <w:tcBorders>
              <w:right w:val="single" w:sz="8" w:color="auto"/>
            </w:tcBorders>
          </w:tcPr>
          <w:p>
            <w:pPr>
              <w:spacing w:after="0"/>
              <w:rPr>
                <w:sz w:val="7"/>
                <w:szCs w:val="7"/>
                <w:color w:val="auto"/>
              </w:rPr>
            </w:pPr>
          </w:p>
        </w:tc>
        <w:tc>
          <w:tcPr>
            <w:tcW w:w="1060" w:type="dxa"/>
            <w:vAlign w:val="bottom"/>
            <w:tcBorders>
              <w:right w:val="single" w:sz="8" w:color="auto"/>
            </w:tcBorders>
          </w:tcPr>
          <w:p>
            <w:pPr>
              <w:spacing w:after="0"/>
              <w:rPr>
                <w:sz w:val="7"/>
                <w:szCs w:val="7"/>
                <w:color w:val="auto"/>
              </w:rPr>
            </w:pPr>
          </w:p>
        </w:tc>
        <w:tc>
          <w:tcPr>
            <w:tcW w:w="1040" w:type="dxa"/>
            <w:vAlign w:val="bottom"/>
            <w:tcBorders>
              <w:right w:val="single" w:sz="8" w:color="auto"/>
            </w:tcBorders>
          </w:tcPr>
          <w:p>
            <w:pPr>
              <w:spacing w:after="0"/>
              <w:rPr>
                <w:sz w:val="7"/>
                <w:szCs w:val="7"/>
                <w:color w:val="auto"/>
              </w:rPr>
            </w:pPr>
          </w:p>
        </w:tc>
        <w:tc>
          <w:tcPr>
            <w:tcW w:w="1340" w:type="dxa"/>
            <w:vAlign w:val="bottom"/>
            <w:tcBorders>
              <w:right w:val="single" w:sz="8" w:color="auto"/>
            </w:tcBorders>
          </w:tcPr>
          <w:p>
            <w:pPr>
              <w:spacing w:after="0"/>
              <w:rPr>
                <w:sz w:val="7"/>
                <w:szCs w:val="7"/>
                <w:color w:val="auto"/>
              </w:rPr>
            </w:pPr>
          </w:p>
        </w:tc>
        <w:tc>
          <w:tcPr>
            <w:tcW w:w="1340" w:type="dxa"/>
            <w:vAlign w:val="bottom"/>
            <w:tcBorders>
              <w:right w:val="single" w:sz="8" w:color="auto"/>
            </w:tcBorders>
          </w:tcPr>
          <w:p>
            <w:pPr>
              <w:spacing w:after="0"/>
              <w:rPr>
                <w:sz w:val="7"/>
                <w:szCs w:val="7"/>
                <w:color w:val="auto"/>
              </w:rPr>
            </w:pPr>
          </w:p>
        </w:tc>
        <w:tc>
          <w:tcPr>
            <w:tcW w:w="10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2600" w:type="dxa"/>
            <w:vAlign w:val="bottom"/>
            <w:tcBorders>
              <w:left w:val="single" w:sz="8" w:color="auto"/>
              <w:right w:val="single" w:sz="8" w:color="auto"/>
            </w:tcBorders>
          </w:tcPr>
          <w:p>
            <w:pPr>
              <w:spacing w:after="0"/>
              <w:rPr>
                <w:sz w:val="23"/>
                <w:szCs w:val="23"/>
                <w:color w:val="auto"/>
              </w:rPr>
            </w:pPr>
          </w:p>
        </w:tc>
        <w:tc>
          <w:tcPr>
            <w:tcW w:w="6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2017</w:t>
            </w:r>
          </w:p>
        </w:tc>
        <w:tc>
          <w:tcPr>
            <w:tcW w:w="1060" w:type="dxa"/>
            <w:vAlign w:val="bottom"/>
            <w:tcBorders>
              <w:right w:val="single" w:sz="8" w:color="auto"/>
            </w:tcBorders>
          </w:tcPr>
          <w:p>
            <w:pPr>
              <w:jc w:val="right"/>
              <w:ind w:right="91"/>
              <w:spacing w:after="0"/>
              <w:rPr>
                <w:sz w:val="20"/>
                <w:szCs w:val="20"/>
                <w:color w:val="auto"/>
              </w:rPr>
            </w:pPr>
            <w:r>
              <w:rPr>
                <w:rFonts w:ascii="Arial" w:cs="Arial" w:eastAsia="Arial" w:hAnsi="Arial"/>
                <w:sz w:val="18"/>
                <w:szCs w:val="18"/>
                <w:color w:val="auto"/>
              </w:rPr>
              <w:t>342,354</w:t>
            </w:r>
          </w:p>
        </w:tc>
        <w:tc>
          <w:tcPr>
            <w:tcW w:w="1040" w:type="dxa"/>
            <w:vAlign w:val="bottom"/>
            <w:tcBorders>
              <w:right w:val="single" w:sz="8" w:color="auto"/>
            </w:tcBorders>
          </w:tcPr>
          <w:p>
            <w:pPr>
              <w:jc w:val="right"/>
              <w:ind w:right="91"/>
              <w:spacing w:after="0"/>
              <w:rPr>
                <w:sz w:val="20"/>
                <w:szCs w:val="20"/>
                <w:color w:val="auto"/>
              </w:rPr>
            </w:pPr>
            <w:r>
              <w:rPr>
                <w:rFonts w:ascii="Arial" w:cs="Arial" w:eastAsia="Arial" w:hAnsi="Arial"/>
                <w:sz w:val="18"/>
                <w:szCs w:val="18"/>
                <w:color w:val="auto"/>
              </w:rPr>
              <w:t>300,303</w:t>
            </w:r>
          </w:p>
        </w:tc>
        <w:tc>
          <w:tcPr>
            <w:tcW w:w="1340" w:type="dxa"/>
            <w:vAlign w:val="bottom"/>
            <w:tcBorders>
              <w:right w:val="single" w:sz="8" w:color="auto"/>
            </w:tcBorders>
          </w:tcPr>
          <w:p>
            <w:pPr>
              <w:jc w:val="right"/>
              <w:ind w:right="252"/>
              <w:spacing w:after="0"/>
              <w:rPr>
                <w:sz w:val="20"/>
                <w:szCs w:val="20"/>
                <w:color w:val="auto"/>
              </w:rPr>
            </w:pPr>
            <w:r>
              <w:rPr>
                <w:rFonts w:ascii="Arial" w:cs="Arial" w:eastAsia="Arial" w:hAnsi="Arial"/>
                <w:sz w:val="18"/>
                <w:szCs w:val="18"/>
                <w:color w:val="auto"/>
              </w:rPr>
              <w:t>297,500</w:t>
            </w:r>
          </w:p>
        </w:tc>
        <w:tc>
          <w:tcPr>
            <w:tcW w:w="1340" w:type="dxa"/>
            <w:vAlign w:val="bottom"/>
            <w:tcBorders>
              <w:right w:val="single" w:sz="8" w:color="auto"/>
            </w:tcBorders>
          </w:tcPr>
          <w:p>
            <w:pPr>
              <w:jc w:val="right"/>
              <w:ind w:right="251"/>
              <w:spacing w:after="0"/>
              <w:rPr>
                <w:sz w:val="20"/>
                <w:szCs w:val="20"/>
                <w:color w:val="auto"/>
              </w:rPr>
            </w:pPr>
            <w:r>
              <w:rPr>
                <w:rFonts w:ascii="Arial" w:cs="Arial" w:eastAsia="Arial" w:hAnsi="Arial"/>
                <w:sz w:val="18"/>
                <w:szCs w:val="18"/>
                <w:color w:val="auto"/>
              </w:rPr>
              <w:t>52,587</w:t>
            </w: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992,745</w:t>
            </w:r>
          </w:p>
        </w:tc>
        <w:tc>
          <w:tcPr>
            <w:tcW w:w="0" w:type="dxa"/>
            <w:vAlign w:val="bottom"/>
          </w:tcPr>
          <w:p>
            <w:pPr>
              <w:spacing w:after="0"/>
              <w:rPr>
                <w:sz w:val="1"/>
                <w:szCs w:val="1"/>
                <w:color w:val="auto"/>
              </w:rPr>
            </w:pPr>
          </w:p>
        </w:tc>
      </w:tr>
      <w:tr>
        <w:trPr>
          <w:trHeight w:val="68"/>
        </w:trPr>
        <w:tc>
          <w:tcPr>
            <w:tcW w:w="2600" w:type="dxa"/>
            <w:vAlign w:val="bottom"/>
            <w:tcBorders>
              <w:left w:val="single" w:sz="8" w:color="auto"/>
              <w:bottom w:val="single" w:sz="8" w:color="auto"/>
              <w:right w:val="single" w:sz="8" w:color="auto"/>
            </w:tcBorders>
          </w:tcPr>
          <w:p>
            <w:pPr>
              <w:spacing w:after="0"/>
              <w:rPr>
                <w:sz w:val="5"/>
                <w:szCs w:val="5"/>
                <w:color w:val="auto"/>
              </w:rPr>
            </w:pPr>
          </w:p>
        </w:tc>
        <w:tc>
          <w:tcPr>
            <w:tcW w:w="680" w:type="dxa"/>
            <w:vAlign w:val="bottom"/>
            <w:tcBorders>
              <w:bottom w:val="single" w:sz="8" w:color="auto"/>
              <w:right w:val="single" w:sz="8" w:color="auto"/>
            </w:tcBorders>
          </w:tcPr>
          <w:p>
            <w:pPr>
              <w:spacing w:after="0"/>
              <w:rPr>
                <w:sz w:val="5"/>
                <w:szCs w:val="5"/>
                <w:color w:val="auto"/>
              </w:rPr>
            </w:pPr>
          </w:p>
        </w:tc>
        <w:tc>
          <w:tcPr>
            <w:tcW w:w="106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26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Vito C. Peraino</w:t>
            </w:r>
          </w:p>
        </w:tc>
        <w:tc>
          <w:tcPr>
            <w:tcW w:w="6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2019</w:t>
            </w:r>
          </w:p>
        </w:tc>
        <w:tc>
          <w:tcPr>
            <w:tcW w:w="1060" w:type="dxa"/>
            <w:vAlign w:val="bottom"/>
            <w:tcBorders>
              <w:right w:val="single" w:sz="8" w:color="auto"/>
            </w:tcBorders>
          </w:tcPr>
          <w:p>
            <w:pPr>
              <w:jc w:val="right"/>
              <w:ind w:right="91"/>
              <w:spacing w:after="0"/>
              <w:rPr>
                <w:sz w:val="20"/>
                <w:szCs w:val="20"/>
                <w:color w:val="auto"/>
              </w:rPr>
            </w:pPr>
            <w:r>
              <w:rPr>
                <w:rFonts w:ascii="Arial" w:cs="Arial" w:eastAsia="Arial" w:hAnsi="Arial"/>
                <w:sz w:val="18"/>
                <w:szCs w:val="18"/>
                <w:color w:val="auto"/>
              </w:rPr>
              <w:t>625,385</w:t>
            </w:r>
          </w:p>
        </w:tc>
        <w:tc>
          <w:tcPr>
            <w:tcW w:w="1040" w:type="dxa"/>
            <w:vAlign w:val="bottom"/>
            <w:tcBorders>
              <w:right w:val="single" w:sz="8" w:color="auto"/>
            </w:tcBorders>
          </w:tcPr>
          <w:p>
            <w:pPr>
              <w:jc w:val="right"/>
              <w:ind w:right="111"/>
              <w:spacing w:after="0"/>
              <w:rPr>
                <w:sz w:val="20"/>
                <w:szCs w:val="20"/>
                <w:color w:val="auto"/>
              </w:rPr>
            </w:pPr>
            <w:r>
              <w:rPr>
                <w:rFonts w:ascii="Arial" w:cs="Arial" w:eastAsia="Arial" w:hAnsi="Arial"/>
                <w:sz w:val="18"/>
                <w:szCs w:val="18"/>
                <w:color w:val="auto"/>
              </w:rPr>
              <w:t>600,117</w:t>
            </w:r>
          </w:p>
        </w:tc>
        <w:tc>
          <w:tcPr>
            <w:tcW w:w="1340" w:type="dxa"/>
            <w:vAlign w:val="bottom"/>
            <w:tcBorders>
              <w:right w:val="single" w:sz="8" w:color="auto"/>
            </w:tcBorders>
          </w:tcPr>
          <w:p>
            <w:pPr>
              <w:jc w:val="right"/>
              <w:ind w:right="252"/>
              <w:spacing w:after="0"/>
              <w:rPr>
                <w:sz w:val="20"/>
                <w:szCs w:val="20"/>
                <w:color w:val="auto"/>
              </w:rPr>
            </w:pPr>
            <w:r>
              <w:rPr>
                <w:rFonts w:ascii="Arial" w:cs="Arial" w:eastAsia="Arial" w:hAnsi="Arial"/>
                <w:sz w:val="18"/>
                <w:szCs w:val="18"/>
                <w:color w:val="auto"/>
              </w:rPr>
              <w:t>699,302</w:t>
            </w:r>
          </w:p>
        </w:tc>
        <w:tc>
          <w:tcPr>
            <w:tcW w:w="1340" w:type="dxa"/>
            <w:vAlign w:val="bottom"/>
            <w:tcBorders>
              <w:right w:val="single" w:sz="8" w:color="auto"/>
            </w:tcBorders>
          </w:tcPr>
          <w:p>
            <w:pPr>
              <w:jc w:val="right"/>
              <w:ind w:right="251"/>
              <w:spacing w:after="0"/>
              <w:rPr>
                <w:sz w:val="20"/>
                <w:szCs w:val="20"/>
                <w:color w:val="auto"/>
              </w:rPr>
            </w:pPr>
            <w:r>
              <w:rPr>
                <w:rFonts w:ascii="Arial" w:cs="Arial" w:eastAsia="Arial" w:hAnsi="Arial"/>
                <w:sz w:val="18"/>
                <w:szCs w:val="18"/>
                <w:color w:val="auto"/>
              </w:rPr>
              <w:t>79,044</w:t>
            </w: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2,003,849</w:t>
            </w:r>
          </w:p>
        </w:tc>
        <w:tc>
          <w:tcPr>
            <w:tcW w:w="0" w:type="dxa"/>
            <w:vAlign w:val="bottom"/>
          </w:tcPr>
          <w:p>
            <w:pPr>
              <w:spacing w:after="0"/>
              <w:rPr>
                <w:sz w:val="1"/>
                <w:szCs w:val="1"/>
                <w:color w:val="auto"/>
              </w:rPr>
            </w:pPr>
          </w:p>
        </w:tc>
      </w:tr>
      <w:tr>
        <w:trPr>
          <w:trHeight w:val="216"/>
        </w:trPr>
        <w:tc>
          <w:tcPr>
            <w:tcW w:w="26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i w:val="1"/>
                <w:iCs w:val="1"/>
                <w:color w:val="auto"/>
              </w:rPr>
              <w:t>Senior Vice President and</w:t>
            </w:r>
          </w:p>
        </w:tc>
        <w:tc>
          <w:tcPr>
            <w:tcW w:w="680" w:type="dxa"/>
            <w:vAlign w:val="bottom"/>
            <w:tcBorders>
              <w:right w:val="single" w:sz="8" w:color="auto"/>
            </w:tcBorders>
            <w:vMerge w:val="restart"/>
          </w:tcPr>
          <w:p>
            <w:pPr>
              <w:ind w:left="140"/>
              <w:spacing w:after="0"/>
              <w:rPr>
                <w:sz w:val="20"/>
                <w:szCs w:val="20"/>
                <w:color w:val="auto"/>
              </w:rPr>
            </w:pPr>
            <w:r>
              <w:rPr>
                <w:rFonts w:ascii="Arial" w:cs="Arial" w:eastAsia="Arial" w:hAnsi="Arial"/>
                <w:sz w:val="18"/>
                <w:szCs w:val="18"/>
                <w:color w:val="auto"/>
              </w:rPr>
              <w:t>2018</w:t>
            </w:r>
          </w:p>
        </w:tc>
        <w:tc>
          <w:tcPr>
            <w:tcW w:w="1060" w:type="dxa"/>
            <w:vAlign w:val="bottom"/>
            <w:tcBorders>
              <w:right w:val="single" w:sz="8" w:color="auto"/>
            </w:tcBorders>
            <w:vMerge w:val="restart"/>
          </w:tcPr>
          <w:p>
            <w:pPr>
              <w:jc w:val="right"/>
              <w:ind w:right="91"/>
              <w:spacing w:after="0"/>
              <w:rPr>
                <w:sz w:val="20"/>
                <w:szCs w:val="20"/>
                <w:color w:val="auto"/>
              </w:rPr>
            </w:pPr>
            <w:r>
              <w:rPr>
                <w:rFonts w:ascii="Arial" w:cs="Arial" w:eastAsia="Arial" w:hAnsi="Arial"/>
                <w:sz w:val="18"/>
                <w:szCs w:val="18"/>
                <w:color w:val="auto"/>
              </w:rPr>
              <w:t>604,615</w:t>
            </w:r>
          </w:p>
        </w:tc>
        <w:tc>
          <w:tcPr>
            <w:tcW w:w="1040" w:type="dxa"/>
            <w:vAlign w:val="bottom"/>
            <w:tcBorders>
              <w:right w:val="single" w:sz="8" w:color="auto"/>
            </w:tcBorders>
            <w:vMerge w:val="restart"/>
          </w:tcPr>
          <w:p>
            <w:pPr>
              <w:jc w:val="right"/>
              <w:ind w:right="91"/>
              <w:spacing w:after="0"/>
              <w:rPr>
                <w:sz w:val="20"/>
                <w:szCs w:val="20"/>
                <w:color w:val="auto"/>
              </w:rPr>
            </w:pPr>
            <w:r>
              <w:rPr>
                <w:rFonts w:ascii="Arial" w:cs="Arial" w:eastAsia="Arial" w:hAnsi="Arial"/>
                <w:sz w:val="18"/>
                <w:szCs w:val="18"/>
                <w:color w:val="auto"/>
              </w:rPr>
              <w:t>600,415</w:t>
            </w:r>
          </w:p>
        </w:tc>
        <w:tc>
          <w:tcPr>
            <w:tcW w:w="1340" w:type="dxa"/>
            <w:vAlign w:val="bottom"/>
            <w:tcBorders>
              <w:right w:val="single" w:sz="8" w:color="auto"/>
            </w:tcBorders>
            <w:vMerge w:val="restart"/>
          </w:tcPr>
          <w:p>
            <w:pPr>
              <w:jc w:val="right"/>
              <w:ind w:right="252"/>
              <w:spacing w:after="0"/>
              <w:rPr>
                <w:sz w:val="20"/>
                <w:szCs w:val="20"/>
                <w:color w:val="auto"/>
              </w:rPr>
            </w:pPr>
            <w:r>
              <w:rPr>
                <w:rFonts w:ascii="Arial" w:cs="Arial" w:eastAsia="Arial" w:hAnsi="Arial"/>
                <w:sz w:val="18"/>
                <w:szCs w:val="18"/>
                <w:color w:val="auto"/>
              </w:rPr>
              <w:t>697,866</w:t>
            </w:r>
          </w:p>
        </w:tc>
        <w:tc>
          <w:tcPr>
            <w:tcW w:w="1340" w:type="dxa"/>
            <w:vAlign w:val="bottom"/>
            <w:tcBorders>
              <w:right w:val="single" w:sz="8" w:color="auto"/>
            </w:tcBorders>
            <w:vMerge w:val="restart"/>
          </w:tcPr>
          <w:p>
            <w:pPr>
              <w:jc w:val="right"/>
              <w:ind w:right="251"/>
              <w:spacing w:after="0"/>
              <w:rPr>
                <w:sz w:val="20"/>
                <w:szCs w:val="20"/>
                <w:color w:val="auto"/>
              </w:rPr>
            </w:pPr>
            <w:r>
              <w:rPr>
                <w:rFonts w:ascii="Arial" w:cs="Arial" w:eastAsia="Arial" w:hAnsi="Arial"/>
                <w:sz w:val="18"/>
                <w:szCs w:val="18"/>
                <w:color w:val="auto"/>
              </w:rPr>
              <w:t>78,679</w:t>
            </w:r>
          </w:p>
        </w:tc>
        <w:tc>
          <w:tcPr>
            <w:tcW w:w="10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1,981,575</w:t>
            </w:r>
          </w:p>
        </w:tc>
        <w:tc>
          <w:tcPr>
            <w:tcW w:w="0" w:type="dxa"/>
            <w:vAlign w:val="bottom"/>
          </w:tcPr>
          <w:p>
            <w:pPr>
              <w:spacing w:after="0"/>
              <w:rPr>
                <w:sz w:val="1"/>
                <w:szCs w:val="1"/>
                <w:color w:val="auto"/>
              </w:rPr>
            </w:pPr>
          </w:p>
        </w:tc>
      </w:tr>
      <w:tr>
        <w:trPr>
          <w:trHeight w:val="149"/>
        </w:trPr>
        <w:tc>
          <w:tcPr>
            <w:tcW w:w="2600" w:type="dxa"/>
            <w:vAlign w:val="bottom"/>
            <w:tcBorders>
              <w:left w:val="single" w:sz="8" w:color="auto"/>
              <w:right w:val="single" w:sz="8" w:color="auto"/>
            </w:tcBorders>
            <w:vMerge w:val="restart"/>
          </w:tcPr>
          <w:p>
            <w:pPr>
              <w:ind w:left="60"/>
              <w:spacing w:after="0"/>
              <w:rPr>
                <w:sz w:val="20"/>
                <w:szCs w:val="20"/>
                <w:color w:val="auto"/>
              </w:rPr>
            </w:pPr>
            <w:r>
              <w:rPr>
                <w:rFonts w:ascii="Arial" w:cs="Arial" w:eastAsia="Arial" w:hAnsi="Arial"/>
                <w:sz w:val="18"/>
                <w:szCs w:val="18"/>
                <w:i w:val="1"/>
                <w:iCs w:val="1"/>
                <w:color w:val="auto"/>
              </w:rPr>
              <w:t>General Counsel</w:t>
            </w:r>
          </w:p>
        </w:tc>
        <w:tc>
          <w:tcPr>
            <w:tcW w:w="680" w:type="dxa"/>
            <w:vAlign w:val="bottom"/>
            <w:tcBorders>
              <w:right w:val="single" w:sz="8" w:color="auto"/>
            </w:tcBorders>
            <w:vMerge w:val="continue"/>
          </w:tcPr>
          <w:p>
            <w:pPr>
              <w:spacing w:after="0"/>
              <w:rPr>
                <w:sz w:val="12"/>
                <w:szCs w:val="12"/>
                <w:color w:val="auto"/>
              </w:rPr>
            </w:pPr>
          </w:p>
        </w:tc>
        <w:tc>
          <w:tcPr>
            <w:tcW w:w="1060" w:type="dxa"/>
            <w:vAlign w:val="bottom"/>
            <w:tcBorders>
              <w:right w:val="single" w:sz="8" w:color="auto"/>
            </w:tcBorders>
            <w:vMerge w:val="continue"/>
          </w:tcPr>
          <w:p>
            <w:pPr>
              <w:spacing w:after="0"/>
              <w:rPr>
                <w:sz w:val="12"/>
                <w:szCs w:val="12"/>
                <w:color w:val="auto"/>
              </w:rPr>
            </w:pPr>
          </w:p>
        </w:tc>
        <w:tc>
          <w:tcPr>
            <w:tcW w:w="1040" w:type="dxa"/>
            <w:vAlign w:val="bottom"/>
            <w:tcBorders>
              <w:right w:val="single" w:sz="8" w:color="auto"/>
            </w:tcBorders>
            <w:vMerge w:val="continue"/>
          </w:tcPr>
          <w:p>
            <w:pPr>
              <w:spacing w:after="0"/>
              <w:rPr>
                <w:sz w:val="12"/>
                <w:szCs w:val="12"/>
                <w:color w:val="auto"/>
              </w:rPr>
            </w:pPr>
          </w:p>
        </w:tc>
        <w:tc>
          <w:tcPr>
            <w:tcW w:w="1340" w:type="dxa"/>
            <w:vAlign w:val="bottom"/>
            <w:tcBorders>
              <w:right w:val="single" w:sz="8" w:color="auto"/>
            </w:tcBorders>
            <w:vMerge w:val="continue"/>
          </w:tcPr>
          <w:p>
            <w:pPr>
              <w:spacing w:after="0"/>
              <w:rPr>
                <w:sz w:val="12"/>
                <w:szCs w:val="12"/>
                <w:color w:val="auto"/>
              </w:rPr>
            </w:pPr>
          </w:p>
        </w:tc>
        <w:tc>
          <w:tcPr>
            <w:tcW w:w="1340" w:type="dxa"/>
            <w:vAlign w:val="bottom"/>
            <w:tcBorders>
              <w:right w:val="single" w:sz="8" w:color="auto"/>
            </w:tcBorders>
            <w:vMerge w:val="continue"/>
          </w:tcPr>
          <w:p>
            <w:pPr>
              <w:spacing w:after="0"/>
              <w:rPr>
                <w:sz w:val="12"/>
                <w:szCs w:val="12"/>
                <w:color w:val="auto"/>
              </w:rPr>
            </w:pPr>
          </w:p>
        </w:tc>
        <w:tc>
          <w:tcPr>
            <w:tcW w:w="10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600" w:type="dxa"/>
            <w:vAlign w:val="bottom"/>
            <w:tcBorders>
              <w:left w:val="single" w:sz="8" w:color="auto"/>
              <w:right w:val="single" w:sz="8" w:color="auto"/>
            </w:tcBorders>
            <w:vMerge w:val="continue"/>
          </w:tcPr>
          <w:p>
            <w:pPr>
              <w:spacing w:after="0"/>
              <w:rPr>
                <w:sz w:val="7"/>
                <w:szCs w:val="7"/>
                <w:color w:val="auto"/>
              </w:rPr>
            </w:pPr>
          </w:p>
        </w:tc>
        <w:tc>
          <w:tcPr>
            <w:tcW w:w="680" w:type="dxa"/>
            <w:vAlign w:val="bottom"/>
            <w:tcBorders>
              <w:right w:val="single" w:sz="8" w:color="auto"/>
            </w:tcBorders>
          </w:tcPr>
          <w:p>
            <w:pPr>
              <w:spacing w:after="0"/>
              <w:rPr>
                <w:sz w:val="7"/>
                <w:szCs w:val="7"/>
                <w:color w:val="auto"/>
              </w:rPr>
            </w:pPr>
          </w:p>
        </w:tc>
        <w:tc>
          <w:tcPr>
            <w:tcW w:w="1060" w:type="dxa"/>
            <w:vAlign w:val="bottom"/>
            <w:tcBorders>
              <w:right w:val="single" w:sz="8" w:color="auto"/>
            </w:tcBorders>
          </w:tcPr>
          <w:p>
            <w:pPr>
              <w:spacing w:after="0"/>
              <w:rPr>
                <w:sz w:val="7"/>
                <w:szCs w:val="7"/>
                <w:color w:val="auto"/>
              </w:rPr>
            </w:pPr>
          </w:p>
        </w:tc>
        <w:tc>
          <w:tcPr>
            <w:tcW w:w="1040" w:type="dxa"/>
            <w:vAlign w:val="bottom"/>
            <w:tcBorders>
              <w:right w:val="single" w:sz="8" w:color="auto"/>
            </w:tcBorders>
          </w:tcPr>
          <w:p>
            <w:pPr>
              <w:spacing w:after="0"/>
              <w:rPr>
                <w:sz w:val="7"/>
                <w:szCs w:val="7"/>
                <w:color w:val="auto"/>
              </w:rPr>
            </w:pPr>
          </w:p>
        </w:tc>
        <w:tc>
          <w:tcPr>
            <w:tcW w:w="1340" w:type="dxa"/>
            <w:vAlign w:val="bottom"/>
            <w:tcBorders>
              <w:right w:val="single" w:sz="8" w:color="auto"/>
            </w:tcBorders>
          </w:tcPr>
          <w:p>
            <w:pPr>
              <w:spacing w:after="0"/>
              <w:rPr>
                <w:sz w:val="7"/>
                <w:szCs w:val="7"/>
                <w:color w:val="auto"/>
              </w:rPr>
            </w:pPr>
          </w:p>
        </w:tc>
        <w:tc>
          <w:tcPr>
            <w:tcW w:w="1340" w:type="dxa"/>
            <w:vAlign w:val="bottom"/>
            <w:tcBorders>
              <w:right w:val="single" w:sz="8" w:color="auto"/>
            </w:tcBorders>
          </w:tcPr>
          <w:p>
            <w:pPr>
              <w:spacing w:after="0"/>
              <w:rPr>
                <w:sz w:val="7"/>
                <w:szCs w:val="7"/>
                <w:color w:val="auto"/>
              </w:rPr>
            </w:pPr>
          </w:p>
        </w:tc>
        <w:tc>
          <w:tcPr>
            <w:tcW w:w="10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2600" w:type="dxa"/>
            <w:vAlign w:val="bottom"/>
            <w:tcBorders>
              <w:left w:val="single" w:sz="8" w:color="auto"/>
              <w:bottom w:val="single" w:sz="8" w:color="auto"/>
              <w:right w:val="single" w:sz="8" w:color="auto"/>
            </w:tcBorders>
          </w:tcPr>
          <w:p>
            <w:pPr>
              <w:spacing w:after="0"/>
              <w:rPr>
                <w:sz w:val="23"/>
                <w:szCs w:val="23"/>
                <w:color w:val="auto"/>
              </w:rPr>
            </w:pPr>
          </w:p>
        </w:tc>
        <w:tc>
          <w:tcPr>
            <w:tcW w:w="68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2017</w:t>
            </w:r>
          </w:p>
        </w:tc>
        <w:tc>
          <w:tcPr>
            <w:tcW w:w="1060" w:type="dxa"/>
            <w:vAlign w:val="bottom"/>
            <w:tcBorders>
              <w:bottom w:val="single" w:sz="8" w:color="auto"/>
              <w:right w:val="single" w:sz="8" w:color="auto"/>
            </w:tcBorders>
          </w:tcPr>
          <w:p>
            <w:pPr>
              <w:jc w:val="right"/>
              <w:ind w:right="91"/>
              <w:spacing w:after="0"/>
              <w:rPr>
                <w:sz w:val="20"/>
                <w:szCs w:val="20"/>
                <w:color w:val="auto"/>
              </w:rPr>
            </w:pPr>
            <w:r>
              <w:rPr>
                <w:rFonts w:ascii="Arial" w:cs="Arial" w:eastAsia="Arial" w:hAnsi="Arial"/>
                <w:sz w:val="18"/>
                <w:szCs w:val="18"/>
                <w:color w:val="auto"/>
              </w:rPr>
              <w:t>586,154</w:t>
            </w:r>
          </w:p>
        </w:tc>
        <w:tc>
          <w:tcPr>
            <w:tcW w:w="1040" w:type="dxa"/>
            <w:vAlign w:val="bottom"/>
            <w:tcBorders>
              <w:bottom w:val="single" w:sz="8" w:color="auto"/>
              <w:right w:val="single" w:sz="8" w:color="auto"/>
            </w:tcBorders>
          </w:tcPr>
          <w:p>
            <w:pPr>
              <w:jc w:val="right"/>
              <w:ind w:right="91"/>
              <w:spacing w:after="0"/>
              <w:rPr>
                <w:sz w:val="20"/>
                <w:szCs w:val="20"/>
                <w:color w:val="auto"/>
              </w:rPr>
            </w:pPr>
            <w:r>
              <w:rPr>
                <w:rFonts w:ascii="Arial" w:cs="Arial" w:eastAsia="Arial" w:hAnsi="Arial"/>
                <w:sz w:val="18"/>
                <w:szCs w:val="18"/>
                <w:color w:val="auto"/>
              </w:rPr>
              <w:t>600,134</w:t>
            </w:r>
          </w:p>
        </w:tc>
        <w:tc>
          <w:tcPr>
            <w:tcW w:w="1340" w:type="dxa"/>
            <w:vAlign w:val="bottom"/>
            <w:tcBorders>
              <w:bottom w:val="single" w:sz="8" w:color="auto"/>
              <w:right w:val="single" w:sz="8" w:color="auto"/>
            </w:tcBorders>
          </w:tcPr>
          <w:p>
            <w:pPr>
              <w:jc w:val="right"/>
              <w:ind w:right="252"/>
              <w:spacing w:after="0"/>
              <w:rPr>
                <w:sz w:val="20"/>
                <w:szCs w:val="20"/>
                <w:color w:val="auto"/>
              </w:rPr>
            </w:pPr>
            <w:r>
              <w:rPr>
                <w:rFonts w:ascii="Arial" w:cs="Arial" w:eastAsia="Arial" w:hAnsi="Arial"/>
                <w:sz w:val="18"/>
                <w:szCs w:val="18"/>
                <w:color w:val="auto"/>
              </w:rPr>
              <w:t>686,538</w:t>
            </w:r>
          </w:p>
        </w:tc>
        <w:tc>
          <w:tcPr>
            <w:tcW w:w="1340" w:type="dxa"/>
            <w:vAlign w:val="bottom"/>
            <w:tcBorders>
              <w:bottom w:val="single" w:sz="8" w:color="auto"/>
              <w:right w:val="single" w:sz="8" w:color="auto"/>
            </w:tcBorders>
          </w:tcPr>
          <w:p>
            <w:pPr>
              <w:jc w:val="right"/>
              <w:ind w:right="251"/>
              <w:spacing w:after="0"/>
              <w:rPr>
                <w:sz w:val="20"/>
                <w:szCs w:val="20"/>
                <w:color w:val="auto"/>
              </w:rPr>
            </w:pPr>
            <w:r>
              <w:rPr>
                <w:rFonts w:ascii="Arial" w:cs="Arial" w:eastAsia="Arial" w:hAnsi="Arial"/>
                <w:sz w:val="18"/>
                <w:szCs w:val="18"/>
                <w:color w:val="auto"/>
              </w:rPr>
              <w:t>75,433</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1,948,259</w:t>
            </w: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1440" w:right="260" w:hanging="352"/>
        <w:spacing w:after="0"/>
        <w:tabs>
          <w:tab w:leader="none" w:pos="14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Amounts shown are not reduced to reflect the named executive officers’ elections, if any, to defer receipt of salary into the Deferred Compensation Plan.</w:t>
      </w:r>
    </w:p>
    <w:p>
      <w:pPr>
        <w:ind w:left="1440" w:right="20" w:hanging="352"/>
        <w:spacing w:after="0" w:line="244" w:lineRule="auto"/>
        <w:tabs>
          <w:tab w:leader="none" w:pos="1440" w:val="left"/>
        </w:tabs>
        <w:numPr>
          <w:ilvl w:val="0"/>
          <w:numId w:val="22"/>
        </w:numPr>
        <w:rPr>
          <w:rFonts w:ascii="Arial" w:cs="Arial" w:eastAsia="Arial" w:hAnsi="Arial"/>
          <w:sz w:val="13"/>
          <w:szCs w:val="13"/>
          <w:color w:val="auto"/>
        </w:rPr>
      </w:pPr>
      <w:r>
        <w:rPr>
          <w:rFonts w:ascii="Arial" w:cs="Arial" w:eastAsia="Arial" w:hAnsi="Arial"/>
          <w:sz w:val="13"/>
          <w:szCs w:val="13"/>
          <w:color w:val="auto"/>
        </w:rPr>
        <w:t>Amount shown for 2019 represents the dollar amount which will be expensed for financial statement reporting purposes over the four-year cliff vesting period of discretionary restricted stock awards made by the Compensation Committee for compensation expense incurred by the Company. Amounts were determined in accordance with FASB ASC 718 (Compensation – Stock Compensation), rather than as an amount paid to or realized. With respect to the Co-CEOs, Mr. Consolino and Mr. Berding, amounts for 2017 includes the final awards paid in Company common shares for the three-year performance period ended December 31, 2017 under the terminated Senior Executive Equity Bonus Plan while amounts paid in cash for the years ended December 31, 2018 and 2019 under the successor Senior Executive LTIC are including in the adjacent column.</w:t>
      </w:r>
    </w:p>
    <w:p>
      <w:pPr>
        <w:ind w:left="1440" w:right="60" w:hanging="352"/>
        <w:spacing w:after="0" w:line="228" w:lineRule="auto"/>
        <w:tabs>
          <w:tab w:leader="none" w:pos="14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 xml:space="preserve">Non-equity incentive plan compensation payments to all named executive officers include those made pursuant to the Annual Senior Executive Bonus Plan, a performance-based annual cash bonus plan. For the Co-CEOs, Mr. Consolino and Mr. Berding, amounts also include payments for the three-year performance periods ended December 31, 2018 and 2019 under the Senior Executive LTIC which are further described in the Compensation Discussion and Analysis section beginning on page </w:t>
      </w:r>
      <w:hyperlink w:anchor="page30">
        <w:r>
          <w:rPr>
            <w:rFonts w:ascii="Arial" w:cs="Arial" w:eastAsia="Arial" w:hAnsi="Arial"/>
            <w:sz w:val="14"/>
            <w:szCs w:val="14"/>
            <w:u w:val="single" w:color="auto"/>
            <w:color w:val="0000EE"/>
          </w:rPr>
          <w:t>23</w:t>
        </w:r>
        <w:r>
          <w:rPr>
            <w:rFonts w:ascii="Arial" w:cs="Arial" w:eastAsia="Arial" w:hAnsi="Arial"/>
            <w:sz w:val="14"/>
            <w:szCs w:val="14"/>
            <w:u w:val="single" w:color="auto"/>
            <w:color w:val="auto"/>
          </w:rPr>
          <w:t xml:space="preserve"> </w:t>
        </w:r>
      </w:hyperlink>
      <w:r>
        <w:rPr>
          <w:rFonts w:ascii="Arial" w:cs="Arial" w:eastAsia="Arial" w:hAnsi="Arial"/>
          <w:sz w:val="14"/>
          <w:szCs w:val="14"/>
          <w:color w:val="auto"/>
        </w:rPr>
        <w:t>of this proxy statement.</w:t>
      </w:r>
    </w:p>
    <w:p>
      <w:pPr>
        <w:spacing w:after="0" w:line="1" w:lineRule="exact"/>
        <w:rPr>
          <w:rFonts w:ascii="Arial" w:cs="Arial" w:eastAsia="Arial" w:hAnsi="Arial"/>
          <w:sz w:val="14"/>
          <w:szCs w:val="14"/>
          <w:color w:val="auto"/>
        </w:rPr>
      </w:pPr>
    </w:p>
    <w:p>
      <w:pPr>
        <w:ind w:left="1440" w:hanging="352"/>
        <w:spacing w:after="0"/>
        <w:tabs>
          <w:tab w:leader="none" w:pos="14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See the All Other Compensation chart below which details the components of these amounts.</w:t>
      </w:r>
    </w:p>
    <w:p>
      <w:pPr>
        <w:sectPr>
          <w:pgSz w:w="11900" w:h="16838" w:orient="portrait"/>
          <w:cols w:equalWidth="0" w:num="1">
            <w:col w:w="10160"/>
          </w:cols>
          <w:pgMar w:left="320" w:top="265" w:right="1419" w:bottom="1440" w:gutter="0" w:footer="0" w:header="0"/>
        </w:sectPr>
      </w:pPr>
    </w:p>
    <w:p>
      <w:pPr>
        <w:spacing w:after="0" w:line="308" w:lineRule="exact"/>
        <w:rPr>
          <w:sz w:val="20"/>
          <w:szCs w:val="20"/>
          <w:color w:val="auto"/>
        </w:rPr>
      </w:pPr>
    </w:p>
    <w:p>
      <w:pPr>
        <w:ind w:left="1160"/>
        <w:spacing w:after="0"/>
        <w:tabs>
          <w:tab w:leader="none" w:pos="9960" w:val="left"/>
        </w:tabs>
        <w:rPr>
          <w:sz w:val="20"/>
          <w:szCs w:val="20"/>
          <w:color w:val="auto"/>
        </w:rPr>
      </w:pPr>
      <w:r>
        <w:rPr>
          <w:rFonts w:ascii="Arial" w:cs="Arial" w:eastAsia="Arial" w:hAnsi="Arial"/>
          <w:sz w:val="16"/>
          <w:szCs w:val="16"/>
          <w:color w:val="auto"/>
        </w:rPr>
        <w:t>2020 Proxy Statement | Executive Compensation</w:t>
      </w:r>
      <w:r>
        <w:rPr>
          <w:sz w:val="20"/>
          <w:szCs w:val="20"/>
          <w:color w:val="auto"/>
        </w:rPr>
        <w:tab/>
      </w: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129540</wp:posOffset>
            </wp:positionV>
            <wp:extent cx="699516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160"/>
          </w:cols>
          <w:pgMar w:left="320" w:top="265" w:right="1419" w:bottom="1440" w:gutter="0" w:footer="0" w:header="0"/>
          <w:type w:val="continuous"/>
        </w:sectPr>
      </w:pPr>
    </w:p>
    <w:bookmarkStart w:id="43" w:name="page44"/>
    <w:bookmarkEnd w:id="43"/>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6515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All Other Compensation ($)—2019</w:t>
      </w:r>
    </w:p>
    <w:p>
      <w:pPr>
        <w:spacing w:after="0" w:line="152" w:lineRule="exact"/>
        <w:rPr>
          <w:sz w:val="20"/>
          <w:szCs w:val="20"/>
          <w:color w:val="auto"/>
        </w:rPr>
      </w:pPr>
    </w:p>
    <w:tbl>
      <w:tblPr>
        <w:tblLayout w:type="fixed"/>
        <w:tblInd w:w="1090" w:type="dxa"/>
        <w:tblCellMar>
          <w:top w:w="0" w:type="dxa"/>
          <w:left w:w="0" w:type="dxa"/>
          <w:bottom w:w="0" w:type="dxa"/>
          <w:right w:w="0" w:type="dxa"/>
        </w:tblCellMar>
      </w:tblPr>
      <w:tr>
        <w:trPr>
          <w:trHeight w:val="310"/>
        </w:trPr>
        <w:tc>
          <w:tcPr>
            <w:tcW w:w="1900" w:type="dxa"/>
            <w:vAlign w:val="bottom"/>
            <w:tcBorders>
              <w:top w:val="single" w:sz="8" w:color="auto"/>
              <w:left w:val="single" w:sz="8" w:color="auto"/>
              <w:right w:val="single" w:sz="8" w:color="auto"/>
            </w:tcBorders>
            <w:shd w:val="clear" w:color="auto" w:fill="BFBFBF"/>
          </w:tcPr>
          <w:p>
            <w:pPr>
              <w:spacing w:after="0"/>
              <w:rPr>
                <w:sz w:val="24"/>
                <w:szCs w:val="24"/>
                <w:color w:val="auto"/>
              </w:rPr>
            </w:pPr>
          </w:p>
        </w:tc>
        <w:tc>
          <w:tcPr>
            <w:tcW w:w="1240" w:type="dxa"/>
            <w:vAlign w:val="bottom"/>
            <w:tcBorders>
              <w:top w:val="single" w:sz="8" w:color="auto"/>
              <w:right w:val="single" w:sz="8" w:color="auto"/>
            </w:tcBorders>
            <w:shd w:val="clear" w:color="auto" w:fill="BFBFBF"/>
          </w:tcPr>
          <w:p>
            <w:pPr>
              <w:jc w:val="right"/>
              <w:ind w:right="112"/>
              <w:spacing w:after="0"/>
              <w:rPr>
                <w:sz w:val="20"/>
                <w:szCs w:val="20"/>
                <w:color w:val="auto"/>
              </w:rPr>
            </w:pPr>
            <w:r>
              <w:rPr>
                <w:rFonts w:ascii="Arial" w:cs="Arial" w:eastAsia="Arial" w:hAnsi="Arial"/>
                <w:sz w:val="16"/>
                <w:szCs w:val="16"/>
                <w:b w:val="1"/>
                <w:bCs w:val="1"/>
                <w:color w:val="auto"/>
              </w:rPr>
              <w:t>C.H. Lindner</w:t>
            </w:r>
          </w:p>
        </w:tc>
        <w:tc>
          <w:tcPr>
            <w:tcW w:w="1180" w:type="dxa"/>
            <w:vAlign w:val="bottom"/>
            <w:tcBorders>
              <w:top w:val="single" w:sz="8" w:color="auto"/>
              <w:right w:val="single" w:sz="8" w:color="auto"/>
            </w:tcBorders>
            <w:shd w:val="clear" w:color="auto" w:fill="BFBFBF"/>
          </w:tcPr>
          <w:p>
            <w:pPr>
              <w:jc w:val="right"/>
              <w:ind w:right="92"/>
              <w:spacing w:after="0"/>
              <w:rPr>
                <w:sz w:val="20"/>
                <w:szCs w:val="20"/>
                <w:color w:val="auto"/>
              </w:rPr>
            </w:pPr>
            <w:r>
              <w:rPr>
                <w:rFonts w:ascii="Arial" w:cs="Arial" w:eastAsia="Arial" w:hAnsi="Arial"/>
                <w:sz w:val="16"/>
                <w:szCs w:val="16"/>
                <w:b w:val="1"/>
                <w:bCs w:val="1"/>
                <w:color w:val="auto"/>
              </w:rPr>
              <w:t>S.C. Lindner</w:t>
            </w:r>
          </w:p>
        </w:tc>
        <w:tc>
          <w:tcPr>
            <w:tcW w:w="1180" w:type="dxa"/>
            <w:vAlign w:val="bottom"/>
            <w:tcBorders>
              <w:top w:val="single" w:sz="8" w:color="auto"/>
              <w:right w:val="single" w:sz="8" w:color="auto"/>
            </w:tcBorders>
            <w:shd w:val="clear" w:color="auto" w:fill="BFBFBF"/>
          </w:tcPr>
          <w:p>
            <w:pPr>
              <w:jc w:val="right"/>
              <w:ind w:right="372"/>
              <w:spacing w:after="0"/>
              <w:rPr>
                <w:sz w:val="20"/>
                <w:szCs w:val="20"/>
                <w:color w:val="auto"/>
              </w:rPr>
            </w:pPr>
            <w:r>
              <w:rPr>
                <w:rFonts w:ascii="Arial" w:cs="Arial" w:eastAsia="Arial" w:hAnsi="Arial"/>
                <w:sz w:val="16"/>
                <w:szCs w:val="16"/>
                <w:b w:val="1"/>
                <w:bCs w:val="1"/>
                <w:color w:val="auto"/>
              </w:rPr>
              <w:t>J. E.</w:t>
            </w:r>
          </w:p>
        </w:tc>
        <w:tc>
          <w:tcPr>
            <w:tcW w:w="1200" w:type="dxa"/>
            <w:vAlign w:val="bottom"/>
            <w:tcBorders>
              <w:top w:val="single" w:sz="8" w:color="auto"/>
              <w:right w:val="single" w:sz="8" w:color="auto"/>
            </w:tcBorders>
            <w:shd w:val="clear" w:color="auto" w:fill="BFBFBF"/>
          </w:tcPr>
          <w:p>
            <w:pPr>
              <w:spacing w:after="0"/>
              <w:rPr>
                <w:sz w:val="24"/>
                <w:szCs w:val="24"/>
                <w:color w:val="auto"/>
              </w:rPr>
            </w:pPr>
          </w:p>
        </w:tc>
        <w:tc>
          <w:tcPr>
            <w:tcW w:w="1180" w:type="dxa"/>
            <w:vAlign w:val="bottom"/>
            <w:tcBorders>
              <w:top w:val="single" w:sz="8" w:color="auto"/>
              <w:right w:val="single" w:sz="8" w:color="auto"/>
            </w:tcBorders>
            <w:shd w:val="clear" w:color="auto" w:fill="BFBFBF"/>
          </w:tcPr>
          <w:p>
            <w:pPr>
              <w:spacing w:after="0"/>
              <w:rPr>
                <w:sz w:val="24"/>
                <w:szCs w:val="24"/>
                <w:color w:val="auto"/>
              </w:rPr>
            </w:pPr>
          </w:p>
        </w:tc>
        <w:tc>
          <w:tcPr>
            <w:tcW w:w="1200" w:type="dxa"/>
            <w:vAlign w:val="bottom"/>
            <w:tcBorders>
              <w:top w:val="single" w:sz="8" w:color="auto"/>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900" w:type="dxa"/>
            <w:vAlign w:val="bottom"/>
            <w:tcBorders>
              <w:left w:val="single" w:sz="8" w:color="auto"/>
              <w:right w:val="single" w:sz="8" w:color="auto"/>
            </w:tcBorders>
            <w:shd w:val="clear" w:color="auto" w:fill="BFBFBF"/>
          </w:tcPr>
          <w:p>
            <w:pPr>
              <w:ind w:left="780"/>
              <w:spacing w:after="0"/>
              <w:rPr>
                <w:sz w:val="20"/>
                <w:szCs w:val="20"/>
                <w:color w:val="auto"/>
              </w:rPr>
            </w:pPr>
            <w:r>
              <w:rPr>
                <w:rFonts w:ascii="Arial" w:cs="Arial" w:eastAsia="Arial" w:hAnsi="Arial"/>
                <w:sz w:val="16"/>
                <w:szCs w:val="16"/>
                <w:b w:val="1"/>
                <w:bCs w:val="1"/>
                <w:color w:val="auto"/>
              </w:rPr>
              <w:t>Item</w:t>
            </w:r>
          </w:p>
        </w:tc>
        <w:tc>
          <w:tcPr>
            <w:tcW w:w="1240" w:type="dxa"/>
            <w:vAlign w:val="bottom"/>
            <w:tcBorders>
              <w:right w:val="single" w:sz="8" w:color="auto"/>
            </w:tcBorders>
            <w:shd w:val="clear" w:color="auto" w:fill="BFBFBF"/>
          </w:tcPr>
          <w:p>
            <w:pPr>
              <w:jc w:val="right"/>
              <w:ind w:right="252"/>
              <w:spacing w:after="0"/>
              <w:rPr>
                <w:sz w:val="20"/>
                <w:szCs w:val="20"/>
                <w:color w:val="auto"/>
              </w:rPr>
            </w:pPr>
            <w:r>
              <w:rPr>
                <w:rFonts w:ascii="Arial" w:cs="Arial" w:eastAsia="Arial" w:hAnsi="Arial"/>
                <w:sz w:val="16"/>
                <w:szCs w:val="16"/>
                <w:b w:val="1"/>
                <w:bCs w:val="1"/>
                <w:color w:val="auto"/>
              </w:rPr>
              <w:t>III (1)(2)</w:t>
            </w:r>
          </w:p>
        </w:tc>
        <w:tc>
          <w:tcPr>
            <w:tcW w:w="1180" w:type="dxa"/>
            <w:vAlign w:val="bottom"/>
            <w:tcBorders>
              <w:right w:val="single" w:sz="8" w:color="auto"/>
            </w:tcBorders>
            <w:shd w:val="clear" w:color="auto" w:fill="BFBFBF"/>
          </w:tcPr>
          <w:p>
            <w:pPr>
              <w:jc w:val="right"/>
              <w:ind w:right="332"/>
              <w:spacing w:after="0"/>
              <w:rPr>
                <w:sz w:val="20"/>
                <w:szCs w:val="20"/>
                <w:color w:val="auto"/>
              </w:rPr>
            </w:pPr>
            <w:r>
              <w:rPr>
                <w:rFonts w:ascii="Arial" w:cs="Arial" w:eastAsia="Arial" w:hAnsi="Arial"/>
                <w:sz w:val="16"/>
                <w:szCs w:val="16"/>
                <w:b w:val="1"/>
                <w:bCs w:val="1"/>
                <w:color w:val="auto"/>
              </w:rPr>
              <w:t>(1)(2)</w:t>
            </w:r>
          </w:p>
        </w:tc>
        <w:tc>
          <w:tcPr>
            <w:tcW w:w="1180" w:type="dxa"/>
            <w:vAlign w:val="bottom"/>
            <w:tcBorders>
              <w:right w:val="single" w:sz="8" w:color="auto"/>
            </w:tcBorders>
            <w:shd w:val="clear" w:color="auto" w:fill="BFBFBF"/>
          </w:tcPr>
          <w:p>
            <w:pPr>
              <w:jc w:val="right"/>
              <w:ind w:right="52"/>
              <w:spacing w:after="0"/>
              <w:rPr>
                <w:sz w:val="20"/>
                <w:szCs w:val="20"/>
                <w:color w:val="auto"/>
              </w:rPr>
            </w:pPr>
            <w:r>
              <w:rPr>
                <w:rFonts w:ascii="Arial" w:cs="Arial" w:eastAsia="Arial" w:hAnsi="Arial"/>
                <w:sz w:val="16"/>
                <w:szCs w:val="16"/>
                <w:b w:val="1"/>
                <w:bCs w:val="1"/>
                <w:color w:val="auto"/>
                <w:w w:val="99"/>
              </w:rPr>
              <w:t>Consolino (3)</w:t>
            </w:r>
          </w:p>
        </w:tc>
        <w:tc>
          <w:tcPr>
            <w:tcW w:w="1200" w:type="dxa"/>
            <w:vAlign w:val="bottom"/>
            <w:tcBorders>
              <w:right w:val="single" w:sz="8" w:color="auto"/>
            </w:tcBorders>
            <w:shd w:val="clear" w:color="auto" w:fill="BFBFBF"/>
          </w:tcPr>
          <w:p>
            <w:pPr>
              <w:jc w:val="right"/>
              <w:ind w:right="91"/>
              <w:spacing w:after="0"/>
              <w:rPr>
                <w:sz w:val="20"/>
                <w:szCs w:val="20"/>
                <w:color w:val="auto"/>
              </w:rPr>
            </w:pPr>
            <w:r>
              <w:rPr>
                <w:rFonts w:ascii="Arial" w:cs="Arial" w:eastAsia="Arial" w:hAnsi="Arial"/>
                <w:sz w:val="16"/>
                <w:szCs w:val="16"/>
                <w:b w:val="1"/>
                <w:bCs w:val="1"/>
                <w:color w:val="auto"/>
              </w:rPr>
              <w:t>J.B. Berding</w:t>
            </w:r>
          </w:p>
        </w:tc>
        <w:tc>
          <w:tcPr>
            <w:tcW w:w="1180" w:type="dxa"/>
            <w:vAlign w:val="bottom"/>
            <w:tcBorders>
              <w:right w:val="single" w:sz="8" w:color="auto"/>
            </w:tcBorders>
            <w:shd w:val="clear" w:color="auto" w:fill="BFBFBF"/>
          </w:tcPr>
          <w:p>
            <w:pPr>
              <w:jc w:val="right"/>
              <w:ind w:right="131"/>
              <w:spacing w:after="0"/>
              <w:rPr>
                <w:sz w:val="20"/>
                <w:szCs w:val="20"/>
                <w:color w:val="auto"/>
              </w:rPr>
            </w:pPr>
            <w:r>
              <w:rPr>
                <w:rFonts w:ascii="Arial" w:cs="Arial" w:eastAsia="Arial" w:hAnsi="Arial"/>
                <w:sz w:val="16"/>
                <w:szCs w:val="16"/>
                <w:b w:val="1"/>
                <w:bCs w:val="1"/>
                <w:color w:val="auto"/>
              </w:rPr>
              <w:t>M.A. Gillis</w:t>
            </w:r>
          </w:p>
        </w:tc>
        <w:tc>
          <w:tcPr>
            <w:tcW w:w="1200" w:type="dxa"/>
            <w:vAlign w:val="bottom"/>
            <w:tcBorders>
              <w:right w:val="single" w:sz="8" w:color="auto"/>
            </w:tcBorders>
            <w:shd w:val="clear" w:color="auto" w:fill="BFBFBF"/>
          </w:tcPr>
          <w:p>
            <w:pPr>
              <w:jc w:val="right"/>
              <w:ind w:right="71"/>
              <w:spacing w:after="0"/>
              <w:rPr>
                <w:sz w:val="20"/>
                <w:szCs w:val="20"/>
                <w:color w:val="auto"/>
              </w:rPr>
            </w:pPr>
            <w:r>
              <w:rPr>
                <w:rFonts w:ascii="Arial" w:cs="Arial" w:eastAsia="Arial" w:hAnsi="Arial"/>
                <w:sz w:val="16"/>
                <w:szCs w:val="16"/>
                <w:b w:val="1"/>
                <w:bCs w:val="1"/>
                <w:color w:val="auto"/>
              </w:rPr>
              <w:t>V.C. Peraino</w:t>
            </w:r>
          </w:p>
        </w:tc>
        <w:tc>
          <w:tcPr>
            <w:tcW w:w="0" w:type="dxa"/>
            <w:vAlign w:val="bottom"/>
          </w:tcPr>
          <w:p>
            <w:pPr>
              <w:spacing w:after="0"/>
              <w:rPr>
                <w:sz w:val="1"/>
                <w:szCs w:val="1"/>
                <w:color w:val="auto"/>
              </w:rPr>
            </w:pPr>
          </w:p>
        </w:tc>
      </w:tr>
      <w:tr>
        <w:trPr>
          <w:trHeight w:val="73"/>
        </w:trPr>
        <w:tc>
          <w:tcPr>
            <w:tcW w:w="1900" w:type="dxa"/>
            <w:vAlign w:val="bottom"/>
            <w:tcBorders>
              <w:left w:val="single" w:sz="8" w:color="auto"/>
              <w:bottom w:val="single" w:sz="8" w:color="auto"/>
              <w:right w:val="single" w:sz="8" w:color="auto"/>
            </w:tcBorders>
            <w:shd w:val="clear" w:color="auto" w:fill="BFBFBF"/>
          </w:tcPr>
          <w:p>
            <w:pPr>
              <w:spacing w:after="0"/>
              <w:rPr>
                <w:sz w:val="6"/>
                <w:szCs w:val="6"/>
                <w:color w:val="auto"/>
              </w:rPr>
            </w:pPr>
          </w:p>
        </w:tc>
        <w:tc>
          <w:tcPr>
            <w:tcW w:w="1240" w:type="dxa"/>
            <w:vAlign w:val="bottom"/>
            <w:tcBorders>
              <w:bottom w:val="single" w:sz="8" w:color="auto"/>
              <w:right w:val="single" w:sz="8" w:color="auto"/>
            </w:tcBorders>
            <w:shd w:val="clear" w:color="auto" w:fill="BFBFBF"/>
          </w:tcPr>
          <w:p>
            <w:pPr>
              <w:spacing w:after="0"/>
              <w:rPr>
                <w:sz w:val="6"/>
                <w:szCs w:val="6"/>
                <w:color w:val="auto"/>
              </w:rPr>
            </w:pPr>
          </w:p>
        </w:tc>
        <w:tc>
          <w:tcPr>
            <w:tcW w:w="1180" w:type="dxa"/>
            <w:vAlign w:val="bottom"/>
            <w:tcBorders>
              <w:bottom w:val="single" w:sz="8" w:color="auto"/>
              <w:right w:val="single" w:sz="8" w:color="auto"/>
            </w:tcBorders>
            <w:shd w:val="clear" w:color="auto" w:fill="BFBFBF"/>
          </w:tcPr>
          <w:p>
            <w:pPr>
              <w:spacing w:after="0"/>
              <w:rPr>
                <w:sz w:val="6"/>
                <w:szCs w:val="6"/>
                <w:color w:val="auto"/>
              </w:rPr>
            </w:pPr>
          </w:p>
        </w:tc>
        <w:tc>
          <w:tcPr>
            <w:tcW w:w="1180" w:type="dxa"/>
            <w:vAlign w:val="bottom"/>
            <w:tcBorders>
              <w:bottom w:val="single" w:sz="8" w:color="auto"/>
              <w:right w:val="single" w:sz="8" w:color="auto"/>
            </w:tcBorders>
            <w:shd w:val="clear" w:color="auto" w:fill="BFBFBF"/>
          </w:tcPr>
          <w:p>
            <w:pPr>
              <w:spacing w:after="0"/>
              <w:rPr>
                <w:sz w:val="6"/>
                <w:szCs w:val="6"/>
                <w:color w:val="auto"/>
              </w:rPr>
            </w:pPr>
          </w:p>
        </w:tc>
        <w:tc>
          <w:tcPr>
            <w:tcW w:w="1200" w:type="dxa"/>
            <w:vAlign w:val="bottom"/>
            <w:tcBorders>
              <w:bottom w:val="single" w:sz="8" w:color="auto"/>
              <w:right w:val="single" w:sz="8" w:color="auto"/>
            </w:tcBorders>
            <w:shd w:val="clear" w:color="auto" w:fill="BFBFBF"/>
          </w:tcPr>
          <w:p>
            <w:pPr>
              <w:spacing w:after="0"/>
              <w:rPr>
                <w:sz w:val="6"/>
                <w:szCs w:val="6"/>
                <w:color w:val="auto"/>
              </w:rPr>
            </w:pPr>
          </w:p>
        </w:tc>
        <w:tc>
          <w:tcPr>
            <w:tcW w:w="1180" w:type="dxa"/>
            <w:vAlign w:val="bottom"/>
            <w:tcBorders>
              <w:bottom w:val="single" w:sz="8" w:color="auto"/>
              <w:right w:val="single" w:sz="8" w:color="auto"/>
            </w:tcBorders>
            <w:shd w:val="clear" w:color="auto" w:fill="BFBFBF"/>
          </w:tcPr>
          <w:p>
            <w:pPr>
              <w:spacing w:after="0"/>
              <w:rPr>
                <w:sz w:val="6"/>
                <w:szCs w:val="6"/>
                <w:color w:val="auto"/>
              </w:rPr>
            </w:pPr>
          </w:p>
        </w:tc>
        <w:tc>
          <w:tcPr>
            <w:tcW w:w="1200" w:type="dxa"/>
            <w:vAlign w:val="bottom"/>
            <w:tcBorders>
              <w:bottom w:val="single" w:sz="8" w:color="auto"/>
              <w:right w:val="single" w:sz="8" w:color="auto"/>
            </w:tcBorders>
            <w:shd w:val="clear" w:color="auto" w:fill="BFBFBF"/>
          </w:tcPr>
          <w:p>
            <w:pPr>
              <w:spacing w:after="0"/>
              <w:rPr>
                <w:sz w:val="6"/>
                <w:szCs w:val="6"/>
                <w:color w:val="auto"/>
              </w:rPr>
            </w:pPr>
          </w:p>
        </w:tc>
        <w:tc>
          <w:tcPr>
            <w:tcW w:w="0" w:type="dxa"/>
            <w:vAlign w:val="bottom"/>
          </w:tcPr>
          <w:p>
            <w:pPr>
              <w:spacing w:after="0"/>
              <w:rPr>
                <w:sz w:val="1"/>
                <w:szCs w:val="1"/>
                <w:color w:val="auto"/>
              </w:rPr>
            </w:pPr>
          </w:p>
        </w:tc>
      </w:tr>
      <w:tr>
        <w:trPr>
          <w:trHeight w:val="263"/>
        </w:trPr>
        <w:tc>
          <w:tcPr>
            <w:tcW w:w="19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w w:val="98"/>
              </w:rPr>
              <w:t>Insurance (Auto/Home</w:t>
            </w:r>
          </w:p>
        </w:tc>
        <w:tc>
          <w:tcPr>
            <w:tcW w:w="1240" w:type="dxa"/>
            <w:vAlign w:val="bottom"/>
            <w:tcBorders>
              <w:right w:val="single" w:sz="8" w:color="auto"/>
            </w:tcBorders>
          </w:tcPr>
          <w:p>
            <w:pPr>
              <w:spacing w:after="0"/>
              <w:rPr>
                <w:sz w:val="22"/>
                <w:szCs w:val="22"/>
                <w:color w:val="auto"/>
              </w:rPr>
            </w:pPr>
          </w:p>
        </w:tc>
        <w:tc>
          <w:tcPr>
            <w:tcW w:w="1180" w:type="dxa"/>
            <w:vAlign w:val="bottom"/>
            <w:tcBorders>
              <w:right w:val="single" w:sz="8" w:color="auto"/>
            </w:tcBorders>
          </w:tcPr>
          <w:p>
            <w:pPr>
              <w:spacing w:after="0"/>
              <w:rPr>
                <w:sz w:val="22"/>
                <w:szCs w:val="22"/>
                <w:color w:val="auto"/>
              </w:rPr>
            </w:pPr>
          </w:p>
        </w:tc>
        <w:tc>
          <w:tcPr>
            <w:tcW w:w="1180" w:type="dxa"/>
            <w:vAlign w:val="bottom"/>
            <w:tcBorders>
              <w:right w:val="single" w:sz="8" w:color="auto"/>
            </w:tcBorders>
          </w:tcPr>
          <w:p>
            <w:pPr>
              <w:spacing w:after="0"/>
              <w:rPr>
                <w:sz w:val="22"/>
                <w:szCs w:val="22"/>
                <w:color w:val="auto"/>
              </w:rPr>
            </w:pPr>
          </w:p>
        </w:tc>
        <w:tc>
          <w:tcPr>
            <w:tcW w:w="1200" w:type="dxa"/>
            <w:vAlign w:val="bottom"/>
            <w:tcBorders>
              <w:right w:val="single" w:sz="8" w:color="auto"/>
            </w:tcBorders>
          </w:tcPr>
          <w:p>
            <w:pPr>
              <w:spacing w:after="0"/>
              <w:rPr>
                <w:sz w:val="22"/>
                <w:szCs w:val="22"/>
                <w:color w:val="auto"/>
              </w:rPr>
            </w:pPr>
          </w:p>
        </w:tc>
        <w:tc>
          <w:tcPr>
            <w:tcW w:w="1180" w:type="dxa"/>
            <w:vAlign w:val="bottom"/>
            <w:tcBorders>
              <w:right w:val="single" w:sz="8" w:color="auto"/>
            </w:tcBorders>
          </w:tcPr>
          <w:p>
            <w:pPr>
              <w:spacing w:after="0"/>
              <w:rPr>
                <w:sz w:val="22"/>
                <w:szCs w:val="22"/>
                <w:color w:val="auto"/>
              </w:rPr>
            </w:pPr>
          </w:p>
        </w:tc>
        <w:tc>
          <w:tcPr>
            <w:tcW w:w="12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9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Executive Insurance</w:t>
            </w:r>
          </w:p>
        </w:tc>
        <w:tc>
          <w:tcPr>
            <w:tcW w:w="1240" w:type="dxa"/>
            <w:vAlign w:val="bottom"/>
            <w:tcBorders>
              <w:right w:val="single" w:sz="8" w:color="auto"/>
            </w:tcBorders>
          </w:tcPr>
          <w:p>
            <w:pPr>
              <w:jc w:val="right"/>
              <w:ind w:right="212"/>
              <w:spacing w:after="0"/>
              <w:rPr>
                <w:sz w:val="20"/>
                <w:szCs w:val="20"/>
                <w:color w:val="auto"/>
              </w:rPr>
            </w:pPr>
            <w:r>
              <w:rPr>
                <w:rFonts w:ascii="Arial" w:cs="Arial" w:eastAsia="Arial" w:hAnsi="Arial"/>
                <w:sz w:val="18"/>
                <w:szCs w:val="18"/>
                <w:color w:val="auto"/>
              </w:rPr>
              <w:t>548,257</w:t>
            </w:r>
          </w:p>
        </w:tc>
        <w:tc>
          <w:tcPr>
            <w:tcW w:w="1180" w:type="dxa"/>
            <w:vAlign w:val="bottom"/>
            <w:tcBorders>
              <w:right w:val="single" w:sz="8" w:color="auto"/>
            </w:tcBorders>
          </w:tcPr>
          <w:p>
            <w:pPr>
              <w:jc w:val="right"/>
              <w:ind w:right="152"/>
              <w:spacing w:after="0"/>
              <w:rPr>
                <w:sz w:val="20"/>
                <w:szCs w:val="20"/>
                <w:color w:val="auto"/>
              </w:rPr>
            </w:pPr>
            <w:r>
              <w:rPr>
                <w:rFonts w:ascii="Arial" w:cs="Arial" w:eastAsia="Arial" w:hAnsi="Arial"/>
                <w:sz w:val="18"/>
                <w:szCs w:val="18"/>
                <w:color w:val="auto"/>
              </w:rPr>
              <w:t>472,993</w:t>
            </w:r>
          </w:p>
        </w:tc>
        <w:tc>
          <w:tcPr>
            <w:tcW w:w="1180" w:type="dxa"/>
            <w:vAlign w:val="bottom"/>
            <w:tcBorders>
              <w:right w:val="single" w:sz="8" w:color="auto"/>
            </w:tcBorders>
          </w:tcPr>
          <w:p>
            <w:pPr>
              <w:jc w:val="right"/>
              <w:ind w:right="232"/>
              <w:spacing w:after="0"/>
              <w:rPr>
                <w:sz w:val="20"/>
                <w:szCs w:val="20"/>
                <w:color w:val="auto"/>
              </w:rPr>
            </w:pPr>
            <w:r>
              <w:rPr>
                <w:rFonts w:ascii="Arial" w:cs="Arial" w:eastAsia="Arial" w:hAnsi="Arial"/>
                <w:sz w:val="18"/>
                <w:szCs w:val="18"/>
                <w:color w:val="auto"/>
              </w:rPr>
              <w:t>43,168</w:t>
            </w:r>
          </w:p>
        </w:tc>
        <w:tc>
          <w:tcPr>
            <w:tcW w:w="1200" w:type="dxa"/>
            <w:vAlign w:val="bottom"/>
            <w:tcBorders>
              <w:right w:val="single" w:sz="8" w:color="auto"/>
            </w:tcBorders>
          </w:tcPr>
          <w:p>
            <w:pPr>
              <w:jc w:val="right"/>
              <w:ind w:right="271"/>
              <w:spacing w:after="0"/>
              <w:rPr>
                <w:sz w:val="20"/>
                <w:szCs w:val="20"/>
                <w:color w:val="auto"/>
              </w:rPr>
            </w:pPr>
            <w:r>
              <w:rPr>
                <w:rFonts w:ascii="Arial" w:cs="Arial" w:eastAsia="Arial" w:hAnsi="Arial"/>
                <w:sz w:val="18"/>
                <w:szCs w:val="18"/>
                <w:color w:val="auto"/>
              </w:rPr>
              <w:t>30,929</w:t>
            </w:r>
          </w:p>
        </w:tc>
        <w:tc>
          <w:tcPr>
            <w:tcW w:w="1180" w:type="dxa"/>
            <w:vAlign w:val="bottom"/>
            <w:tcBorders>
              <w:right w:val="single" w:sz="8" w:color="auto"/>
            </w:tcBorders>
          </w:tcPr>
          <w:p>
            <w:pPr>
              <w:jc w:val="right"/>
              <w:ind w:right="271"/>
              <w:spacing w:after="0"/>
              <w:rPr>
                <w:sz w:val="20"/>
                <w:szCs w:val="20"/>
                <w:color w:val="auto"/>
              </w:rPr>
            </w:pPr>
            <w:r>
              <w:rPr>
                <w:rFonts w:ascii="Arial" w:cs="Arial" w:eastAsia="Arial" w:hAnsi="Arial"/>
                <w:sz w:val="18"/>
                <w:szCs w:val="18"/>
                <w:color w:val="auto"/>
              </w:rPr>
              <w:t>13,472</w:t>
            </w:r>
          </w:p>
        </w:tc>
        <w:tc>
          <w:tcPr>
            <w:tcW w:w="1200" w:type="dxa"/>
            <w:vAlign w:val="bottom"/>
            <w:tcBorders>
              <w:right w:val="single" w:sz="8" w:color="auto"/>
            </w:tcBorders>
          </w:tcPr>
          <w:p>
            <w:pPr>
              <w:jc w:val="right"/>
              <w:ind w:right="271"/>
              <w:spacing w:after="0"/>
              <w:rPr>
                <w:sz w:val="20"/>
                <w:szCs w:val="20"/>
                <w:color w:val="auto"/>
              </w:rPr>
            </w:pPr>
            <w:r>
              <w:rPr>
                <w:rFonts w:ascii="Arial" w:cs="Arial" w:eastAsia="Arial" w:hAnsi="Arial"/>
                <w:sz w:val="18"/>
                <w:szCs w:val="18"/>
                <w:color w:val="auto"/>
              </w:rPr>
              <w:t>12,502</w:t>
            </w:r>
          </w:p>
        </w:tc>
        <w:tc>
          <w:tcPr>
            <w:tcW w:w="0" w:type="dxa"/>
            <w:vAlign w:val="bottom"/>
          </w:tcPr>
          <w:p>
            <w:pPr>
              <w:spacing w:after="0"/>
              <w:rPr>
                <w:sz w:val="1"/>
                <w:szCs w:val="1"/>
                <w:color w:val="auto"/>
              </w:rPr>
            </w:pPr>
          </w:p>
        </w:tc>
      </w:tr>
      <w:tr>
        <w:trPr>
          <w:trHeight w:val="230"/>
        </w:trPr>
        <w:tc>
          <w:tcPr>
            <w:tcW w:w="19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Program)</w:t>
            </w:r>
          </w:p>
        </w:tc>
        <w:tc>
          <w:tcPr>
            <w:tcW w:w="1240" w:type="dxa"/>
            <w:vAlign w:val="bottom"/>
            <w:tcBorders>
              <w:right w:val="single" w:sz="8" w:color="auto"/>
            </w:tcBorders>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c>
          <w:tcPr>
            <w:tcW w:w="1200" w:type="dxa"/>
            <w:vAlign w:val="bottom"/>
            <w:tcBorders>
              <w:right w:val="single" w:sz="8" w:color="auto"/>
            </w:tcBorders>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c>
          <w:tcPr>
            <w:tcW w:w="1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1900" w:type="dxa"/>
            <w:vAlign w:val="bottom"/>
            <w:tcBorders>
              <w:left w:val="single" w:sz="8" w:color="auto"/>
              <w:bottom w:val="single" w:sz="8" w:color="auto"/>
              <w:right w:val="single" w:sz="8" w:color="auto"/>
            </w:tcBorders>
          </w:tcPr>
          <w:p>
            <w:pPr>
              <w:spacing w:after="0"/>
              <w:rPr>
                <w:sz w:val="5"/>
                <w:szCs w:val="5"/>
                <w:color w:val="auto"/>
              </w:rPr>
            </w:pPr>
          </w:p>
        </w:tc>
        <w:tc>
          <w:tcPr>
            <w:tcW w:w="1240" w:type="dxa"/>
            <w:vAlign w:val="bottom"/>
            <w:tcBorders>
              <w:bottom w:val="single" w:sz="8" w:color="auto"/>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9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Aircraft Usage</w:t>
            </w:r>
          </w:p>
        </w:tc>
        <w:tc>
          <w:tcPr>
            <w:tcW w:w="1240" w:type="dxa"/>
            <w:vAlign w:val="bottom"/>
            <w:tcBorders>
              <w:right w:val="single" w:sz="8" w:color="auto"/>
            </w:tcBorders>
          </w:tcPr>
          <w:p>
            <w:pPr>
              <w:jc w:val="right"/>
              <w:ind w:right="212"/>
              <w:spacing w:after="0"/>
              <w:rPr>
                <w:sz w:val="20"/>
                <w:szCs w:val="20"/>
                <w:color w:val="auto"/>
              </w:rPr>
            </w:pPr>
            <w:r>
              <w:rPr>
                <w:rFonts w:ascii="Arial" w:cs="Arial" w:eastAsia="Arial" w:hAnsi="Arial"/>
                <w:sz w:val="18"/>
                <w:szCs w:val="18"/>
                <w:color w:val="auto"/>
              </w:rPr>
              <w:t>568,425</w:t>
            </w:r>
          </w:p>
        </w:tc>
        <w:tc>
          <w:tcPr>
            <w:tcW w:w="1180" w:type="dxa"/>
            <w:vAlign w:val="bottom"/>
            <w:tcBorders>
              <w:right w:val="single" w:sz="8" w:color="auto"/>
            </w:tcBorders>
          </w:tcPr>
          <w:p>
            <w:pPr>
              <w:jc w:val="right"/>
              <w:ind w:right="152"/>
              <w:spacing w:after="0"/>
              <w:rPr>
                <w:sz w:val="20"/>
                <w:szCs w:val="20"/>
                <w:color w:val="auto"/>
              </w:rPr>
            </w:pPr>
            <w:r>
              <w:rPr>
                <w:rFonts w:ascii="Arial" w:cs="Arial" w:eastAsia="Arial" w:hAnsi="Arial"/>
                <w:sz w:val="18"/>
                <w:szCs w:val="18"/>
                <w:color w:val="auto"/>
              </w:rPr>
              <w:t>561,258</w:t>
            </w:r>
          </w:p>
        </w:tc>
        <w:tc>
          <w:tcPr>
            <w:tcW w:w="1180" w:type="dxa"/>
            <w:vAlign w:val="bottom"/>
            <w:tcBorders>
              <w:right w:val="single" w:sz="8" w:color="auto"/>
            </w:tcBorders>
          </w:tcPr>
          <w:p>
            <w:pPr>
              <w:jc w:val="right"/>
              <w:ind w:right="232"/>
              <w:spacing w:after="0"/>
              <w:rPr>
                <w:sz w:val="20"/>
                <w:szCs w:val="20"/>
                <w:color w:val="auto"/>
              </w:rPr>
            </w:pPr>
            <w:r>
              <w:rPr>
                <w:rFonts w:ascii="Arial" w:cs="Arial" w:eastAsia="Arial" w:hAnsi="Arial"/>
                <w:sz w:val="18"/>
                <w:szCs w:val="18"/>
                <w:color w:val="auto"/>
              </w:rPr>
              <w:t>36,833</w:t>
            </w:r>
          </w:p>
        </w:tc>
        <w:tc>
          <w:tcPr>
            <w:tcW w:w="1200" w:type="dxa"/>
            <w:vAlign w:val="bottom"/>
            <w:tcBorders>
              <w:right w:val="single" w:sz="8" w:color="auto"/>
            </w:tcBorders>
          </w:tcPr>
          <w:p>
            <w:pPr>
              <w:jc w:val="right"/>
              <w:ind w:right="271"/>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auto"/>
            </w:tcBorders>
          </w:tcPr>
          <w:p>
            <w:pPr>
              <w:jc w:val="right"/>
              <w:ind w:right="271"/>
              <w:spacing w:after="0"/>
              <w:rPr>
                <w:sz w:val="20"/>
                <w:szCs w:val="20"/>
                <w:color w:val="auto"/>
              </w:rPr>
            </w:pPr>
            <w:r>
              <w:rPr>
                <w:rFonts w:ascii="Arial" w:cs="Arial" w:eastAsia="Arial" w:hAnsi="Arial"/>
                <w:sz w:val="18"/>
                <w:szCs w:val="18"/>
                <w:color w:val="auto"/>
              </w:rPr>
              <w:t>—</w:t>
            </w:r>
          </w:p>
        </w:tc>
        <w:tc>
          <w:tcPr>
            <w:tcW w:w="1200" w:type="dxa"/>
            <w:vAlign w:val="bottom"/>
            <w:tcBorders>
              <w:right w:val="single" w:sz="8" w:color="auto"/>
            </w:tcBorders>
          </w:tcPr>
          <w:p>
            <w:pPr>
              <w:jc w:val="right"/>
              <w:ind w:right="2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7"/>
        </w:trPr>
        <w:tc>
          <w:tcPr>
            <w:tcW w:w="1900" w:type="dxa"/>
            <w:vAlign w:val="bottom"/>
            <w:tcBorders>
              <w:left w:val="single" w:sz="8" w:color="auto"/>
              <w:bottom w:val="single" w:sz="8" w:color="auto"/>
              <w:right w:val="single" w:sz="8" w:color="auto"/>
            </w:tcBorders>
          </w:tcPr>
          <w:p>
            <w:pPr>
              <w:spacing w:after="0"/>
              <w:rPr>
                <w:sz w:val="5"/>
                <w:szCs w:val="5"/>
                <w:color w:val="auto"/>
              </w:rPr>
            </w:pPr>
          </w:p>
        </w:tc>
        <w:tc>
          <w:tcPr>
            <w:tcW w:w="1240" w:type="dxa"/>
            <w:vAlign w:val="bottom"/>
            <w:tcBorders>
              <w:bottom w:val="single" w:sz="8" w:color="auto"/>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19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Annual RASP</w:t>
            </w:r>
          </w:p>
        </w:tc>
        <w:tc>
          <w:tcPr>
            <w:tcW w:w="1240" w:type="dxa"/>
            <w:vAlign w:val="bottom"/>
            <w:tcBorders>
              <w:right w:val="single" w:sz="8" w:color="auto"/>
            </w:tcBorders>
            <w:vMerge w:val="restart"/>
          </w:tcPr>
          <w:p>
            <w:pPr>
              <w:jc w:val="right"/>
              <w:ind w:right="192"/>
              <w:spacing w:after="0"/>
              <w:rPr>
                <w:sz w:val="20"/>
                <w:szCs w:val="20"/>
                <w:color w:val="auto"/>
              </w:rPr>
            </w:pPr>
            <w:r>
              <w:rPr>
                <w:rFonts w:ascii="Arial" w:cs="Arial" w:eastAsia="Arial" w:hAnsi="Arial"/>
                <w:sz w:val="18"/>
                <w:szCs w:val="18"/>
                <w:color w:val="auto"/>
              </w:rPr>
              <w:t>18,200</w:t>
            </w:r>
          </w:p>
        </w:tc>
        <w:tc>
          <w:tcPr>
            <w:tcW w:w="1180" w:type="dxa"/>
            <w:vAlign w:val="bottom"/>
            <w:tcBorders>
              <w:right w:val="single" w:sz="8" w:color="auto"/>
            </w:tcBorders>
            <w:vMerge w:val="restart"/>
          </w:tcPr>
          <w:p>
            <w:pPr>
              <w:jc w:val="right"/>
              <w:ind w:right="172"/>
              <w:spacing w:after="0"/>
              <w:rPr>
                <w:sz w:val="20"/>
                <w:szCs w:val="20"/>
                <w:color w:val="auto"/>
              </w:rPr>
            </w:pPr>
            <w:r>
              <w:rPr>
                <w:rFonts w:ascii="Arial" w:cs="Arial" w:eastAsia="Arial" w:hAnsi="Arial"/>
                <w:sz w:val="18"/>
                <w:szCs w:val="18"/>
                <w:color w:val="auto"/>
              </w:rPr>
              <w:t>18,200</w:t>
            </w:r>
          </w:p>
        </w:tc>
        <w:tc>
          <w:tcPr>
            <w:tcW w:w="118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color w:val="auto"/>
              </w:rPr>
              <w:t>18,200</w:t>
            </w:r>
          </w:p>
        </w:tc>
        <w:tc>
          <w:tcPr>
            <w:tcW w:w="1200" w:type="dxa"/>
            <w:vAlign w:val="bottom"/>
            <w:tcBorders>
              <w:right w:val="single" w:sz="8" w:color="auto"/>
            </w:tcBorders>
            <w:vMerge w:val="restart"/>
          </w:tcPr>
          <w:p>
            <w:pPr>
              <w:jc w:val="right"/>
              <w:ind w:right="271"/>
              <w:spacing w:after="0"/>
              <w:rPr>
                <w:sz w:val="20"/>
                <w:szCs w:val="20"/>
                <w:color w:val="auto"/>
              </w:rPr>
            </w:pPr>
            <w:r>
              <w:rPr>
                <w:rFonts w:ascii="Arial" w:cs="Arial" w:eastAsia="Arial" w:hAnsi="Arial"/>
                <w:sz w:val="18"/>
                <w:szCs w:val="18"/>
                <w:color w:val="auto"/>
              </w:rPr>
              <w:t>18,200</w:t>
            </w:r>
          </w:p>
        </w:tc>
        <w:tc>
          <w:tcPr>
            <w:tcW w:w="1180" w:type="dxa"/>
            <w:vAlign w:val="bottom"/>
            <w:tcBorders>
              <w:right w:val="single" w:sz="8" w:color="auto"/>
            </w:tcBorders>
            <w:vMerge w:val="restart"/>
          </w:tcPr>
          <w:p>
            <w:pPr>
              <w:jc w:val="right"/>
              <w:ind w:right="271"/>
              <w:spacing w:after="0"/>
              <w:rPr>
                <w:sz w:val="20"/>
                <w:szCs w:val="20"/>
                <w:color w:val="auto"/>
              </w:rPr>
            </w:pPr>
            <w:r>
              <w:rPr>
                <w:rFonts w:ascii="Arial" w:cs="Arial" w:eastAsia="Arial" w:hAnsi="Arial"/>
                <w:sz w:val="18"/>
                <w:szCs w:val="18"/>
                <w:color w:val="auto"/>
              </w:rPr>
              <w:t>18,200</w:t>
            </w:r>
          </w:p>
        </w:tc>
        <w:tc>
          <w:tcPr>
            <w:tcW w:w="1200" w:type="dxa"/>
            <w:vAlign w:val="bottom"/>
            <w:tcBorders>
              <w:right w:val="single" w:sz="8" w:color="auto"/>
            </w:tcBorders>
            <w:vMerge w:val="restart"/>
          </w:tcPr>
          <w:p>
            <w:pPr>
              <w:jc w:val="right"/>
              <w:ind w:right="271"/>
              <w:spacing w:after="0"/>
              <w:rPr>
                <w:sz w:val="20"/>
                <w:szCs w:val="20"/>
                <w:color w:val="auto"/>
              </w:rPr>
            </w:pPr>
            <w:r>
              <w:rPr>
                <w:rFonts w:ascii="Arial" w:cs="Arial" w:eastAsia="Arial" w:hAnsi="Arial"/>
                <w:sz w:val="18"/>
                <w:szCs w:val="18"/>
                <w:color w:val="auto"/>
              </w:rPr>
              <w:t>18,200</w:t>
            </w:r>
          </w:p>
        </w:tc>
        <w:tc>
          <w:tcPr>
            <w:tcW w:w="0" w:type="dxa"/>
            <w:vAlign w:val="bottom"/>
          </w:tcPr>
          <w:p>
            <w:pPr>
              <w:spacing w:after="0"/>
              <w:rPr>
                <w:sz w:val="1"/>
                <w:szCs w:val="1"/>
                <w:color w:val="auto"/>
              </w:rPr>
            </w:pPr>
          </w:p>
        </w:tc>
      </w:tr>
      <w:tr>
        <w:trPr>
          <w:trHeight w:val="122"/>
        </w:trPr>
        <w:tc>
          <w:tcPr>
            <w:tcW w:w="190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8"/>
                <w:szCs w:val="18"/>
                <w:color w:val="auto"/>
              </w:rPr>
              <w:t>Contribution (4)</w:t>
            </w:r>
          </w:p>
        </w:tc>
        <w:tc>
          <w:tcPr>
            <w:tcW w:w="1240" w:type="dxa"/>
            <w:vAlign w:val="bottom"/>
            <w:tcBorders>
              <w:right w:val="single" w:sz="8" w:color="auto"/>
            </w:tcBorders>
            <w:vMerge w:val="continue"/>
          </w:tcPr>
          <w:p>
            <w:pPr>
              <w:spacing w:after="0"/>
              <w:rPr>
                <w:sz w:val="10"/>
                <w:szCs w:val="10"/>
                <w:color w:val="auto"/>
              </w:rPr>
            </w:pPr>
          </w:p>
        </w:tc>
        <w:tc>
          <w:tcPr>
            <w:tcW w:w="1180" w:type="dxa"/>
            <w:vAlign w:val="bottom"/>
            <w:tcBorders>
              <w:right w:val="single" w:sz="8" w:color="auto"/>
            </w:tcBorders>
            <w:vMerge w:val="continue"/>
          </w:tcPr>
          <w:p>
            <w:pPr>
              <w:spacing w:after="0"/>
              <w:rPr>
                <w:sz w:val="10"/>
                <w:szCs w:val="10"/>
                <w:color w:val="auto"/>
              </w:rPr>
            </w:pPr>
          </w:p>
        </w:tc>
        <w:tc>
          <w:tcPr>
            <w:tcW w:w="1180" w:type="dxa"/>
            <w:vAlign w:val="bottom"/>
            <w:tcBorders>
              <w:right w:val="single" w:sz="8" w:color="auto"/>
            </w:tcBorders>
            <w:vMerge w:val="continue"/>
          </w:tcPr>
          <w:p>
            <w:pPr>
              <w:spacing w:after="0"/>
              <w:rPr>
                <w:sz w:val="10"/>
                <w:szCs w:val="10"/>
                <w:color w:val="auto"/>
              </w:rPr>
            </w:pPr>
          </w:p>
        </w:tc>
        <w:tc>
          <w:tcPr>
            <w:tcW w:w="1200" w:type="dxa"/>
            <w:vAlign w:val="bottom"/>
            <w:tcBorders>
              <w:right w:val="single" w:sz="8" w:color="auto"/>
            </w:tcBorders>
            <w:vMerge w:val="continue"/>
          </w:tcPr>
          <w:p>
            <w:pPr>
              <w:spacing w:after="0"/>
              <w:rPr>
                <w:sz w:val="10"/>
                <w:szCs w:val="10"/>
                <w:color w:val="auto"/>
              </w:rPr>
            </w:pPr>
          </w:p>
        </w:tc>
        <w:tc>
          <w:tcPr>
            <w:tcW w:w="1180" w:type="dxa"/>
            <w:vAlign w:val="bottom"/>
            <w:tcBorders>
              <w:right w:val="single" w:sz="8" w:color="auto"/>
            </w:tcBorders>
            <w:vMerge w:val="continue"/>
          </w:tcPr>
          <w:p>
            <w:pPr>
              <w:spacing w:after="0"/>
              <w:rPr>
                <w:sz w:val="10"/>
                <w:szCs w:val="10"/>
                <w:color w:val="auto"/>
              </w:rPr>
            </w:pPr>
          </w:p>
        </w:tc>
        <w:tc>
          <w:tcPr>
            <w:tcW w:w="12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900" w:type="dxa"/>
            <w:vAlign w:val="bottom"/>
            <w:tcBorders>
              <w:left w:val="single" w:sz="8" w:color="auto"/>
              <w:right w:val="single" w:sz="8" w:color="auto"/>
            </w:tcBorders>
            <w:vMerge w:val="continue"/>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1180" w:type="dxa"/>
            <w:vAlign w:val="bottom"/>
            <w:tcBorders>
              <w:right w:val="single" w:sz="8" w:color="auto"/>
            </w:tcBorders>
          </w:tcPr>
          <w:p>
            <w:pPr>
              <w:spacing w:after="0"/>
              <w:rPr>
                <w:sz w:val="9"/>
                <w:szCs w:val="9"/>
                <w:color w:val="auto"/>
              </w:rPr>
            </w:pPr>
          </w:p>
        </w:tc>
        <w:tc>
          <w:tcPr>
            <w:tcW w:w="1180" w:type="dxa"/>
            <w:vAlign w:val="bottom"/>
            <w:tcBorders>
              <w:right w:val="single" w:sz="8" w:color="auto"/>
            </w:tcBorders>
          </w:tcPr>
          <w:p>
            <w:pPr>
              <w:spacing w:after="0"/>
              <w:rPr>
                <w:sz w:val="9"/>
                <w:szCs w:val="9"/>
                <w:color w:val="auto"/>
              </w:rPr>
            </w:pPr>
          </w:p>
        </w:tc>
        <w:tc>
          <w:tcPr>
            <w:tcW w:w="1200" w:type="dxa"/>
            <w:vAlign w:val="bottom"/>
            <w:tcBorders>
              <w:right w:val="single" w:sz="8" w:color="auto"/>
            </w:tcBorders>
          </w:tcPr>
          <w:p>
            <w:pPr>
              <w:spacing w:after="0"/>
              <w:rPr>
                <w:sz w:val="9"/>
                <w:szCs w:val="9"/>
                <w:color w:val="auto"/>
              </w:rPr>
            </w:pPr>
          </w:p>
        </w:tc>
        <w:tc>
          <w:tcPr>
            <w:tcW w:w="1180" w:type="dxa"/>
            <w:vAlign w:val="bottom"/>
            <w:tcBorders>
              <w:right w:val="single" w:sz="8" w:color="auto"/>
            </w:tcBorders>
          </w:tcPr>
          <w:p>
            <w:pPr>
              <w:spacing w:after="0"/>
              <w:rPr>
                <w:sz w:val="9"/>
                <w:szCs w:val="9"/>
                <w:color w:val="auto"/>
              </w:rPr>
            </w:pPr>
          </w:p>
        </w:tc>
        <w:tc>
          <w:tcPr>
            <w:tcW w:w="12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1900" w:type="dxa"/>
            <w:vAlign w:val="bottom"/>
            <w:tcBorders>
              <w:left w:val="single" w:sz="8" w:color="auto"/>
              <w:bottom w:val="single" w:sz="8" w:color="auto"/>
              <w:right w:val="single" w:sz="8" w:color="auto"/>
            </w:tcBorders>
          </w:tcPr>
          <w:p>
            <w:pPr>
              <w:spacing w:after="0"/>
              <w:rPr>
                <w:sz w:val="5"/>
                <w:szCs w:val="5"/>
                <w:color w:val="auto"/>
              </w:rPr>
            </w:pPr>
          </w:p>
        </w:tc>
        <w:tc>
          <w:tcPr>
            <w:tcW w:w="1240" w:type="dxa"/>
            <w:vAlign w:val="bottom"/>
            <w:tcBorders>
              <w:bottom w:val="single" w:sz="8" w:color="auto"/>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19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Annual Auxiliary</w:t>
            </w:r>
          </w:p>
        </w:tc>
        <w:tc>
          <w:tcPr>
            <w:tcW w:w="1240" w:type="dxa"/>
            <w:vAlign w:val="bottom"/>
            <w:tcBorders>
              <w:right w:val="single" w:sz="8" w:color="auto"/>
            </w:tcBorders>
            <w:vMerge w:val="restart"/>
          </w:tcPr>
          <w:p>
            <w:pPr>
              <w:jc w:val="right"/>
              <w:ind w:right="192"/>
              <w:spacing w:after="0"/>
              <w:rPr>
                <w:sz w:val="20"/>
                <w:szCs w:val="20"/>
                <w:color w:val="auto"/>
              </w:rPr>
            </w:pPr>
            <w:r>
              <w:rPr>
                <w:rFonts w:ascii="Arial" w:cs="Arial" w:eastAsia="Arial" w:hAnsi="Arial"/>
                <w:sz w:val="18"/>
                <w:szCs w:val="18"/>
                <w:color w:val="auto"/>
              </w:rPr>
              <w:t>28,800</w:t>
            </w:r>
          </w:p>
        </w:tc>
        <w:tc>
          <w:tcPr>
            <w:tcW w:w="1180" w:type="dxa"/>
            <w:vAlign w:val="bottom"/>
            <w:tcBorders>
              <w:right w:val="single" w:sz="8" w:color="auto"/>
            </w:tcBorders>
            <w:vMerge w:val="restart"/>
          </w:tcPr>
          <w:p>
            <w:pPr>
              <w:jc w:val="right"/>
              <w:ind w:right="172"/>
              <w:spacing w:after="0"/>
              <w:rPr>
                <w:sz w:val="20"/>
                <w:szCs w:val="20"/>
                <w:color w:val="auto"/>
              </w:rPr>
            </w:pPr>
            <w:r>
              <w:rPr>
                <w:rFonts w:ascii="Arial" w:cs="Arial" w:eastAsia="Arial" w:hAnsi="Arial"/>
                <w:sz w:val="18"/>
                <w:szCs w:val="18"/>
                <w:color w:val="auto"/>
              </w:rPr>
              <w:t>28,800</w:t>
            </w:r>
          </w:p>
        </w:tc>
        <w:tc>
          <w:tcPr>
            <w:tcW w:w="118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color w:val="auto"/>
              </w:rPr>
              <w:t>28,800</w:t>
            </w:r>
          </w:p>
        </w:tc>
        <w:tc>
          <w:tcPr>
            <w:tcW w:w="1200" w:type="dxa"/>
            <w:vAlign w:val="bottom"/>
            <w:tcBorders>
              <w:right w:val="single" w:sz="8" w:color="auto"/>
            </w:tcBorders>
            <w:vMerge w:val="restart"/>
          </w:tcPr>
          <w:p>
            <w:pPr>
              <w:jc w:val="right"/>
              <w:ind w:right="271"/>
              <w:spacing w:after="0"/>
              <w:rPr>
                <w:sz w:val="20"/>
                <w:szCs w:val="20"/>
                <w:color w:val="auto"/>
              </w:rPr>
            </w:pPr>
            <w:r>
              <w:rPr>
                <w:rFonts w:ascii="Arial" w:cs="Arial" w:eastAsia="Arial" w:hAnsi="Arial"/>
                <w:sz w:val="18"/>
                <w:szCs w:val="18"/>
                <w:color w:val="auto"/>
              </w:rPr>
              <w:t>28,800</w:t>
            </w:r>
          </w:p>
        </w:tc>
        <w:tc>
          <w:tcPr>
            <w:tcW w:w="1180" w:type="dxa"/>
            <w:vAlign w:val="bottom"/>
            <w:tcBorders>
              <w:right w:val="single" w:sz="8" w:color="auto"/>
            </w:tcBorders>
            <w:vMerge w:val="restart"/>
          </w:tcPr>
          <w:p>
            <w:pPr>
              <w:jc w:val="right"/>
              <w:ind w:right="271"/>
              <w:spacing w:after="0"/>
              <w:rPr>
                <w:sz w:val="20"/>
                <w:szCs w:val="20"/>
                <w:color w:val="auto"/>
              </w:rPr>
            </w:pPr>
            <w:r>
              <w:rPr>
                <w:rFonts w:ascii="Arial" w:cs="Arial" w:eastAsia="Arial" w:hAnsi="Arial"/>
                <w:sz w:val="18"/>
                <w:szCs w:val="18"/>
                <w:color w:val="auto"/>
              </w:rPr>
              <w:t>16,992</w:t>
            </w:r>
          </w:p>
        </w:tc>
        <w:tc>
          <w:tcPr>
            <w:tcW w:w="1200" w:type="dxa"/>
            <w:vAlign w:val="bottom"/>
            <w:tcBorders>
              <w:right w:val="single" w:sz="8" w:color="auto"/>
            </w:tcBorders>
            <w:vMerge w:val="restart"/>
          </w:tcPr>
          <w:p>
            <w:pPr>
              <w:jc w:val="right"/>
              <w:ind w:right="271"/>
              <w:spacing w:after="0"/>
              <w:rPr>
                <w:sz w:val="20"/>
                <w:szCs w:val="20"/>
                <w:color w:val="auto"/>
              </w:rPr>
            </w:pPr>
            <w:r>
              <w:rPr>
                <w:rFonts w:ascii="Arial" w:cs="Arial" w:eastAsia="Arial" w:hAnsi="Arial"/>
                <w:sz w:val="18"/>
                <w:szCs w:val="18"/>
                <w:color w:val="auto"/>
              </w:rPr>
              <w:t>28,800</w:t>
            </w:r>
          </w:p>
        </w:tc>
        <w:tc>
          <w:tcPr>
            <w:tcW w:w="0" w:type="dxa"/>
            <w:vAlign w:val="bottom"/>
          </w:tcPr>
          <w:p>
            <w:pPr>
              <w:spacing w:after="0"/>
              <w:rPr>
                <w:sz w:val="1"/>
                <w:szCs w:val="1"/>
                <w:color w:val="auto"/>
              </w:rPr>
            </w:pPr>
          </w:p>
        </w:tc>
      </w:tr>
      <w:tr>
        <w:trPr>
          <w:trHeight w:val="122"/>
        </w:trPr>
        <w:tc>
          <w:tcPr>
            <w:tcW w:w="190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8"/>
                <w:szCs w:val="18"/>
                <w:color w:val="auto"/>
                <w:w w:val="99"/>
              </w:rPr>
              <w:t>RASP Contribution (4)</w:t>
            </w:r>
          </w:p>
        </w:tc>
        <w:tc>
          <w:tcPr>
            <w:tcW w:w="1240" w:type="dxa"/>
            <w:vAlign w:val="bottom"/>
            <w:tcBorders>
              <w:right w:val="single" w:sz="8" w:color="auto"/>
            </w:tcBorders>
            <w:vMerge w:val="continue"/>
          </w:tcPr>
          <w:p>
            <w:pPr>
              <w:spacing w:after="0"/>
              <w:rPr>
                <w:sz w:val="10"/>
                <w:szCs w:val="10"/>
                <w:color w:val="auto"/>
              </w:rPr>
            </w:pPr>
          </w:p>
        </w:tc>
        <w:tc>
          <w:tcPr>
            <w:tcW w:w="1180" w:type="dxa"/>
            <w:vAlign w:val="bottom"/>
            <w:tcBorders>
              <w:right w:val="single" w:sz="8" w:color="auto"/>
            </w:tcBorders>
            <w:vMerge w:val="continue"/>
          </w:tcPr>
          <w:p>
            <w:pPr>
              <w:spacing w:after="0"/>
              <w:rPr>
                <w:sz w:val="10"/>
                <w:szCs w:val="10"/>
                <w:color w:val="auto"/>
              </w:rPr>
            </w:pPr>
          </w:p>
        </w:tc>
        <w:tc>
          <w:tcPr>
            <w:tcW w:w="1180" w:type="dxa"/>
            <w:vAlign w:val="bottom"/>
            <w:tcBorders>
              <w:right w:val="single" w:sz="8" w:color="auto"/>
            </w:tcBorders>
            <w:vMerge w:val="continue"/>
          </w:tcPr>
          <w:p>
            <w:pPr>
              <w:spacing w:after="0"/>
              <w:rPr>
                <w:sz w:val="10"/>
                <w:szCs w:val="10"/>
                <w:color w:val="auto"/>
              </w:rPr>
            </w:pPr>
          </w:p>
        </w:tc>
        <w:tc>
          <w:tcPr>
            <w:tcW w:w="1200" w:type="dxa"/>
            <w:vAlign w:val="bottom"/>
            <w:tcBorders>
              <w:right w:val="single" w:sz="8" w:color="auto"/>
            </w:tcBorders>
            <w:vMerge w:val="continue"/>
          </w:tcPr>
          <w:p>
            <w:pPr>
              <w:spacing w:after="0"/>
              <w:rPr>
                <w:sz w:val="10"/>
                <w:szCs w:val="10"/>
                <w:color w:val="auto"/>
              </w:rPr>
            </w:pPr>
          </w:p>
        </w:tc>
        <w:tc>
          <w:tcPr>
            <w:tcW w:w="1180" w:type="dxa"/>
            <w:vAlign w:val="bottom"/>
            <w:tcBorders>
              <w:right w:val="single" w:sz="8" w:color="auto"/>
            </w:tcBorders>
            <w:vMerge w:val="continue"/>
          </w:tcPr>
          <w:p>
            <w:pPr>
              <w:spacing w:after="0"/>
              <w:rPr>
                <w:sz w:val="10"/>
                <w:szCs w:val="10"/>
                <w:color w:val="auto"/>
              </w:rPr>
            </w:pPr>
          </w:p>
        </w:tc>
        <w:tc>
          <w:tcPr>
            <w:tcW w:w="12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900" w:type="dxa"/>
            <w:vAlign w:val="bottom"/>
            <w:tcBorders>
              <w:left w:val="single" w:sz="8" w:color="auto"/>
              <w:right w:val="single" w:sz="8" w:color="auto"/>
            </w:tcBorders>
            <w:vMerge w:val="continue"/>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1180" w:type="dxa"/>
            <w:vAlign w:val="bottom"/>
            <w:tcBorders>
              <w:right w:val="single" w:sz="8" w:color="auto"/>
            </w:tcBorders>
          </w:tcPr>
          <w:p>
            <w:pPr>
              <w:spacing w:after="0"/>
              <w:rPr>
                <w:sz w:val="9"/>
                <w:szCs w:val="9"/>
                <w:color w:val="auto"/>
              </w:rPr>
            </w:pPr>
          </w:p>
        </w:tc>
        <w:tc>
          <w:tcPr>
            <w:tcW w:w="1180" w:type="dxa"/>
            <w:vAlign w:val="bottom"/>
            <w:tcBorders>
              <w:right w:val="single" w:sz="8" w:color="auto"/>
            </w:tcBorders>
          </w:tcPr>
          <w:p>
            <w:pPr>
              <w:spacing w:after="0"/>
              <w:rPr>
                <w:sz w:val="9"/>
                <w:szCs w:val="9"/>
                <w:color w:val="auto"/>
              </w:rPr>
            </w:pPr>
          </w:p>
        </w:tc>
        <w:tc>
          <w:tcPr>
            <w:tcW w:w="1200" w:type="dxa"/>
            <w:vAlign w:val="bottom"/>
            <w:tcBorders>
              <w:right w:val="single" w:sz="8" w:color="auto"/>
            </w:tcBorders>
          </w:tcPr>
          <w:p>
            <w:pPr>
              <w:spacing w:after="0"/>
              <w:rPr>
                <w:sz w:val="9"/>
                <w:szCs w:val="9"/>
                <w:color w:val="auto"/>
              </w:rPr>
            </w:pPr>
          </w:p>
        </w:tc>
        <w:tc>
          <w:tcPr>
            <w:tcW w:w="1180" w:type="dxa"/>
            <w:vAlign w:val="bottom"/>
            <w:tcBorders>
              <w:right w:val="single" w:sz="8" w:color="auto"/>
            </w:tcBorders>
          </w:tcPr>
          <w:p>
            <w:pPr>
              <w:spacing w:after="0"/>
              <w:rPr>
                <w:sz w:val="9"/>
                <w:szCs w:val="9"/>
                <w:color w:val="auto"/>
              </w:rPr>
            </w:pPr>
          </w:p>
        </w:tc>
        <w:tc>
          <w:tcPr>
            <w:tcW w:w="12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7"/>
        </w:trPr>
        <w:tc>
          <w:tcPr>
            <w:tcW w:w="1900" w:type="dxa"/>
            <w:vAlign w:val="bottom"/>
            <w:tcBorders>
              <w:left w:val="single" w:sz="8" w:color="auto"/>
              <w:bottom w:val="single" w:sz="8" w:color="auto"/>
              <w:right w:val="single" w:sz="8" w:color="auto"/>
            </w:tcBorders>
          </w:tcPr>
          <w:p>
            <w:pPr>
              <w:spacing w:after="0"/>
              <w:rPr>
                <w:sz w:val="5"/>
                <w:szCs w:val="5"/>
                <w:color w:val="auto"/>
              </w:rPr>
            </w:pPr>
          </w:p>
        </w:tc>
        <w:tc>
          <w:tcPr>
            <w:tcW w:w="1240" w:type="dxa"/>
            <w:vAlign w:val="bottom"/>
            <w:tcBorders>
              <w:bottom w:val="single" w:sz="8" w:color="auto"/>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9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Other (5)</w:t>
            </w:r>
          </w:p>
        </w:tc>
        <w:tc>
          <w:tcPr>
            <w:tcW w:w="1240" w:type="dxa"/>
            <w:vAlign w:val="bottom"/>
            <w:tcBorders>
              <w:right w:val="single" w:sz="8" w:color="auto"/>
            </w:tcBorders>
          </w:tcPr>
          <w:p>
            <w:pPr>
              <w:jc w:val="right"/>
              <w:ind w:right="212"/>
              <w:spacing w:after="0"/>
              <w:rPr>
                <w:sz w:val="20"/>
                <w:szCs w:val="20"/>
                <w:color w:val="auto"/>
              </w:rPr>
            </w:pPr>
            <w:r>
              <w:rPr>
                <w:rFonts w:ascii="Arial" w:cs="Arial" w:eastAsia="Arial" w:hAnsi="Arial"/>
                <w:sz w:val="18"/>
                <w:szCs w:val="18"/>
                <w:color w:val="auto"/>
              </w:rPr>
              <w:t>135,507</w:t>
            </w:r>
          </w:p>
        </w:tc>
        <w:tc>
          <w:tcPr>
            <w:tcW w:w="1180" w:type="dxa"/>
            <w:vAlign w:val="bottom"/>
            <w:tcBorders>
              <w:right w:val="single" w:sz="8" w:color="auto"/>
            </w:tcBorders>
          </w:tcPr>
          <w:p>
            <w:pPr>
              <w:jc w:val="right"/>
              <w:ind w:right="152"/>
              <w:spacing w:after="0"/>
              <w:rPr>
                <w:sz w:val="20"/>
                <w:szCs w:val="20"/>
                <w:color w:val="auto"/>
              </w:rPr>
            </w:pPr>
            <w:r>
              <w:rPr>
                <w:rFonts w:ascii="Arial" w:cs="Arial" w:eastAsia="Arial" w:hAnsi="Arial"/>
                <w:sz w:val="18"/>
                <w:szCs w:val="18"/>
                <w:color w:val="auto"/>
              </w:rPr>
              <w:t>161,776</w:t>
            </w:r>
          </w:p>
        </w:tc>
        <w:tc>
          <w:tcPr>
            <w:tcW w:w="1180" w:type="dxa"/>
            <w:vAlign w:val="bottom"/>
            <w:tcBorders>
              <w:right w:val="single" w:sz="8" w:color="auto"/>
            </w:tcBorders>
          </w:tcPr>
          <w:p>
            <w:pPr>
              <w:jc w:val="right"/>
              <w:ind w:right="232"/>
              <w:spacing w:after="0"/>
              <w:rPr>
                <w:sz w:val="20"/>
                <w:szCs w:val="20"/>
                <w:color w:val="auto"/>
              </w:rPr>
            </w:pPr>
            <w:r>
              <w:rPr>
                <w:rFonts w:ascii="Arial" w:cs="Arial" w:eastAsia="Arial" w:hAnsi="Arial"/>
                <w:sz w:val="18"/>
                <w:szCs w:val="18"/>
                <w:color w:val="auto"/>
              </w:rPr>
              <w:t>22,258</w:t>
            </w:r>
          </w:p>
        </w:tc>
        <w:tc>
          <w:tcPr>
            <w:tcW w:w="1200" w:type="dxa"/>
            <w:vAlign w:val="bottom"/>
            <w:tcBorders>
              <w:right w:val="single" w:sz="8" w:color="auto"/>
            </w:tcBorders>
          </w:tcPr>
          <w:p>
            <w:pPr>
              <w:jc w:val="right"/>
              <w:ind w:right="271"/>
              <w:spacing w:after="0"/>
              <w:rPr>
                <w:sz w:val="20"/>
                <w:szCs w:val="20"/>
                <w:color w:val="auto"/>
              </w:rPr>
            </w:pPr>
            <w:r>
              <w:rPr>
                <w:rFonts w:ascii="Arial" w:cs="Arial" w:eastAsia="Arial" w:hAnsi="Arial"/>
                <w:sz w:val="18"/>
                <w:szCs w:val="18"/>
                <w:color w:val="auto"/>
              </w:rPr>
              <w:t>21,668</w:t>
            </w:r>
          </w:p>
        </w:tc>
        <w:tc>
          <w:tcPr>
            <w:tcW w:w="1180" w:type="dxa"/>
            <w:vAlign w:val="bottom"/>
            <w:tcBorders>
              <w:right w:val="single" w:sz="8" w:color="auto"/>
            </w:tcBorders>
          </w:tcPr>
          <w:p>
            <w:pPr>
              <w:jc w:val="right"/>
              <w:ind w:right="271"/>
              <w:spacing w:after="0"/>
              <w:rPr>
                <w:sz w:val="20"/>
                <w:szCs w:val="20"/>
                <w:color w:val="auto"/>
              </w:rPr>
            </w:pPr>
            <w:r>
              <w:rPr>
                <w:rFonts w:ascii="Arial" w:cs="Arial" w:eastAsia="Arial" w:hAnsi="Arial"/>
                <w:sz w:val="18"/>
                <w:szCs w:val="18"/>
                <w:color w:val="auto"/>
              </w:rPr>
              <w:t>12,818</w:t>
            </w:r>
          </w:p>
        </w:tc>
        <w:tc>
          <w:tcPr>
            <w:tcW w:w="1200" w:type="dxa"/>
            <w:vAlign w:val="bottom"/>
            <w:tcBorders>
              <w:right w:val="single" w:sz="8" w:color="auto"/>
            </w:tcBorders>
          </w:tcPr>
          <w:p>
            <w:pPr>
              <w:jc w:val="right"/>
              <w:ind w:right="271"/>
              <w:spacing w:after="0"/>
              <w:rPr>
                <w:sz w:val="20"/>
                <w:szCs w:val="20"/>
                <w:color w:val="auto"/>
              </w:rPr>
            </w:pPr>
            <w:r>
              <w:rPr>
                <w:rFonts w:ascii="Arial" w:cs="Arial" w:eastAsia="Arial" w:hAnsi="Arial"/>
                <w:sz w:val="18"/>
                <w:szCs w:val="18"/>
                <w:color w:val="auto"/>
              </w:rPr>
              <w:t>19,542</w:t>
            </w:r>
          </w:p>
        </w:tc>
        <w:tc>
          <w:tcPr>
            <w:tcW w:w="0" w:type="dxa"/>
            <w:vAlign w:val="bottom"/>
          </w:tcPr>
          <w:p>
            <w:pPr>
              <w:spacing w:after="0"/>
              <w:rPr>
                <w:sz w:val="1"/>
                <w:szCs w:val="1"/>
                <w:color w:val="auto"/>
              </w:rPr>
            </w:pPr>
          </w:p>
        </w:tc>
      </w:tr>
      <w:tr>
        <w:trPr>
          <w:trHeight w:val="68"/>
        </w:trPr>
        <w:tc>
          <w:tcPr>
            <w:tcW w:w="1900" w:type="dxa"/>
            <w:vAlign w:val="bottom"/>
            <w:tcBorders>
              <w:left w:val="single" w:sz="8" w:color="auto"/>
              <w:bottom w:val="single" w:sz="8" w:color="auto"/>
              <w:right w:val="single" w:sz="8" w:color="auto"/>
            </w:tcBorders>
          </w:tcPr>
          <w:p>
            <w:pPr>
              <w:spacing w:after="0"/>
              <w:rPr>
                <w:sz w:val="5"/>
                <w:szCs w:val="5"/>
                <w:color w:val="auto"/>
              </w:rPr>
            </w:pPr>
          </w:p>
        </w:tc>
        <w:tc>
          <w:tcPr>
            <w:tcW w:w="1240" w:type="dxa"/>
            <w:vAlign w:val="bottom"/>
            <w:tcBorders>
              <w:bottom w:val="single" w:sz="8" w:color="auto"/>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900" w:type="dxa"/>
            <w:vAlign w:val="bottom"/>
            <w:tcBorders>
              <w:left w:val="single" w:sz="8" w:color="auto"/>
              <w:bottom w:val="single" w:sz="8" w:color="auto"/>
              <w:right w:val="single" w:sz="8" w:color="auto"/>
            </w:tcBorders>
          </w:tcPr>
          <w:p>
            <w:pPr>
              <w:ind w:left="260"/>
              <w:spacing w:after="0"/>
              <w:rPr>
                <w:sz w:val="20"/>
                <w:szCs w:val="20"/>
                <w:color w:val="auto"/>
              </w:rPr>
            </w:pPr>
            <w:r>
              <w:rPr>
                <w:rFonts w:ascii="Arial" w:cs="Arial" w:eastAsia="Arial" w:hAnsi="Arial"/>
                <w:sz w:val="18"/>
                <w:szCs w:val="18"/>
                <w:b w:val="1"/>
                <w:bCs w:val="1"/>
                <w:color w:val="auto"/>
              </w:rPr>
              <w:t>Total (2)</w:t>
            </w:r>
          </w:p>
        </w:tc>
        <w:tc>
          <w:tcPr>
            <w:tcW w:w="1240" w:type="dxa"/>
            <w:vAlign w:val="bottom"/>
            <w:tcBorders>
              <w:bottom w:val="single" w:sz="8" w:color="auto"/>
              <w:right w:val="single" w:sz="8" w:color="auto"/>
            </w:tcBorders>
          </w:tcPr>
          <w:p>
            <w:pPr>
              <w:jc w:val="right"/>
              <w:ind w:right="192"/>
              <w:spacing w:after="0"/>
              <w:rPr>
                <w:sz w:val="20"/>
                <w:szCs w:val="20"/>
                <w:color w:val="auto"/>
              </w:rPr>
            </w:pPr>
            <w:r>
              <w:rPr>
                <w:rFonts w:ascii="Arial" w:cs="Arial" w:eastAsia="Arial" w:hAnsi="Arial"/>
                <w:sz w:val="18"/>
                <w:szCs w:val="18"/>
                <w:color w:val="auto"/>
              </w:rPr>
              <w:t>1,116,550</w:t>
            </w:r>
          </w:p>
        </w:tc>
        <w:tc>
          <w:tcPr>
            <w:tcW w:w="1180" w:type="dxa"/>
            <w:vAlign w:val="bottom"/>
            <w:tcBorders>
              <w:bottom w:val="single" w:sz="8" w:color="auto"/>
              <w:right w:val="single" w:sz="8" w:color="auto"/>
            </w:tcBorders>
          </w:tcPr>
          <w:p>
            <w:pPr>
              <w:jc w:val="right"/>
              <w:ind w:right="152"/>
              <w:spacing w:after="0"/>
              <w:rPr>
                <w:sz w:val="20"/>
                <w:szCs w:val="20"/>
                <w:color w:val="auto"/>
              </w:rPr>
            </w:pPr>
            <w:r>
              <w:rPr>
                <w:rFonts w:ascii="Arial" w:cs="Arial" w:eastAsia="Arial" w:hAnsi="Arial"/>
                <w:sz w:val="18"/>
                <w:szCs w:val="18"/>
                <w:color w:val="auto"/>
              </w:rPr>
              <w:t>1,109,383</w:t>
            </w:r>
          </w:p>
        </w:tc>
        <w:tc>
          <w:tcPr>
            <w:tcW w:w="1180" w:type="dxa"/>
            <w:vAlign w:val="bottom"/>
            <w:tcBorders>
              <w:bottom w:val="single" w:sz="8" w:color="auto"/>
              <w:right w:val="single" w:sz="8" w:color="auto"/>
            </w:tcBorders>
          </w:tcPr>
          <w:p>
            <w:pPr>
              <w:jc w:val="right"/>
              <w:ind w:right="212"/>
              <w:spacing w:after="0"/>
              <w:rPr>
                <w:sz w:val="20"/>
                <w:szCs w:val="20"/>
                <w:color w:val="auto"/>
              </w:rPr>
            </w:pPr>
            <w:r>
              <w:rPr>
                <w:rFonts w:ascii="Arial" w:cs="Arial" w:eastAsia="Arial" w:hAnsi="Arial"/>
                <w:sz w:val="18"/>
                <w:szCs w:val="18"/>
                <w:color w:val="auto"/>
              </w:rPr>
              <w:t>149,259</w:t>
            </w:r>
          </w:p>
        </w:tc>
        <w:tc>
          <w:tcPr>
            <w:tcW w:w="1200" w:type="dxa"/>
            <w:vAlign w:val="bottom"/>
            <w:tcBorders>
              <w:bottom w:val="single" w:sz="8" w:color="auto"/>
              <w:right w:val="single" w:sz="8" w:color="auto"/>
            </w:tcBorders>
          </w:tcPr>
          <w:p>
            <w:pPr>
              <w:jc w:val="right"/>
              <w:ind w:right="271"/>
              <w:spacing w:after="0"/>
              <w:rPr>
                <w:sz w:val="20"/>
                <w:szCs w:val="20"/>
                <w:color w:val="auto"/>
              </w:rPr>
            </w:pPr>
            <w:r>
              <w:rPr>
                <w:rFonts w:ascii="Arial" w:cs="Arial" w:eastAsia="Arial" w:hAnsi="Arial"/>
                <w:sz w:val="18"/>
                <w:szCs w:val="18"/>
                <w:color w:val="auto"/>
              </w:rPr>
              <w:t>99,597</w:t>
            </w:r>
          </w:p>
        </w:tc>
        <w:tc>
          <w:tcPr>
            <w:tcW w:w="1180" w:type="dxa"/>
            <w:vAlign w:val="bottom"/>
            <w:tcBorders>
              <w:bottom w:val="single" w:sz="8" w:color="auto"/>
              <w:right w:val="single" w:sz="8" w:color="auto"/>
            </w:tcBorders>
          </w:tcPr>
          <w:p>
            <w:pPr>
              <w:jc w:val="right"/>
              <w:ind w:right="271"/>
              <w:spacing w:after="0"/>
              <w:rPr>
                <w:sz w:val="20"/>
                <w:szCs w:val="20"/>
                <w:color w:val="auto"/>
              </w:rPr>
            </w:pPr>
            <w:r>
              <w:rPr>
                <w:rFonts w:ascii="Arial" w:cs="Arial" w:eastAsia="Arial" w:hAnsi="Arial"/>
                <w:sz w:val="18"/>
                <w:szCs w:val="18"/>
                <w:color w:val="auto"/>
              </w:rPr>
              <w:t>61,482</w:t>
            </w:r>
          </w:p>
        </w:tc>
        <w:tc>
          <w:tcPr>
            <w:tcW w:w="1200" w:type="dxa"/>
            <w:vAlign w:val="bottom"/>
            <w:tcBorders>
              <w:bottom w:val="single" w:sz="8" w:color="auto"/>
              <w:right w:val="single" w:sz="8" w:color="auto"/>
            </w:tcBorders>
          </w:tcPr>
          <w:p>
            <w:pPr>
              <w:jc w:val="right"/>
              <w:ind w:right="271"/>
              <w:spacing w:after="0"/>
              <w:rPr>
                <w:sz w:val="20"/>
                <w:szCs w:val="20"/>
                <w:color w:val="auto"/>
              </w:rPr>
            </w:pPr>
            <w:r>
              <w:rPr>
                <w:rFonts w:ascii="Arial" w:cs="Arial" w:eastAsia="Arial" w:hAnsi="Arial"/>
                <w:sz w:val="18"/>
                <w:szCs w:val="18"/>
                <w:color w:val="auto"/>
              </w:rPr>
              <w:t>79,044</w:t>
            </w: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1440" w:right="1140" w:hanging="352"/>
        <w:spacing w:after="0" w:line="249" w:lineRule="auto"/>
        <w:tabs>
          <w:tab w:leader="none" w:pos="144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The value of the use of corporate aircraft is calculated based on the aggregate incremental cost to the Company, including fuel costs, trip-related maintenance, universal weather-monitoring costs, on-board catering, landing/ramp fees and other miscellaneous variable costs. Fixed costs which do not change based on usage, such as pilot salaries, the amortized costs of the company aircraft, and the cost of maintenance not related to trips, are excluded. Amounts for personal use of company aircraft are included in the table. This incremental cost valuation of aircraft use is different from the standard industry fare level valuation used to impute income to the executives for tax purposes.</w:t>
      </w:r>
    </w:p>
    <w:p>
      <w:pPr>
        <w:ind w:left="1440" w:right="1060" w:hanging="352"/>
        <w:spacing w:after="0" w:line="226" w:lineRule="auto"/>
        <w:tabs>
          <w:tab w:leader="none" w:pos="14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All perquisites excluding aircraft, retirement plan and health savings account company match are limited to $500,000 for Mr. C.H. Lindner III and Mr. S.C. Lindner. For Mr. C.H. Lindner and Mr. S.C. Lindner, such perquisites totaled $1,299,188 and $1,243,027, respectively, and each reimbursed the Company for the excess of $182,639 and $133,644, respectively. Amounts shown for all items except “Total” do not give effect to any repayment, but the “Totals” for Mr. C.H. Lindner and Mr. S.C. Lindner have been reduced by the amounts reimbursed and the reduced amounts are set forth for 2019 in the “All Other Compensation” column for each of them.</w:t>
      </w:r>
    </w:p>
    <w:p>
      <w:pPr>
        <w:spacing w:after="0" w:line="3" w:lineRule="exact"/>
        <w:rPr>
          <w:rFonts w:ascii="Arial" w:cs="Arial" w:eastAsia="Arial" w:hAnsi="Arial"/>
          <w:sz w:val="14"/>
          <w:szCs w:val="14"/>
          <w:color w:val="auto"/>
        </w:rPr>
      </w:pPr>
    </w:p>
    <w:p>
      <w:pPr>
        <w:ind w:left="1440" w:right="1260" w:hanging="352"/>
        <w:spacing w:after="0" w:line="231" w:lineRule="auto"/>
        <w:tabs>
          <w:tab w:leader="none" w:pos="14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Aircraft usage for Mr. Consolino relates solely to travel related to attending meetings of Boards of Directors, other than the Company, on which he served during 2019.</w:t>
      </w:r>
    </w:p>
    <w:p>
      <w:pPr>
        <w:ind w:left="1440" w:right="1120" w:hanging="352"/>
        <w:spacing w:after="0" w:line="237" w:lineRule="auto"/>
        <w:tabs>
          <w:tab w:leader="none" w:pos="14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 xml:space="preserve">For information regarding the RASP and Auxiliary RASP, see “Compensation Discussion and Analysis—Retirement and Other Related Benefits” on page </w:t>
      </w:r>
      <w:hyperlink w:anchor="page42">
        <w:r>
          <w:rPr>
            <w:rFonts w:ascii="Arial" w:cs="Arial" w:eastAsia="Arial" w:hAnsi="Arial"/>
            <w:sz w:val="14"/>
            <w:szCs w:val="14"/>
            <w:u w:val="single" w:color="auto"/>
            <w:color w:val="0000EE"/>
          </w:rPr>
          <w:t>35</w:t>
        </w:r>
      </w:hyperlink>
      <w:r>
        <w:rPr>
          <w:rFonts w:ascii="Arial" w:cs="Arial" w:eastAsia="Arial" w:hAnsi="Arial"/>
          <w:sz w:val="14"/>
          <w:szCs w:val="14"/>
          <w:color w:val="auto"/>
        </w:rPr>
        <w:t>.</w:t>
      </w:r>
    </w:p>
    <w:p>
      <w:pPr>
        <w:ind w:left="1440" w:right="1260" w:hanging="352"/>
        <w:spacing w:after="0" w:line="243" w:lineRule="auto"/>
        <w:tabs>
          <w:tab w:leader="none" w:pos="14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Includes group life insurance; car, parking and related expenses; business club dues; security services; and health savings account company match. Also includes estimated amounts for meals and entertainment and administrative services.</w:t>
      </w:r>
    </w:p>
    <w:p>
      <w:pPr>
        <w:spacing w:after="0" w:line="190" w:lineRule="exact"/>
        <w:rPr>
          <w:sz w:val="20"/>
          <w:szCs w:val="20"/>
          <w:color w:val="auto"/>
        </w:rPr>
      </w:pPr>
    </w:p>
    <w:p>
      <w:pPr>
        <w:ind w:left="1080"/>
        <w:spacing w:after="0"/>
        <w:rPr>
          <w:sz w:val="20"/>
          <w:szCs w:val="20"/>
          <w:color w:val="auto"/>
        </w:rPr>
      </w:pPr>
      <w:r>
        <w:rPr>
          <w:rFonts w:ascii="Arial" w:cs="Arial" w:eastAsia="Arial" w:hAnsi="Arial"/>
          <w:sz w:val="20"/>
          <w:szCs w:val="20"/>
          <w:b w:val="1"/>
          <w:bCs w:val="1"/>
          <w:color w:val="3F3F3F"/>
        </w:rPr>
        <w:t>Potential Payments upon Termination or Change in Control</w:t>
      </w:r>
    </w:p>
    <w:p>
      <w:pPr>
        <w:spacing w:after="0" w:line="116" w:lineRule="exact"/>
        <w:rPr>
          <w:sz w:val="20"/>
          <w:szCs w:val="20"/>
          <w:color w:val="auto"/>
        </w:rPr>
      </w:pPr>
    </w:p>
    <w:p>
      <w:pPr>
        <w:ind w:left="1080" w:right="1180"/>
        <w:spacing w:after="0" w:line="273" w:lineRule="auto"/>
        <w:rPr>
          <w:sz w:val="20"/>
          <w:szCs w:val="20"/>
          <w:color w:val="auto"/>
        </w:rPr>
      </w:pPr>
      <w:r>
        <w:rPr>
          <w:rFonts w:ascii="Arial" w:cs="Arial" w:eastAsia="Arial" w:hAnsi="Arial"/>
          <w:sz w:val="17"/>
          <w:szCs w:val="17"/>
          <w:color w:val="auto"/>
        </w:rPr>
        <w:t>As described in the Compensation Discussion and Analysis section, the named executive officers do not have employment, severance or change in control agreements with the Company. Except for the acceleration of vesting of awards under long-term incentive compensation plans and awards granted before 2016 under the Company’s shareholder-approved equity incentive plans upon a change in control, which acceleration applies to all holders of awards under such plans, no amounts become payable to the named executive officers under severance or change in control arrangements. Equity awards made beginning in 2016 are subject to a double trigger.</w:t>
      </w:r>
    </w:p>
    <w:p>
      <w:pPr>
        <w:spacing w:after="0" w:line="290" w:lineRule="exact"/>
        <w:rPr>
          <w:sz w:val="20"/>
          <w:szCs w:val="20"/>
          <w:color w:val="auto"/>
        </w:rPr>
      </w:pPr>
    </w:p>
    <w:tbl>
      <w:tblPr>
        <w:tblLayout w:type="fixed"/>
        <w:tblInd w:w="120" w:type="dxa"/>
        <w:tblCellMar>
          <w:top w:w="0" w:type="dxa"/>
          <w:left w:w="0" w:type="dxa"/>
          <w:bottom w:w="0" w:type="dxa"/>
          <w:right w:w="0" w:type="dxa"/>
        </w:tblCellMar>
      </w:tblPr>
      <w:tr>
        <w:trPr>
          <w:trHeight w:val="206"/>
        </w:trPr>
        <w:tc>
          <w:tcPr>
            <w:tcW w:w="7040" w:type="dxa"/>
            <w:vAlign w:val="bottom"/>
          </w:tcPr>
          <w:p>
            <w:pPr>
              <w:ind w:left="1040"/>
              <w:spacing w:after="0"/>
              <w:rPr>
                <w:sz w:val="20"/>
                <w:szCs w:val="20"/>
                <w:color w:val="auto"/>
              </w:rPr>
            </w:pPr>
            <w:r>
              <w:rPr>
                <w:rFonts w:ascii="Arial" w:cs="Arial" w:eastAsia="Arial" w:hAnsi="Arial"/>
                <w:sz w:val="16"/>
                <w:szCs w:val="16"/>
                <w:color w:val="auto"/>
              </w:rPr>
              <w:t>2020 Proxy Statement | Executive Compensation</w:t>
            </w:r>
          </w:p>
        </w:tc>
        <w:tc>
          <w:tcPr>
            <w:tcW w:w="3980" w:type="dxa"/>
            <w:vAlign w:val="bottom"/>
          </w:tcPr>
          <w:p>
            <w:pPr>
              <w:jc w:val="right"/>
              <w:ind w:right="919"/>
              <w:spacing w:after="0"/>
              <w:rPr>
                <w:sz w:val="20"/>
                <w:szCs w:val="20"/>
                <w:color w:val="auto"/>
              </w:rPr>
            </w:pPr>
            <w:r>
              <w:rPr>
                <w:rFonts w:ascii="Arial" w:cs="Arial" w:eastAsia="Arial" w:hAnsi="Arial"/>
                <w:sz w:val="16"/>
                <w:szCs w:val="16"/>
                <w:color w:val="auto"/>
              </w:rPr>
              <w:t>37</w:t>
            </w:r>
          </w:p>
        </w:tc>
      </w:tr>
      <w:tr>
        <w:trPr>
          <w:trHeight w:val="188"/>
        </w:trPr>
        <w:tc>
          <w:tcPr>
            <w:tcW w:w="7040" w:type="dxa"/>
            <w:vAlign w:val="bottom"/>
            <w:tcBorders>
              <w:bottom w:val="single" w:sz="8" w:color="auto"/>
            </w:tcBorders>
          </w:tcPr>
          <w:p>
            <w:pPr>
              <w:spacing w:after="0"/>
              <w:rPr>
                <w:sz w:val="16"/>
                <w:szCs w:val="16"/>
                <w:color w:val="auto"/>
              </w:rPr>
            </w:pPr>
          </w:p>
        </w:tc>
        <w:tc>
          <w:tcPr>
            <w:tcW w:w="3980" w:type="dxa"/>
            <w:vAlign w:val="bottom"/>
            <w:tcBorders>
              <w:bottom w:val="single" w:sz="8" w:color="auto"/>
            </w:tcBorders>
          </w:tcPr>
          <w:p>
            <w:pPr>
              <w:spacing w:after="0"/>
              <w:rPr>
                <w:sz w:val="16"/>
                <w:szCs w:val="16"/>
                <w:color w:val="auto"/>
              </w:rPr>
            </w:pPr>
          </w:p>
        </w:tc>
      </w:tr>
    </w:tbl>
    <w:p>
      <w:pPr>
        <w:sectPr>
          <w:pgSz w:w="11900" w:h="16838" w:orient="portrait"/>
          <w:cols w:equalWidth="0" w:num="1">
            <w:col w:w="11140"/>
          </w:cols>
          <w:pgMar w:left="320" w:top="265" w:right="439" w:bottom="1440" w:gutter="0" w:footer="0" w:header="0"/>
        </w:sectPr>
      </w:pPr>
    </w:p>
    <w:bookmarkStart w:id="44" w:name="page45"/>
    <w:bookmarkEnd w:id="44"/>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6515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1080"/>
        <w:spacing w:after="0"/>
        <w:rPr>
          <w:sz w:val="20"/>
          <w:szCs w:val="20"/>
          <w:color w:val="auto"/>
        </w:rPr>
      </w:pPr>
      <w:r>
        <w:rPr>
          <w:rFonts w:ascii="Arial" w:cs="Arial" w:eastAsia="Arial" w:hAnsi="Arial"/>
          <w:sz w:val="20"/>
          <w:szCs w:val="20"/>
          <w:b w:val="1"/>
          <w:bCs w:val="1"/>
          <w:color w:val="3F3F3F"/>
        </w:rPr>
        <w:t>Grants of Plan-Based Awards</w:t>
      </w:r>
    </w:p>
    <w:p>
      <w:pPr>
        <w:spacing w:after="0" w:line="191" w:lineRule="exact"/>
        <w:rPr>
          <w:sz w:val="20"/>
          <w:szCs w:val="20"/>
          <w:color w:val="auto"/>
        </w:rPr>
      </w:pPr>
    </w:p>
    <w:tbl>
      <w:tblPr>
        <w:tblLayout w:type="fixed"/>
        <w:tblInd w:w="1090" w:type="dxa"/>
        <w:tblCellMar>
          <w:top w:w="0" w:type="dxa"/>
          <w:left w:w="0" w:type="dxa"/>
          <w:bottom w:w="0" w:type="dxa"/>
          <w:right w:w="0" w:type="dxa"/>
        </w:tblCellMar>
      </w:tblPr>
      <w:tr>
        <w:trPr>
          <w:trHeight w:val="247"/>
        </w:trPr>
        <w:tc>
          <w:tcPr>
            <w:tcW w:w="1880" w:type="dxa"/>
            <w:vAlign w:val="bottom"/>
            <w:tcBorders>
              <w:top w:val="single" w:sz="8" w:color="auto"/>
              <w:left w:val="single" w:sz="8" w:color="auto"/>
              <w:right w:val="single" w:sz="8" w:color="auto"/>
            </w:tcBorders>
            <w:shd w:val="clear" w:color="auto" w:fill="BFBFBF"/>
          </w:tcPr>
          <w:p>
            <w:pPr>
              <w:spacing w:after="0"/>
              <w:rPr>
                <w:sz w:val="21"/>
                <w:szCs w:val="21"/>
                <w:color w:val="auto"/>
              </w:rPr>
            </w:pPr>
          </w:p>
        </w:tc>
        <w:tc>
          <w:tcPr>
            <w:tcW w:w="1180" w:type="dxa"/>
            <w:vAlign w:val="bottom"/>
            <w:tcBorders>
              <w:top w:val="single" w:sz="8" w:color="auto"/>
              <w:right w:val="single" w:sz="8" w:color="auto"/>
            </w:tcBorders>
            <w:shd w:val="clear" w:color="auto" w:fill="BFBFBF"/>
          </w:tcPr>
          <w:p>
            <w:pPr>
              <w:spacing w:after="0"/>
              <w:rPr>
                <w:sz w:val="21"/>
                <w:szCs w:val="21"/>
                <w:color w:val="auto"/>
              </w:rPr>
            </w:pPr>
          </w:p>
        </w:tc>
        <w:tc>
          <w:tcPr>
            <w:tcW w:w="140" w:type="dxa"/>
            <w:vAlign w:val="bottom"/>
            <w:tcBorders>
              <w:top w:val="single" w:sz="8" w:color="auto"/>
            </w:tcBorders>
            <w:shd w:val="clear" w:color="auto" w:fill="BFBFBF"/>
          </w:tcPr>
          <w:p>
            <w:pPr>
              <w:spacing w:after="0"/>
              <w:rPr>
                <w:sz w:val="21"/>
                <w:szCs w:val="21"/>
                <w:color w:val="auto"/>
              </w:rPr>
            </w:pPr>
          </w:p>
        </w:tc>
        <w:tc>
          <w:tcPr>
            <w:tcW w:w="820" w:type="dxa"/>
            <w:vAlign w:val="bottom"/>
            <w:tcBorders>
              <w:top w:val="single" w:sz="8" w:color="auto"/>
              <w:right w:val="single" w:sz="8" w:color="BFBFBF"/>
            </w:tcBorders>
            <w:shd w:val="clear" w:color="auto" w:fill="BFBFBF"/>
          </w:tcPr>
          <w:p>
            <w:pPr>
              <w:spacing w:after="0"/>
              <w:rPr>
                <w:sz w:val="21"/>
                <w:szCs w:val="21"/>
                <w:color w:val="auto"/>
              </w:rPr>
            </w:pPr>
          </w:p>
        </w:tc>
        <w:tc>
          <w:tcPr>
            <w:tcW w:w="960" w:type="dxa"/>
            <w:vAlign w:val="bottom"/>
            <w:tcBorders>
              <w:top w:val="single" w:sz="8" w:color="auto"/>
              <w:right w:val="single" w:sz="8" w:color="BFBFBF"/>
            </w:tcBorders>
            <w:shd w:val="clear" w:color="auto" w:fill="BFBFBF"/>
          </w:tcPr>
          <w:p>
            <w:pPr>
              <w:spacing w:after="0"/>
              <w:rPr>
                <w:sz w:val="21"/>
                <w:szCs w:val="21"/>
                <w:color w:val="auto"/>
              </w:rPr>
            </w:pPr>
          </w:p>
        </w:tc>
        <w:tc>
          <w:tcPr>
            <w:tcW w:w="980" w:type="dxa"/>
            <w:vAlign w:val="bottom"/>
            <w:tcBorders>
              <w:top w:val="single" w:sz="8" w:color="auto"/>
              <w:right w:val="single" w:sz="8" w:color="auto"/>
            </w:tcBorders>
            <w:shd w:val="clear" w:color="auto" w:fill="BFBFBF"/>
          </w:tcPr>
          <w:p>
            <w:pPr>
              <w:spacing w:after="0"/>
              <w:rPr>
                <w:sz w:val="21"/>
                <w:szCs w:val="21"/>
                <w:color w:val="auto"/>
              </w:rPr>
            </w:pPr>
          </w:p>
        </w:tc>
        <w:tc>
          <w:tcPr>
            <w:tcW w:w="980" w:type="dxa"/>
            <w:vAlign w:val="bottom"/>
            <w:tcBorders>
              <w:top w:val="single" w:sz="8" w:color="auto"/>
              <w:right w:val="single" w:sz="8" w:color="auto"/>
            </w:tcBorders>
            <w:shd w:val="clear" w:color="auto" w:fill="BFBFBF"/>
          </w:tcPr>
          <w:p>
            <w:pPr>
              <w:jc w:val="center"/>
              <w:ind w:right="3"/>
              <w:spacing w:after="0"/>
              <w:rPr>
                <w:sz w:val="20"/>
                <w:szCs w:val="20"/>
                <w:color w:val="auto"/>
              </w:rPr>
            </w:pPr>
            <w:r>
              <w:rPr>
                <w:rFonts w:ascii="Arial" w:cs="Arial" w:eastAsia="Arial" w:hAnsi="Arial"/>
                <w:sz w:val="14"/>
                <w:szCs w:val="14"/>
                <w:b w:val="1"/>
                <w:bCs w:val="1"/>
                <w:color w:val="3F3F3F"/>
                <w:w w:val="95"/>
              </w:rPr>
              <w:t>All other</w:t>
            </w:r>
          </w:p>
        </w:tc>
        <w:tc>
          <w:tcPr>
            <w:tcW w:w="860" w:type="dxa"/>
            <w:vAlign w:val="bottom"/>
            <w:tcBorders>
              <w:top w:val="single" w:sz="8" w:color="auto"/>
              <w:right w:val="single" w:sz="8" w:color="auto"/>
            </w:tcBorders>
            <w:shd w:val="clear" w:color="auto" w:fill="BFBFBF"/>
          </w:tcPr>
          <w:p>
            <w:pPr>
              <w:spacing w:after="0"/>
              <w:rPr>
                <w:sz w:val="21"/>
                <w:szCs w:val="21"/>
                <w:color w:val="auto"/>
              </w:rPr>
            </w:pPr>
          </w:p>
        </w:tc>
        <w:tc>
          <w:tcPr>
            <w:tcW w:w="1280" w:type="dxa"/>
            <w:vAlign w:val="bottom"/>
            <w:tcBorders>
              <w:top w:val="single" w:sz="8" w:color="auto"/>
              <w:right w:val="single" w:sz="8" w:color="auto"/>
            </w:tcBorders>
            <w:shd w:val="clear" w:color="auto" w:fill="BFBFBF"/>
          </w:tcPr>
          <w:p>
            <w:pPr>
              <w:spacing w:after="0"/>
              <w:rPr>
                <w:sz w:val="21"/>
                <w:szCs w:val="21"/>
                <w:color w:val="auto"/>
              </w:rPr>
            </w:pPr>
          </w:p>
        </w:tc>
        <w:tc>
          <w:tcPr>
            <w:tcW w:w="0" w:type="dxa"/>
            <w:vAlign w:val="bottom"/>
          </w:tcPr>
          <w:p>
            <w:pPr>
              <w:spacing w:after="0"/>
              <w:rPr>
                <w:sz w:val="1"/>
                <w:szCs w:val="1"/>
                <w:color w:val="auto"/>
              </w:rPr>
            </w:pPr>
          </w:p>
        </w:tc>
      </w:tr>
      <w:tr>
        <w:trPr>
          <w:trHeight w:val="148"/>
        </w:trPr>
        <w:tc>
          <w:tcPr>
            <w:tcW w:w="1880" w:type="dxa"/>
            <w:vAlign w:val="bottom"/>
            <w:tcBorders>
              <w:left w:val="single" w:sz="8" w:color="auto"/>
              <w:right w:val="single" w:sz="8" w:color="auto"/>
            </w:tcBorders>
            <w:shd w:val="clear" w:color="auto" w:fill="BFBFBF"/>
          </w:tcPr>
          <w:p>
            <w:pPr>
              <w:spacing w:after="0"/>
              <w:rPr>
                <w:sz w:val="12"/>
                <w:szCs w:val="12"/>
                <w:color w:val="auto"/>
              </w:rPr>
            </w:pPr>
          </w:p>
        </w:tc>
        <w:tc>
          <w:tcPr>
            <w:tcW w:w="1180" w:type="dxa"/>
            <w:vAlign w:val="bottom"/>
            <w:tcBorders>
              <w:right w:val="single" w:sz="8" w:color="auto"/>
            </w:tcBorders>
            <w:shd w:val="clear" w:color="auto" w:fill="BFBFBF"/>
          </w:tcPr>
          <w:p>
            <w:pPr>
              <w:spacing w:after="0"/>
              <w:rPr>
                <w:sz w:val="12"/>
                <w:szCs w:val="12"/>
                <w:color w:val="auto"/>
              </w:rPr>
            </w:pPr>
          </w:p>
        </w:tc>
        <w:tc>
          <w:tcPr>
            <w:tcW w:w="140" w:type="dxa"/>
            <w:vAlign w:val="bottom"/>
            <w:shd w:val="clear" w:color="auto" w:fill="BFBFBF"/>
          </w:tcPr>
          <w:p>
            <w:pPr>
              <w:spacing w:after="0"/>
              <w:rPr>
                <w:sz w:val="12"/>
                <w:szCs w:val="12"/>
                <w:color w:val="auto"/>
              </w:rPr>
            </w:pPr>
          </w:p>
        </w:tc>
        <w:tc>
          <w:tcPr>
            <w:tcW w:w="2760" w:type="dxa"/>
            <w:vAlign w:val="bottom"/>
            <w:tcBorders>
              <w:right w:val="single" w:sz="8" w:color="auto"/>
            </w:tcBorders>
            <w:gridSpan w:val="3"/>
            <w:vMerge w:val="restart"/>
            <w:shd w:val="clear" w:color="auto" w:fill="BFBFBF"/>
          </w:tcPr>
          <w:p>
            <w:pPr>
              <w:jc w:val="center"/>
              <w:ind w:right="160"/>
              <w:spacing w:after="0"/>
              <w:rPr>
                <w:sz w:val="20"/>
                <w:szCs w:val="20"/>
                <w:color w:val="auto"/>
              </w:rPr>
            </w:pPr>
            <w:r>
              <w:rPr>
                <w:rFonts w:ascii="Arial" w:cs="Arial" w:eastAsia="Arial" w:hAnsi="Arial"/>
                <w:sz w:val="14"/>
                <w:szCs w:val="14"/>
                <w:b w:val="1"/>
                <w:bCs w:val="1"/>
                <w:color w:val="3F3F3F"/>
                <w:w w:val="92"/>
              </w:rPr>
              <w:t>Estimated Future Payouts</w:t>
            </w:r>
          </w:p>
        </w:tc>
        <w:tc>
          <w:tcPr>
            <w:tcW w:w="980" w:type="dxa"/>
            <w:vAlign w:val="bottom"/>
            <w:tcBorders>
              <w:right w:val="single" w:sz="8" w:color="auto"/>
            </w:tcBorders>
            <w:shd w:val="clear" w:color="auto" w:fill="BFBFBF"/>
          </w:tcPr>
          <w:p>
            <w:pPr>
              <w:jc w:val="center"/>
              <w:ind w:right="3"/>
              <w:spacing w:after="0" w:line="149" w:lineRule="exact"/>
              <w:rPr>
                <w:sz w:val="20"/>
                <w:szCs w:val="20"/>
                <w:color w:val="auto"/>
              </w:rPr>
            </w:pPr>
            <w:r>
              <w:rPr>
                <w:rFonts w:ascii="Arial" w:cs="Arial" w:eastAsia="Arial" w:hAnsi="Arial"/>
                <w:sz w:val="14"/>
                <w:szCs w:val="14"/>
                <w:b w:val="1"/>
                <w:bCs w:val="1"/>
                <w:color w:val="3F3F3F"/>
                <w:w w:val="89"/>
              </w:rPr>
              <w:t>Stock</w:t>
            </w:r>
          </w:p>
        </w:tc>
        <w:tc>
          <w:tcPr>
            <w:tcW w:w="860" w:type="dxa"/>
            <w:vAlign w:val="bottom"/>
            <w:tcBorders>
              <w:right w:val="single" w:sz="8" w:color="auto"/>
            </w:tcBorders>
            <w:vMerge w:val="restart"/>
            <w:shd w:val="clear" w:color="auto" w:fill="BFBFBF"/>
          </w:tcPr>
          <w:p>
            <w:pPr>
              <w:jc w:val="center"/>
              <w:ind w:right="3"/>
              <w:spacing w:after="0"/>
              <w:rPr>
                <w:sz w:val="20"/>
                <w:szCs w:val="20"/>
                <w:color w:val="auto"/>
              </w:rPr>
            </w:pPr>
            <w:r>
              <w:rPr>
                <w:rFonts w:ascii="Arial" w:cs="Arial" w:eastAsia="Arial" w:hAnsi="Arial"/>
                <w:sz w:val="14"/>
                <w:szCs w:val="14"/>
                <w:b w:val="1"/>
                <w:bCs w:val="1"/>
                <w:color w:val="3F3F3F"/>
                <w:w w:val="89"/>
              </w:rPr>
              <w:t>Closing</w:t>
            </w:r>
          </w:p>
        </w:tc>
        <w:tc>
          <w:tcPr>
            <w:tcW w:w="1280" w:type="dxa"/>
            <w:vAlign w:val="bottom"/>
            <w:tcBorders>
              <w:right w:val="single" w:sz="8" w:color="auto"/>
            </w:tcBorders>
            <w:shd w:val="clear" w:color="auto" w:fill="BFBFB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880" w:type="dxa"/>
            <w:vAlign w:val="bottom"/>
            <w:tcBorders>
              <w:left w:val="single" w:sz="8" w:color="auto"/>
              <w:right w:val="single" w:sz="8" w:color="auto"/>
            </w:tcBorders>
            <w:shd w:val="clear" w:color="auto" w:fill="BFBFBF"/>
          </w:tcPr>
          <w:p>
            <w:pPr>
              <w:spacing w:after="0"/>
              <w:rPr>
                <w:sz w:val="12"/>
                <w:szCs w:val="12"/>
                <w:color w:val="auto"/>
              </w:rPr>
            </w:pPr>
          </w:p>
        </w:tc>
        <w:tc>
          <w:tcPr>
            <w:tcW w:w="1180" w:type="dxa"/>
            <w:vAlign w:val="bottom"/>
            <w:tcBorders>
              <w:right w:val="single" w:sz="8" w:color="auto"/>
            </w:tcBorders>
            <w:shd w:val="clear" w:color="auto" w:fill="BFBFBF"/>
          </w:tcPr>
          <w:p>
            <w:pPr>
              <w:spacing w:after="0"/>
              <w:rPr>
                <w:sz w:val="12"/>
                <w:szCs w:val="12"/>
                <w:color w:val="auto"/>
              </w:rPr>
            </w:pPr>
          </w:p>
        </w:tc>
        <w:tc>
          <w:tcPr>
            <w:tcW w:w="140" w:type="dxa"/>
            <w:vAlign w:val="bottom"/>
            <w:shd w:val="clear" w:color="auto" w:fill="BFBFBF"/>
          </w:tcPr>
          <w:p>
            <w:pPr>
              <w:spacing w:after="0"/>
              <w:rPr>
                <w:sz w:val="12"/>
                <w:szCs w:val="12"/>
                <w:color w:val="auto"/>
              </w:rPr>
            </w:pPr>
          </w:p>
        </w:tc>
        <w:tc>
          <w:tcPr>
            <w:tcW w:w="2760" w:type="dxa"/>
            <w:vAlign w:val="bottom"/>
            <w:tcBorders>
              <w:right w:val="single" w:sz="8" w:color="auto"/>
            </w:tcBorders>
            <w:gridSpan w:val="3"/>
            <w:vMerge w:val="continue"/>
            <w:shd w:val="clear" w:color="auto" w:fill="BFBFBF"/>
          </w:tcPr>
          <w:p>
            <w:pPr>
              <w:spacing w:after="0"/>
              <w:rPr>
                <w:sz w:val="12"/>
                <w:szCs w:val="12"/>
                <w:color w:val="auto"/>
              </w:rPr>
            </w:pPr>
          </w:p>
        </w:tc>
        <w:tc>
          <w:tcPr>
            <w:tcW w:w="980" w:type="dxa"/>
            <w:vAlign w:val="bottom"/>
            <w:tcBorders>
              <w:right w:val="single" w:sz="8" w:color="auto"/>
            </w:tcBorders>
            <w:shd w:val="clear" w:color="auto" w:fill="BFBFBF"/>
          </w:tcPr>
          <w:p>
            <w:pPr>
              <w:jc w:val="center"/>
              <w:ind w:right="3"/>
              <w:spacing w:after="0" w:line="145" w:lineRule="exact"/>
              <w:rPr>
                <w:sz w:val="20"/>
                <w:szCs w:val="20"/>
                <w:color w:val="auto"/>
              </w:rPr>
            </w:pPr>
            <w:r>
              <w:rPr>
                <w:rFonts w:ascii="Arial" w:cs="Arial" w:eastAsia="Arial" w:hAnsi="Arial"/>
                <w:sz w:val="14"/>
                <w:szCs w:val="14"/>
                <w:b w:val="1"/>
                <w:bCs w:val="1"/>
                <w:color w:val="3F3F3F"/>
                <w:w w:val="90"/>
              </w:rPr>
              <w:t>Awards:</w:t>
            </w:r>
          </w:p>
        </w:tc>
        <w:tc>
          <w:tcPr>
            <w:tcW w:w="860" w:type="dxa"/>
            <w:vAlign w:val="bottom"/>
            <w:tcBorders>
              <w:right w:val="single" w:sz="8" w:color="auto"/>
            </w:tcBorders>
            <w:vMerge w:val="continue"/>
            <w:shd w:val="clear" w:color="auto" w:fill="BFBFBF"/>
          </w:tcPr>
          <w:p>
            <w:pPr>
              <w:spacing w:after="0"/>
              <w:rPr>
                <w:sz w:val="12"/>
                <w:szCs w:val="12"/>
                <w:color w:val="auto"/>
              </w:rPr>
            </w:pPr>
          </w:p>
        </w:tc>
        <w:tc>
          <w:tcPr>
            <w:tcW w:w="1280" w:type="dxa"/>
            <w:vAlign w:val="bottom"/>
            <w:tcBorders>
              <w:right w:val="single" w:sz="8" w:color="auto"/>
            </w:tcBorders>
            <w:shd w:val="clear" w:color="auto" w:fill="BFBFB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80" w:type="dxa"/>
            <w:vAlign w:val="bottom"/>
            <w:tcBorders>
              <w:left w:val="single" w:sz="8" w:color="auto"/>
              <w:right w:val="single" w:sz="8" w:color="auto"/>
            </w:tcBorders>
            <w:shd w:val="clear" w:color="auto" w:fill="BFBFBF"/>
          </w:tcPr>
          <w:p>
            <w:pPr>
              <w:spacing w:after="0"/>
              <w:rPr>
                <w:sz w:val="12"/>
                <w:szCs w:val="12"/>
                <w:color w:val="auto"/>
              </w:rPr>
            </w:pPr>
          </w:p>
        </w:tc>
        <w:tc>
          <w:tcPr>
            <w:tcW w:w="1180" w:type="dxa"/>
            <w:vAlign w:val="bottom"/>
            <w:tcBorders>
              <w:right w:val="single" w:sz="8" w:color="auto"/>
            </w:tcBorders>
            <w:shd w:val="clear" w:color="auto" w:fill="BFBFBF"/>
          </w:tcPr>
          <w:p>
            <w:pPr>
              <w:spacing w:after="0"/>
              <w:rPr>
                <w:sz w:val="12"/>
                <w:szCs w:val="12"/>
                <w:color w:val="auto"/>
              </w:rPr>
            </w:pPr>
          </w:p>
        </w:tc>
        <w:tc>
          <w:tcPr>
            <w:tcW w:w="140" w:type="dxa"/>
            <w:vAlign w:val="bottom"/>
            <w:shd w:val="clear" w:color="auto" w:fill="BFBFBF"/>
          </w:tcPr>
          <w:p>
            <w:pPr>
              <w:spacing w:after="0"/>
              <w:rPr>
                <w:sz w:val="12"/>
                <w:szCs w:val="12"/>
                <w:color w:val="auto"/>
              </w:rPr>
            </w:pPr>
          </w:p>
        </w:tc>
        <w:tc>
          <w:tcPr>
            <w:tcW w:w="2760" w:type="dxa"/>
            <w:vAlign w:val="bottom"/>
            <w:tcBorders>
              <w:right w:val="single" w:sz="8" w:color="auto"/>
            </w:tcBorders>
            <w:gridSpan w:val="3"/>
            <w:shd w:val="clear" w:color="auto" w:fill="BFBFBF"/>
          </w:tcPr>
          <w:p>
            <w:pPr>
              <w:jc w:val="center"/>
              <w:ind w:right="140"/>
              <w:spacing w:after="0" w:line="149" w:lineRule="exact"/>
              <w:rPr>
                <w:sz w:val="20"/>
                <w:szCs w:val="20"/>
                <w:color w:val="auto"/>
              </w:rPr>
            </w:pPr>
            <w:r>
              <w:rPr>
                <w:rFonts w:ascii="Arial" w:cs="Arial" w:eastAsia="Arial" w:hAnsi="Arial"/>
                <w:sz w:val="14"/>
                <w:szCs w:val="14"/>
                <w:b w:val="1"/>
                <w:bCs w:val="1"/>
                <w:color w:val="3F3F3F"/>
                <w:w w:val="94"/>
              </w:rPr>
              <w:t>Under Non-Equity Incentive Plan</w:t>
            </w:r>
          </w:p>
        </w:tc>
        <w:tc>
          <w:tcPr>
            <w:tcW w:w="980" w:type="dxa"/>
            <w:vAlign w:val="bottom"/>
            <w:tcBorders>
              <w:right w:val="single" w:sz="8" w:color="auto"/>
            </w:tcBorders>
            <w:shd w:val="clear" w:color="auto" w:fill="BFBFBF"/>
          </w:tcPr>
          <w:p>
            <w:pPr>
              <w:jc w:val="center"/>
              <w:spacing w:after="0" w:line="149" w:lineRule="exact"/>
              <w:rPr>
                <w:sz w:val="20"/>
                <w:szCs w:val="20"/>
                <w:color w:val="auto"/>
              </w:rPr>
            </w:pPr>
            <w:r>
              <w:rPr>
                <w:rFonts w:ascii="Arial" w:cs="Arial" w:eastAsia="Arial" w:hAnsi="Arial"/>
                <w:sz w:val="14"/>
                <w:szCs w:val="14"/>
                <w:b w:val="1"/>
                <w:bCs w:val="1"/>
                <w:color w:val="3F3F3F"/>
                <w:w w:val="94"/>
              </w:rPr>
              <w:t>Number</w:t>
            </w:r>
          </w:p>
        </w:tc>
        <w:tc>
          <w:tcPr>
            <w:tcW w:w="860" w:type="dxa"/>
            <w:vAlign w:val="bottom"/>
            <w:tcBorders>
              <w:right w:val="single" w:sz="8" w:color="auto"/>
            </w:tcBorders>
            <w:shd w:val="clear" w:color="auto" w:fill="BFBFBF"/>
          </w:tcPr>
          <w:p>
            <w:pPr>
              <w:jc w:val="center"/>
              <w:ind w:right="3"/>
              <w:spacing w:after="0" w:line="149" w:lineRule="exact"/>
              <w:rPr>
                <w:sz w:val="20"/>
                <w:szCs w:val="20"/>
                <w:color w:val="auto"/>
              </w:rPr>
            </w:pPr>
            <w:r>
              <w:rPr>
                <w:rFonts w:ascii="Arial" w:cs="Arial" w:eastAsia="Arial" w:hAnsi="Arial"/>
                <w:sz w:val="14"/>
                <w:szCs w:val="14"/>
                <w:b w:val="1"/>
                <w:bCs w:val="1"/>
                <w:color w:val="3F3F3F"/>
              </w:rPr>
              <w:t>Market</w:t>
            </w:r>
          </w:p>
        </w:tc>
        <w:tc>
          <w:tcPr>
            <w:tcW w:w="1280" w:type="dxa"/>
            <w:vAlign w:val="bottom"/>
            <w:tcBorders>
              <w:right w:val="single" w:sz="8" w:color="auto"/>
            </w:tcBorders>
            <w:vMerge w:val="restart"/>
            <w:shd w:val="clear" w:color="auto" w:fill="BFBFBF"/>
          </w:tcPr>
          <w:p>
            <w:pPr>
              <w:jc w:val="center"/>
              <w:spacing w:after="0"/>
              <w:rPr>
                <w:sz w:val="20"/>
                <w:szCs w:val="20"/>
                <w:color w:val="auto"/>
              </w:rPr>
            </w:pPr>
            <w:r>
              <w:rPr>
                <w:rFonts w:ascii="Arial" w:cs="Arial" w:eastAsia="Arial" w:hAnsi="Arial"/>
                <w:sz w:val="14"/>
                <w:szCs w:val="14"/>
                <w:b w:val="1"/>
                <w:bCs w:val="1"/>
                <w:color w:val="3F3F3F"/>
                <w:w w:val="97"/>
              </w:rPr>
              <w:t>Grant Date</w:t>
            </w:r>
          </w:p>
        </w:tc>
        <w:tc>
          <w:tcPr>
            <w:tcW w:w="0" w:type="dxa"/>
            <w:vAlign w:val="bottom"/>
          </w:tcPr>
          <w:p>
            <w:pPr>
              <w:spacing w:after="0"/>
              <w:rPr>
                <w:sz w:val="1"/>
                <w:szCs w:val="1"/>
                <w:color w:val="auto"/>
              </w:rPr>
            </w:pPr>
          </w:p>
        </w:tc>
      </w:tr>
      <w:tr>
        <w:trPr>
          <w:trHeight w:val="203"/>
        </w:trPr>
        <w:tc>
          <w:tcPr>
            <w:tcW w:w="1880" w:type="dxa"/>
            <w:vAlign w:val="bottom"/>
            <w:tcBorders>
              <w:left w:val="single" w:sz="8" w:color="auto"/>
              <w:bottom w:val="single" w:sz="8" w:color="BFBFBF"/>
              <w:right w:val="single" w:sz="8" w:color="auto"/>
            </w:tcBorders>
            <w:shd w:val="clear" w:color="auto" w:fill="BFBFBF"/>
          </w:tcPr>
          <w:p>
            <w:pPr>
              <w:spacing w:after="0"/>
              <w:rPr>
                <w:sz w:val="17"/>
                <w:szCs w:val="17"/>
                <w:color w:val="auto"/>
              </w:rPr>
            </w:pPr>
          </w:p>
        </w:tc>
        <w:tc>
          <w:tcPr>
            <w:tcW w:w="1180" w:type="dxa"/>
            <w:vAlign w:val="bottom"/>
            <w:tcBorders>
              <w:bottom w:val="single" w:sz="8" w:color="BFBFBF"/>
              <w:right w:val="single" w:sz="8" w:color="auto"/>
            </w:tcBorders>
            <w:shd w:val="clear" w:color="auto" w:fill="BFBFBF"/>
          </w:tcPr>
          <w:p>
            <w:pPr>
              <w:spacing w:after="0"/>
              <w:rPr>
                <w:sz w:val="17"/>
                <w:szCs w:val="17"/>
                <w:color w:val="auto"/>
              </w:rPr>
            </w:pPr>
          </w:p>
        </w:tc>
        <w:tc>
          <w:tcPr>
            <w:tcW w:w="140" w:type="dxa"/>
            <w:vAlign w:val="bottom"/>
            <w:tcBorders>
              <w:bottom w:val="single" w:sz="8" w:color="BFBFBF"/>
            </w:tcBorders>
            <w:shd w:val="clear" w:color="auto" w:fill="BFBFBF"/>
          </w:tcPr>
          <w:p>
            <w:pPr>
              <w:spacing w:after="0"/>
              <w:rPr>
                <w:sz w:val="17"/>
                <w:szCs w:val="17"/>
                <w:color w:val="auto"/>
              </w:rPr>
            </w:pPr>
          </w:p>
        </w:tc>
        <w:tc>
          <w:tcPr>
            <w:tcW w:w="820" w:type="dxa"/>
            <w:vAlign w:val="bottom"/>
            <w:tcBorders>
              <w:bottom w:val="single" w:sz="8" w:color="BFBFBF"/>
              <w:right w:val="single" w:sz="8" w:color="BFBFBF"/>
            </w:tcBorders>
            <w:shd w:val="clear" w:color="auto" w:fill="BFBFBF"/>
          </w:tcPr>
          <w:p>
            <w:pPr>
              <w:spacing w:after="0"/>
              <w:rPr>
                <w:sz w:val="17"/>
                <w:szCs w:val="17"/>
                <w:color w:val="auto"/>
              </w:rPr>
            </w:pPr>
          </w:p>
        </w:tc>
        <w:tc>
          <w:tcPr>
            <w:tcW w:w="960" w:type="dxa"/>
            <w:vAlign w:val="bottom"/>
            <w:tcBorders>
              <w:bottom w:val="single" w:sz="8" w:color="BFBFBF"/>
              <w:right w:val="single" w:sz="8" w:color="BFBFBF"/>
            </w:tcBorders>
            <w:shd w:val="clear" w:color="auto" w:fill="BFBFBF"/>
          </w:tcPr>
          <w:p>
            <w:pPr>
              <w:jc w:val="center"/>
              <w:spacing w:after="0" w:line="153" w:lineRule="exact"/>
              <w:rPr>
                <w:sz w:val="20"/>
                <w:szCs w:val="20"/>
                <w:color w:val="auto"/>
              </w:rPr>
            </w:pPr>
            <w:r>
              <w:rPr>
                <w:rFonts w:ascii="Arial" w:cs="Arial" w:eastAsia="Arial" w:hAnsi="Arial"/>
                <w:sz w:val="14"/>
                <w:szCs w:val="14"/>
                <w:b w:val="1"/>
                <w:bCs w:val="1"/>
                <w:color w:val="3F3F3F"/>
                <w:w w:val="94"/>
              </w:rPr>
              <w:t>Awards</w:t>
            </w:r>
          </w:p>
        </w:tc>
        <w:tc>
          <w:tcPr>
            <w:tcW w:w="980" w:type="dxa"/>
            <w:vAlign w:val="bottom"/>
            <w:tcBorders>
              <w:bottom w:val="single" w:sz="8" w:color="BFBFBF"/>
              <w:right w:val="single" w:sz="8" w:color="auto"/>
            </w:tcBorders>
            <w:shd w:val="clear" w:color="auto" w:fill="BFBFBF"/>
          </w:tcPr>
          <w:p>
            <w:pPr>
              <w:spacing w:after="0"/>
              <w:rPr>
                <w:sz w:val="17"/>
                <w:szCs w:val="17"/>
                <w:color w:val="auto"/>
              </w:rPr>
            </w:pPr>
          </w:p>
        </w:tc>
        <w:tc>
          <w:tcPr>
            <w:tcW w:w="980" w:type="dxa"/>
            <w:vAlign w:val="bottom"/>
            <w:tcBorders>
              <w:bottom w:val="single" w:sz="8" w:color="BFBFBF"/>
              <w:right w:val="single" w:sz="8" w:color="auto"/>
            </w:tcBorders>
            <w:shd w:val="clear" w:color="auto" w:fill="BFBFBF"/>
          </w:tcPr>
          <w:p>
            <w:pPr>
              <w:jc w:val="center"/>
              <w:ind w:right="23"/>
              <w:spacing w:after="0" w:line="153" w:lineRule="exact"/>
              <w:rPr>
                <w:sz w:val="20"/>
                <w:szCs w:val="20"/>
                <w:color w:val="auto"/>
              </w:rPr>
            </w:pPr>
            <w:r>
              <w:rPr>
                <w:rFonts w:ascii="Arial" w:cs="Arial" w:eastAsia="Arial" w:hAnsi="Arial"/>
                <w:sz w:val="14"/>
                <w:szCs w:val="14"/>
                <w:b w:val="1"/>
                <w:bCs w:val="1"/>
                <w:color w:val="3F3F3F"/>
                <w:w w:val="90"/>
              </w:rPr>
              <w:t>of</w:t>
            </w:r>
          </w:p>
        </w:tc>
        <w:tc>
          <w:tcPr>
            <w:tcW w:w="860" w:type="dxa"/>
            <w:vAlign w:val="bottom"/>
            <w:tcBorders>
              <w:bottom w:val="single" w:sz="8" w:color="BFBFBF"/>
              <w:right w:val="single" w:sz="8" w:color="auto"/>
            </w:tcBorders>
            <w:shd w:val="clear" w:color="auto" w:fill="BFBFBF"/>
          </w:tcPr>
          <w:p>
            <w:pPr>
              <w:jc w:val="center"/>
              <w:spacing w:after="0" w:line="153" w:lineRule="exact"/>
              <w:rPr>
                <w:sz w:val="20"/>
                <w:szCs w:val="20"/>
                <w:color w:val="auto"/>
              </w:rPr>
            </w:pPr>
            <w:r>
              <w:rPr>
                <w:rFonts w:ascii="Arial" w:cs="Arial" w:eastAsia="Arial" w:hAnsi="Arial"/>
                <w:sz w:val="14"/>
                <w:szCs w:val="14"/>
                <w:b w:val="1"/>
                <w:bCs w:val="1"/>
                <w:color w:val="3F3F3F"/>
                <w:w w:val="90"/>
              </w:rPr>
              <w:t>Price on</w:t>
            </w:r>
          </w:p>
        </w:tc>
        <w:tc>
          <w:tcPr>
            <w:tcW w:w="1280" w:type="dxa"/>
            <w:vAlign w:val="bottom"/>
            <w:tcBorders>
              <w:bottom w:val="single" w:sz="8" w:color="BFBFBF"/>
              <w:right w:val="single" w:sz="8" w:color="auto"/>
            </w:tcBorders>
            <w:vMerge w:val="continue"/>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79"/>
        </w:trPr>
        <w:tc>
          <w:tcPr>
            <w:tcW w:w="1880" w:type="dxa"/>
            <w:vAlign w:val="bottom"/>
            <w:tcBorders>
              <w:top w:val="single" w:sz="8" w:color="BFBFBF"/>
              <w:left w:val="single" w:sz="8" w:color="auto"/>
              <w:right w:val="single" w:sz="8" w:color="auto"/>
            </w:tcBorders>
            <w:shd w:val="clear" w:color="auto" w:fill="BFBFBF"/>
          </w:tcPr>
          <w:p>
            <w:pPr>
              <w:spacing w:after="0"/>
              <w:rPr>
                <w:sz w:val="6"/>
                <w:szCs w:val="6"/>
                <w:color w:val="auto"/>
              </w:rPr>
            </w:pPr>
          </w:p>
        </w:tc>
        <w:tc>
          <w:tcPr>
            <w:tcW w:w="1180" w:type="dxa"/>
            <w:vAlign w:val="bottom"/>
            <w:tcBorders>
              <w:top w:val="single" w:sz="8" w:color="BFBFBF"/>
              <w:right w:val="single" w:sz="8" w:color="auto"/>
            </w:tcBorders>
            <w:shd w:val="clear" w:color="auto" w:fill="BFBFBF"/>
          </w:tcPr>
          <w:p>
            <w:pPr>
              <w:spacing w:after="0"/>
              <w:rPr>
                <w:sz w:val="6"/>
                <w:szCs w:val="6"/>
                <w:color w:val="auto"/>
              </w:rPr>
            </w:pPr>
          </w:p>
        </w:tc>
        <w:tc>
          <w:tcPr>
            <w:tcW w:w="140" w:type="dxa"/>
            <w:vAlign w:val="bottom"/>
            <w:tcBorders>
              <w:top w:val="single" w:sz="8" w:color="auto"/>
            </w:tcBorders>
            <w:shd w:val="clear" w:color="auto" w:fill="BFBFBF"/>
          </w:tcPr>
          <w:p>
            <w:pPr>
              <w:spacing w:after="0"/>
              <w:rPr>
                <w:sz w:val="6"/>
                <w:szCs w:val="6"/>
                <w:color w:val="auto"/>
              </w:rPr>
            </w:pPr>
          </w:p>
        </w:tc>
        <w:tc>
          <w:tcPr>
            <w:tcW w:w="820" w:type="dxa"/>
            <w:vAlign w:val="bottom"/>
            <w:tcBorders>
              <w:top w:val="single" w:sz="8" w:color="auto"/>
              <w:right w:val="single" w:sz="8" w:color="auto"/>
            </w:tcBorders>
            <w:shd w:val="clear" w:color="auto" w:fill="BFBFBF"/>
          </w:tcPr>
          <w:p>
            <w:pPr>
              <w:spacing w:after="0"/>
              <w:rPr>
                <w:sz w:val="6"/>
                <w:szCs w:val="6"/>
                <w:color w:val="auto"/>
              </w:rPr>
            </w:pPr>
          </w:p>
        </w:tc>
        <w:tc>
          <w:tcPr>
            <w:tcW w:w="960" w:type="dxa"/>
            <w:vAlign w:val="bottom"/>
            <w:tcBorders>
              <w:top w:val="single" w:sz="8" w:color="auto"/>
              <w:right w:val="single" w:sz="8" w:color="auto"/>
            </w:tcBorders>
            <w:shd w:val="clear" w:color="auto" w:fill="BFBFBF"/>
          </w:tcPr>
          <w:p>
            <w:pPr>
              <w:spacing w:after="0"/>
              <w:rPr>
                <w:sz w:val="6"/>
                <w:szCs w:val="6"/>
                <w:color w:val="auto"/>
              </w:rPr>
            </w:pPr>
          </w:p>
        </w:tc>
        <w:tc>
          <w:tcPr>
            <w:tcW w:w="980" w:type="dxa"/>
            <w:vAlign w:val="bottom"/>
            <w:tcBorders>
              <w:top w:val="single" w:sz="8" w:color="auto"/>
              <w:right w:val="single" w:sz="8" w:color="auto"/>
            </w:tcBorders>
            <w:shd w:val="clear" w:color="auto" w:fill="BFBFBF"/>
          </w:tcPr>
          <w:p>
            <w:pPr>
              <w:spacing w:after="0"/>
              <w:rPr>
                <w:sz w:val="6"/>
                <w:szCs w:val="6"/>
                <w:color w:val="auto"/>
              </w:rPr>
            </w:pPr>
          </w:p>
        </w:tc>
        <w:tc>
          <w:tcPr>
            <w:tcW w:w="980" w:type="dxa"/>
            <w:vAlign w:val="bottom"/>
            <w:tcBorders>
              <w:top w:val="single" w:sz="8" w:color="BFBFBF"/>
              <w:right w:val="single" w:sz="8" w:color="auto"/>
            </w:tcBorders>
            <w:shd w:val="clear" w:color="auto" w:fill="BFBFBF"/>
          </w:tcPr>
          <w:p>
            <w:pPr>
              <w:jc w:val="center"/>
              <w:ind w:right="3"/>
              <w:spacing w:after="0" w:line="79" w:lineRule="exact"/>
              <w:rPr>
                <w:sz w:val="20"/>
                <w:szCs w:val="20"/>
                <w:color w:val="auto"/>
              </w:rPr>
            </w:pPr>
            <w:r>
              <w:rPr>
                <w:rFonts w:ascii="Arial" w:cs="Arial" w:eastAsia="Arial" w:hAnsi="Arial"/>
                <w:sz w:val="9"/>
                <w:szCs w:val="9"/>
                <w:b w:val="1"/>
                <w:bCs w:val="1"/>
                <w:color w:val="3F3F3F"/>
              </w:rPr>
              <w:t>Shares of</w:t>
            </w:r>
          </w:p>
        </w:tc>
        <w:tc>
          <w:tcPr>
            <w:tcW w:w="860" w:type="dxa"/>
            <w:vAlign w:val="bottom"/>
            <w:tcBorders>
              <w:top w:val="single" w:sz="8" w:color="BFBFBF"/>
              <w:right w:val="single" w:sz="8" w:color="auto"/>
            </w:tcBorders>
            <w:shd w:val="clear" w:color="auto" w:fill="BFBFBF"/>
          </w:tcPr>
          <w:p>
            <w:pPr>
              <w:jc w:val="center"/>
              <w:spacing w:after="0" w:line="79" w:lineRule="exact"/>
              <w:rPr>
                <w:sz w:val="20"/>
                <w:szCs w:val="20"/>
                <w:color w:val="auto"/>
              </w:rPr>
            </w:pPr>
            <w:r>
              <w:rPr>
                <w:rFonts w:ascii="Arial" w:cs="Arial" w:eastAsia="Arial" w:hAnsi="Arial"/>
                <w:sz w:val="9"/>
                <w:szCs w:val="9"/>
                <w:b w:val="1"/>
                <w:bCs w:val="1"/>
                <w:color w:val="3F3F3F"/>
              </w:rPr>
              <w:t>the Date</w:t>
            </w:r>
          </w:p>
        </w:tc>
        <w:tc>
          <w:tcPr>
            <w:tcW w:w="1280" w:type="dxa"/>
            <w:vAlign w:val="bottom"/>
            <w:tcBorders>
              <w:top w:val="single" w:sz="8" w:color="BFBFBF"/>
              <w:right w:val="single" w:sz="8" w:color="auto"/>
            </w:tcBorders>
            <w:shd w:val="clear" w:color="auto" w:fill="BFBFBF"/>
          </w:tcPr>
          <w:p>
            <w:pPr>
              <w:jc w:val="center"/>
              <w:spacing w:after="0" w:line="79" w:lineRule="exact"/>
              <w:rPr>
                <w:sz w:val="20"/>
                <w:szCs w:val="20"/>
                <w:color w:val="auto"/>
              </w:rPr>
            </w:pPr>
            <w:r>
              <w:rPr>
                <w:rFonts w:ascii="Arial" w:cs="Arial" w:eastAsia="Arial" w:hAnsi="Arial"/>
                <w:sz w:val="9"/>
                <w:szCs w:val="9"/>
                <w:b w:val="1"/>
                <w:bCs w:val="1"/>
                <w:color w:val="3F3F3F"/>
              </w:rPr>
              <w:t>Fair Value of</w:t>
            </w:r>
          </w:p>
        </w:tc>
        <w:tc>
          <w:tcPr>
            <w:tcW w:w="0" w:type="dxa"/>
            <w:vAlign w:val="bottom"/>
          </w:tcPr>
          <w:p>
            <w:pPr>
              <w:spacing w:after="0"/>
              <w:rPr>
                <w:sz w:val="1"/>
                <w:szCs w:val="1"/>
                <w:color w:val="auto"/>
              </w:rPr>
            </w:pPr>
          </w:p>
        </w:tc>
      </w:tr>
      <w:tr>
        <w:trPr>
          <w:trHeight w:val="149"/>
        </w:trPr>
        <w:tc>
          <w:tcPr>
            <w:tcW w:w="1880" w:type="dxa"/>
            <w:vAlign w:val="bottom"/>
            <w:tcBorders>
              <w:left w:val="single" w:sz="8" w:color="auto"/>
              <w:right w:val="single" w:sz="8" w:color="auto"/>
            </w:tcBorders>
            <w:shd w:val="clear" w:color="auto" w:fill="BFBFBF"/>
          </w:tcPr>
          <w:p>
            <w:pPr>
              <w:spacing w:after="0"/>
              <w:rPr>
                <w:sz w:val="12"/>
                <w:szCs w:val="12"/>
                <w:color w:val="auto"/>
              </w:rPr>
            </w:pPr>
          </w:p>
        </w:tc>
        <w:tc>
          <w:tcPr>
            <w:tcW w:w="1180" w:type="dxa"/>
            <w:vAlign w:val="bottom"/>
            <w:tcBorders>
              <w:right w:val="single" w:sz="8" w:color="auto"/>
            </w:tcBorders>
            <w:vMerge w:val="restart"/>
            <w:shd w:val="clear" w:color="auto" w:fill="BFBFBF"/>
          </w:tcPr>
          <w:p>
            <w:pPr>
              <w:ind w:left="360"/>
              <w:spacing w:after="0"/>
              <w:rPr>
                <w:sz w:val="20"/>
                <w:szCs w:val="20"/>
                <w:color w:val="auto"/>
              </w:rPr>
            </w:pPr>
            <w:r>
              <w:rPr>
                <w:rFonts w:ascii="Arial" w:cs="Arial" w:eastAsia="Arial" w:hAnsi="Arial"/>
                <w:sz w:val="14"/>
                <w:szCs w:val="14"/>
                <w:b w:val="1"/>
                <w:bCs w:val="1"/>
                <w:color w:val="3F3F3F"/>
              </w:rPr>
              <w:t>Grant</w:t>
            </w:r>
          </w:p>
        </w:tc>
        <w:tc>
          <w:tcPr>
            <w:tcW w:w="140" w:type="dxa"/>
            <w:vAlign w:val="bottom"/>
            <w:shd w:val="clear" w:color="auto" w:fill="BFBFBF"/>
          </w:tcPr>
          <w:p>
            <w:pPr>
              <w:spacing w:after="0"/>
              <w:rPr>
                <w:sz w:val="12"/>
                <w:szCs w:val="12"/>
                <w:color w:val="auto"/>
              </w:rPr>
            </w:pPr>
          </w:p>
        </w:tc>
        <w:tc>
          <w:tcPr>
            <w:tcW w:w="820" w:type="dxa"/>
            <w:vAlign w:val="bottom"/>
            <w:tcBorders>
              <w:right w:val="single" w:sz="8" w:color="auto"/>
            </w:tcBorders>
            <w:vMerge w:val="restart"/>
            <w:shd w:val="clear" w:color="auto" w:fill="BFBFBF"/>
          </w:tcPr>
          <w:p>
            <w:pPr>
              <w:jc w:val="right"/>
              <w:ind w:right="122"/>
              <w:spacing w:after="0"/>
              <w:rPr>
                <w:sz w:val="20"/>
                <w:szCs w:val="20"/>
                <w:color w:val="auto"/>
              </w:rPr>
            </w:pPr>
            <w:r>
              <w:rPr>
                <w:rFonts w:ascii="Arial" w:cs="Arial" w:eastAsia="Arial" w:hAnsi="Arial"/>
                <w:sz w:val="14"/>
                <w:szCs w:val="14"/>
                <w:b w:val="1"/>
                <w:bCs w:val="1"/>
                <w:color w:val="3F3F3F"/>
                <w:w w:val="88"/>
              </w:rPr>
              <w:t>Threshold</w:t>
            </w:r>
          </w:p>
        </w:tc>
        <w:tc>
          <w:tcPr>
            <w:tcW w:w="960" w:type="dxa"/>
            <w:vAlign w:val="bottom"/>
            <w:tcBorders>
              <w:right w:val="single" w:sz="8" w:color="auto"/>
            </w:tcBorders>
            <w:vMerge w:val="restart"/>
            <w:shd w:val="clear" w:color="auto" w:fill="BFBFBF"/>
          </w:tcPr>
          <w:p>
            <w:pPr>
              <w:jc w:val="center"/>
              <w:spacing w:after="0"/>
              <w:rPr>
                <w:sz w:val="20"/>
                <w:szCs w:val="20"/>
                <w:color w:val="auto"/>
              </w:rPr>
            </w:pPr>
            <w:r>
              <w:rPr>
                <w:rFonts w:ascii="Arial" w:cs="Arial" w:eastAsia="Arial" w:hAnsi="Arial"/>
                <w:sz w:val="14"/>
                <w:szCs w:val="14"/>
                <w:b w:val="1"/>
                <w:bCs w:val="1"/>
                <w:color w:val="3F3F3F"/>
                <w:w w:val="93"/>
              </w:rPr>
              <w:t>Target</w:t>
            </w:r>
          </w:p>
        </w:tc>
        <w:tc>
          <w:tcPr>
            <w:tcW w:w="980" w:type="dxa"/>
            <w:vAlign w:val="bottom"/>
            <w:tcBorders>
              <w:right w:val="single" w:sz="8" w:color="auto"/>
            </w:tcBorders>
            <w:vMerge w:val="restart"/>
            <w:shd w:val="clear" w:color="auto" w:fill="BFBFBF"/>
          </w:tcPr>
          <w:p>
            <w:pPr>
              <w:jc w:val="right"/>
              <w:ind w:right="120"/>
              <w:spacing w:after="0"/>
              <w:rPr>
                <w:sz w:val="20"/>
                <w:szCs w:val="20"/>
                <w:color w:val="auto"/>
              </w:rPr>
            </w:pPr>
            <w:r>
              <w:rPr>
                <w:rFonts w:ascii="Arial" w:cs="Arial" w:eastAsia="Arial" w:hAnsi="Arial"/>
                <w:sz w:val="14"/>
                <w:szCs w:val="14"/>
                <w:b w:val="1"/>
                <w:bCs w:val="1"/>
                <w:color w:val="3F3F3F"/>
              </w:rPr>
              <w:t>Maximum</w:t>
            </w:r>
          </w:p>
        </w:tc>
        <w:tc>
          <w:tcPr>
            <w:tcW w:w="980" w:type="dxa"/>
            <w:vAlign w:val="bottom"/>
            <w:tcBorders>
              <w:right w:val="single" w:sz="8" w:color="auto"/>
            </w:tcBorders>
            <w:shd w:val="clear" w:color="auto" w:fill="BFBFBF"/>
          </w:tcPr>
          <w:p>
            <w:pPr>
              <w:jc w:val="center"/>
              <w:ind w:right="3"/>
              <w:spacing w:after="0" w:line="149" w:lineRule="exact"/>
              <w:rPr>
                <w:sz w:val="20"/>
                <w:szCs w:val="20"/>
                <w:color w:val="auto"/>
              </w:rPr>
            </w:pPr>
            <w:r>
              <w:rPr>
                <w:rFonts w:ascii="Arial" w:cs="Arial" w:eastAsia="Arial" w:hAnsi="Arial"/>
                <w:sz w:val="14"/>
                <w:szCs w:val="14"/>
                <w:b w:val="1"/>
                <w:bCs w:val="1"/>
                <w:color w:val="3F3F3F"/>
                <w:w w:val="89"/>
              </w:rPr>
              <w:t>Stock or</w:t>
            </w:r>
          </w:p>
        </w:tc>
        <w:tc>
          <w:tcPr>
            <w:tcW w:w="860" w:type="dxa"/>
            <w:vAlign w:val="bottom"/>
            <w:tcBorders>
              <w:right w:val="single" w:sz="8" w:color="auto"/>
            </w:tcBorders>
            <w:shd w:val="clear" w:color="auto" w:fill="BFBFBF"/>
          </w:tcPr>
          <w:p>
            <w:pPr>
              <w:jc w:val="center"/>
              <w:spacing w:after="0" w:line="149" w:lineRule="exact"/>
              <w:rPr>
                <w:sz w:val="20"/>
                <w:szCs w:val="20"/>
                <w:color w:val="auto"/>
              </w:rPr>
            </w:pPr>
            <w:r>
              <w:rPr>
                <w:rFonts w:ascii="Arial" w:cs="Arial" w:eastAsia="Arial" w:hAnsi="Arial"/>
                <w:sz w:val="14"/>
                <w:szCs w:val="14"/>
                <w:b w:val="1"/>
                <w:bCs w:val="1"/>
                <w:color w:val="3F3F3F"/>
                <w:w w:val="90"/>
              </w:rPr>
              <w:t>of</w:t>
            </w:r>
          </w:p>
        </w:tc>
        <w:tc>
          <w:tcPr>
            <w:tcW w:w="1280" w:type="dxa"/>
            <w:vAlign w:val="bottom"/>
            <w:tcBorders>
              <w:right w:val="single" w:sz="8" w:color="auto"/>
            </w:tcBorders>
            <w:shd w:val="clear" w:color="auto" w:fill="BFBFBF"/>
          </w:tcPr>
          <w:p>
            <w:pPr>
              <w:jc w:val="center"/>
              <w:ind w:left="2"/>
              <w:spacing w:after="0" w:line="149" w:lineRule="exact"/>
              <w:rPr>
                <w:sz w:val="20"/>
                <w:szCs w:val="20"/>
                <w:color w:val="auto"/>
              </w:rPr>
            </w:pPr>
            <w:r>
              <w:rPr>
                <w:rFonts w:ascii="Arial" w:cs="Arial" w:eastAsia="Arial" w:hAnsi="Arial"/>
                <w:sz w:val="14"/>
                <w:szCs w:val="14"/>
                <w:b w:val="1"/>
                <w:bCs w:val="1"/>
                <w:color w:val="3F3F3F"/>
                <w:w w:val="93"/>
              </w:rPr>
              <w:t>Stock and Option</w:t>
            </w:r>
          </w:p>
        </w:tc>
        <w:tc>
          <w:tcPr>
            <w:tcW w:w="0" w:type="dxa"/>
            <w:vAlign w:val="bottom"/>
          </w:tcPr>
          <w:p>
            <w:pPr>
              <w:spacing w:after="0"/>
              <w:rPr>
                <w:sz w:val="1"/>
                <w:szCs w:val="1"/>
                <w:color w:val="auto"/>
              </w:rPr>
            </w:pPr>
          </w:p>
        </w:tc>
      </w:tr>
      <w:tr>
        <w:trPr>
          <w:trHeight w:val="148"/>
        </w:trPr>
        <w:tc>
          <w:tcPr>
            <w:tcW w:w="1880" w:type="dxa"/>
            <w:vAlign w:val="bottom"/>
            <w:tcBorders>
              <w:left w:val="single" w:sz="8" w:color="auto"/>
              <w:right w:val="single" w:sz="8" w:color="auto"/>
            </w:tcBorders>
            <w:vMerge w:val="restart"/>
            <w:shd w:val="clear" w:color="auto" w:fill="BFBFBF"/>
          </w:tcPr>
          <w:p>
            <w:pPr>
              <w:ind w:left="680"/>
              <w:spacing w:after="0"/>
              <w:rPr>
                <w:sz w:val="20"/>
                <w:szCs w:val="20"/>
                <w:color w:val="auto"/>
              </w:rPr>
            </w:pPr>
            <w:r>
              <w:rPr>
                <w:rFonts w:ascii="Arial" w:cs="Arial" w:eastAsia="Arial" w:hAnsi="Arial"/>
                <w:sz w:val="14"/>
                <w:szCs w:val="14"/>
                <w:b w:val="1"/>
                <w:bCs w:val="1"/>
                <w:color w:val="3F3F3F"/>
              </w:rPr>
              <w:t>Name</w:t>
            </w:r>
          </w:p>
        </w:tc>
        <w:tc>
          <w:tcPr>
            <w:tcW w:w="1180" w:type="dxa"/>
            <w:vAlign w:val="bottom"/>
            <w:tcBorders>
              <w:right w:val="single" w:sz="8" w:color="auto"/>
            </w:tcBorders>
            <w:vMerge w:val="continue"/>
            <w:shd w:val="clear" w:color="auto" w:fill="BFBFBF"/>
          </w:tcPr>
          <w:p>
            <w:pPr>
              <w:spacing w:after="0"/>
              <w:rPr>
                <w:sz w:val="12"/>
                <w:szCs w:val="12"/>
                <w:color w:val="auto"/>
              </w:rPr>
            </w:pPr>
          </w:p>
        </w:tc>
        <w:tc>
          <w:tcPr>
            <w:tcW w:w="140" w:type="dxa"/>
            <w:vAlign w:val="bottom"/>
            <w:shd w:val="clear" w:color="auto" w:fill="BFBFBF"/>
          </w:tcPr>
          <w:p>
            <w:pPr>
              <w:spacing w:after="0"/>
              <w:rPr>
                <w:sz w:val="12"/>
                <w:szCs w:val="12"/>
                <w:color w:val="auto"/>
              </w:rPr>
            </w:pPr>
          </w:p>
        </w:tc>
        <w:tc>
          <w:tcPr>
            <w:tcW w:w="820" w:type="dxa"/>
            <w:vAlign w:val="bottom"/>
            <w:tcBorders>
              <w:right w:val="single" w:sz="8" w:color="auto"/>
            </w:tcBorders>
            <w:vMerge w:val="continue"/>
            <w:shd w:val="clear" w:color="auto" w:fill="BFBFBF"/>
          </w:tcPr>
          <w:p>
            <w:pPr>
              <w:spacing w:after="0"/>
              <w:rPr>
                <w:sz w:val="12"/>
                <w:szCs w:val="12"/>
                <w:color w:val="auto"/>
              </w:rPr>
            </w:pPr>
          </w:p>
        </w:tc>
        <w:tc>
          <w:tcPr>
            <w:tcW w:w="960" w:type="dxa"/>
            <w:vAlign w:val="bottom"/>
            <w:tcBorders>
              <w:right w:val="single" w:sz="8" w:color="auto"/>
            </w:tcBorders>
            <w:vMerge w:val="continue"/>
            <w:shd w:val="clear" w:color="auto" w:fill="BFBFBF"/>
          </w:tcPr>
          <w:p>
            <w:pPr>
              <w:spacing w:after="0"/>
              <w:rPr>
                <w:sz w:val="12"/>
                <w:szCs w:val="12"/>
                <w:color w:val="auto"/>
              </w:rPr>
            </w:pPr>
          </w:p>
        </w:tc>
        <w:tc>
          <w:tcPr>
            <w:tcW w:w="980" w:type="dxa"/>
            <w:vAlign w:val="bottom"/>
            <w:tcBorders>
              <w:right w:val="single" w:sz="8" w:color="auto"/>
            </w:tcBorders>
            <w:vMerge w:val="continue"/>
            <w:shd w:val="clear" w:color="auto" w:fill="BFBFBF"/>
          </w:tcPr>
          <w:p>
            <w:pPr>
              <w:spacing w:after="0"/>
              <w:rPr>
                <w:sz w:val="12"/>
                <w:szCs w:val="12"/>
                <w:color w:val="auto"/>
              </w:rPr>
            </w:pPr>
          </w:p>
        </w:tc>
        <w:tc>
          <w:tcPr>
            <w:tcW w:w="980" w:type="dxa"/>
            <w:vAlign w:val="bottom"/>
            <w:tcBorders>
              <w:right w:val="single" w:sz="8" w:color="auto"/>
            </w:tcBorders>
            <w:shd w:val="clear" w:color="auto" w:fill="BFBFBF"/>
          </w:tcPr>
          <w:p>
            <w:pPr>
              <w:jc w:val="center"/>
              <w:ind w:right="3"/>
              <w:spacing w:after="0" w:line="149" w:lineRule="exact"/>
              <w:rPr>
                <w:sz w:val="20"/>
                <w:szCs w:val="20"/>
                <w:color w:val="auto"/>
              </w:rPr>
            </w:pPr>
            <w:r>
              <w:rPr>
                <w:rFonts w:ascii="Arial" w:cs="Arial" w:eastAsia="Arial" w:hAnsi="Arial"/>
                <w:sz w:val="14"/>
                <w:szCs w:val="14"/>
                <w:b w:val="1"/>
                <w:bCs w:val="1"/>
                <w:color w:val="3F3F3F"/>
                <w:w w:val="97"/>
              </w:rPr>
              <w:t>Units</w:t>
            </w:r>
          </w:p>
        </w:tc>
        <w:tc>
          <w:tcPr>
            <w:tcW w:w="860" w:type="dxa"/>
            <w:vAlign w:val="bottom"/>
            <w:tcBorders>
              <w:right w:val="single" w:sz="8" w:color="auto"/>
            </w:tcBorders>
            <w:shd w:val="clear" w:color="auto" w:fill="BFBFBF"/>
          </w:tcPr>
          <w:p>
            <w:pPr>
              <w:jc w:val="center"/>
              <w:ind w:right="3"/>
              <w:spacing w:after="0" w:line="149" w:lineRule="exact"/>
              <w:rPr>
                <w:sz w:val="20"/>
                <w:szCs w:val="20"/>
                <w:color w:val="auto"/>
              </w:rPr>
            </w:pPr>
            <w:r>
              <w:rPr>
                <w:rFonts w:ascii="Arial" w:cs="Arial" w:eastAsia="Arial" w:hAnsi="Arial"/>
                <w:sz w:val="14"/>
                <w:szCs w:val="14"/>
                <w:b w:val="1"/>
                <w:bCs w:val="1"/>
                <w:color w:val="3F3F3F"/>
              </w:rPr>
              <w:t>Grant</w:t>
            </w:r>
          </w:p>
        </w:tc>
        <w:tc>
          <w:tcPr>
            <w:tcW w:w="1280" w:type="dxa"/>
            <w:vAlign w:val="bottom"/>
            <w:tcBorders>
              <w:right w:val="single" w:sz="8" w:color="auto"/>
            </w:tcBorders>
            <w:shd w:val="clear" w:color="auto" w:fill="BFBFBF"/>
          </w:tcPr>
          <w:p>
            <w:pPr>
              <w:jc w:val="center"/>
              <w:spacing w:after="0" w:line="149" w:lineRule="exact"/>
              <w:rPr>
                <w:sz w:val="20"/>
                <w:szCs w:val="20"/>
                <w:color w:val="auto"/>
              </w:rPr>
            </w:pPr>
            <w:r>
              <w:rPr>
                <w:rFonts w:ascii="Arial" w:cs="Arial" w:eastAsia="Arial" w:hAnsi="Arial"/>
                <w:sz w:val="14"/>
                <w:szCs w:val="14"/>
                <w:b w:val="1"/>
                <w:bCs w:val="1"/>
                <w:color w:val="3F3F3F"/>
                <w:w w:val="90"/>
              </w:rPr>
              <w:t>Awards</w:t>
            </w:r>
          </w:p>
        </w:tc>
        <w:tc>
          <w:tcPr>
            <w:tcW w:w="0" w:type="dxa"/>
            <w:vAlign w:val="bottom"/>
          </w:tcPr>
          <w:p>
            <w:pPr>
              <w:spacing w:after="0"/>
              <w:rPr>
                <w:sz w:val="1"/>
                <w:szCs w:val="1"/>
                <w:color w:val="auto"/>
              </w:rPr>
            </w:pPr>
          </w:p>
        </w:tc>
      </w:tr>
      <w:tr>
        <w:trPr>
          <w:trHeight w:val="239"/>
        </w:trPr>
        <w:tc>
          <w:tcPr>
            <w:tcW w:w="1880" w:type="dxa"/>
            <w:vAlign w:val="bottom"/>
            <w:tcBorders>
              <w:left w:val="single" w:sz="8" w:color="auto"/>
              <w:bottom w:val="single" w:sz="8" w:color="BFBFBF"/>
              <w:right w:val="single" w:sz="8" w:color="auto"/>
            </w:tcBorders>
            <w:vMerge w:val="continue"/>
            <w:shd w:val="clear" w:color="auto" w:fill="BFBFBF"/>
          </w:tcPr>
          <w:p>
            <w:pPr>
              <w:spacing w:after="0"/>
              <w:rPr>
                <w:sz w:val="20"/>
                <w:szCs w:val="20"/>
                <w:color w:val="auto"/>
              </w:rPr>
            </w:pPr>
          </w:p>
        </w:tc>
        <w:tc>
          <w:tcPr>
            <w:tcW w:w="1180" w:type="dxa"/>
            <w:vAlign w:val="bottom"/>
            <w:tcBorders>
              <w:bottom w:val="single" w:sz="8" w:color="BFBFBF"/>
              <w:right w:val="single" w:sz="8" w:color="auto"/>
            </w:tcBorders>
            <w:shd w:val="clear" w:color="auto" w:fill="BFBFBF"/>
          </w:tcPr>
          <w:p>
            <w:pPr>
              <w:ind w:left="420"/>
              <w:spacing w:after="0"/>
              <w:rPr>
                <w:sz w:val="20"/>
                <w:szCs w:val="20"/>
                <w:color w:val="auto"/>
              </w:rPr>
            </w:pPr>
            <w:r>
              <w:rPr>
                <w:rFonts w:ascii="Arial" w:cs="Arial" w:eastAsia="Arial" w:hAnsi="Arial"/>
                <w:sz w:val="14"/>
                <w:szCs w:val="14"/>
                <w:b w:val="1"/>
                <w:bCs w:val="1"/>
                <w:color w:val="3F3F3F"/>
              </w:rPr>
              <w:t>Date</w:t>
            </w:r>
          </w:p>
        </w:tc>
        <w:tc>
          <w:tcPr>
            <w:tcW w:w="140" w:type="dxa"/>
            <w:vAlign w:val="bottom"/>
            <w:tcBorders>
              <w:bottom w:val="single" w:sz="8" w:color="BFBFBF"/>
            </w:tcBorders>
            <w:shd w:val="clear" w:color="auto" w:fill="BFBFBF"/>
          </w:tcPr>
          <w:p>
            <w:pPr>
              <w:spacing w:after="0"/>
              <w:rPr>
                <w:sz w:val="20"/>
                <w:szCs w:val="20"/>
                <w:color w:val="auto"/>
              </w:rPr>
            </w:pPr>
          </w:p>
        </w:tc>
        <w:tc>
          <w:tcPr>
            <w:tcW w:w="820" w:type="dxa"/>
            <w:vAlign w:val="bottom"/>
            <w:tcBorders>
              <w:bottom w:val="single" w:sz="8" w:color="BFBFBF"/>
              <w:right w:val="single" w:sz="8" w:color="auto"/>
            </w:tcBorders>
            <w:shd w:val="clear" w:color="auto" w:fill="BFBFBF"/>
          </w:tcPr>
          <w:p>
            <w:pPr>
              <w:jc w:val="right"/>
              <w:ind w:right="342"/>
              <w:spacing w:after="0"/>
              <w:rPr>
                <w:sz w:val="20"/>
                <w:szCs w:val="20"/>
                <w:color w:val="auto"/>
              </w:rPr>
            </w:pPr>
            <w:r>
              <w:rPr>
                <w:rFonts w:ascii="Arial" w:cs="Arial" w:eastAsia="Arial" w:hAnsi="Arial"/>
                <w:sz w:val="14"/>
                <w:szCs w:val="14"/>
                <w:b w:val="1"/>
                <w:bCs w:val="1"/>
                <w:color w:val="3F3F3F"/>
              </w:rPr>
              <w:t>($)</w:t>
            </w:r>
          </w:p>
        </w:tc>
        <w:tc>
          <w:tcPr>
            <w:tcW w:w="960" w:type="dxa"/>
            <w:vAlign w:val="bottom"/>
            <w:tcBorders>
              <w:bottom w:val="single" w:sz="8" w:color="BFBFBF"/>
              <w:right w:val="single" w:sz="8" w:color="auto"/>
            </w:tcBorders>
            <w:shd w:val="clear" w:color="auto" w:fill="BFBFBF"/>
          </w:tcPr>
          <w:p>
            <w:pPr>
              <w:jc w:val="center"/>
              <w:spacing w:after="0"/>
              <w:rPr>
                <w:sz w:val="20"/>
                <w:szCs w:val="20"/>
                <w:color w:val="auto"/>
              </w:rPr>
            </w:pPr>
            <w:r>
              <w:rPr>
                <w:rFonts w:ascii="Arial" w:cs="Arial" w:eastAsia="Arial" w:hAnsi="Arial"/>
                <w:sz w:val="14"/>
                <w:szCs w:val="14"/>
                <w:b w:val="1"/>
                <w:bCs w:val="1"/>
                <w:color w:val="3F3F3F"/>
                <w:w w:val="93"/>
              </w:rPr>
              <w:t>($)</w:t>
            </w:r>
          </w:p>
        </w:tc>
        <w:tc>
          <w:tcPr>
            <w:tcW w:w="980" w:type="dxa"/>
            <w:vAlign w:val="bottom"/>
            <w:tcBorders>
              <w:bottom w:val="single" w:sz="8" w:color="BFBFBF"/>
              <w:right w:val="single" w:sz="8" w:color="auto"/>
            </w:tcBorders>
            <w:shd w:val="clear" w:color="auto" w:fill="BFBFBF"/>
          </w:tcPr>
          <w:p>
            <w:pPr>
              <w:jc w:val="right"/>
              <w:ind w:right="340"/>
              <w:spacing w:after="0"/>
              <w:rPr>
                <w:sz w:val="20"/>
                <w:szCs w:val="20"/>
                <w:color w:val="auto"/>
              </w:rPr>
            </w:pPr>
            <w:r>
              <w:rPr>
                <w:rFonts w:ascii="Arial" w:cs="Arial" w:eastAsia="Arial" w:hAnsi="Arial"/>
                <w:sz w:val="14"/>
                <w:szCs w:val="14"/>
                <w:b w:val="1"/>
                <w:bCs w:val="1"/>
                <w:color w:val="3F3F3F"/>
              </w:rPr>
              <w:t>($)</w:t>
            </w:r>
          </w:p>
        </w:tc>
        <w:tc>
          <w:tcPr>
            <w:tcW w:w="980" w:type="dxa"/>
            <w:vAlign w:val="bottom"/>
            <w:tcBorders>
              <w:bottom w:val="single" w:sz="8" w:color="BFBFBF"/>
              <w:right w:val="single" w:sz="8" w:color="auto"/>
            </w:tcBorders>
            <w:shd w:val="clear" w:color="auto" w:fill="BFBFBF"/>
          </w:tcPr>
          <w:p>
            <w:pPr>
              <w:jc w:val="center"/>
              <w:spacing w:after="0"/>
              <w:rPr>
                <w:sz w:val="20"/>
                <w:szCs w:val="20"/>
                <w:color w:val="auto"/>
              </w:rPr>
            </w:pPr>
            <w:r>
              <w:rPr>
                <w:rFonts w:ascii="Arial" w:cs="Arial" w:eastAsia="Arial" w:hAnsi="Arial"/>
                <w:sz w:val="14"/>
                <w:szCs w:val="14"/>
                <w:b w:val="1"/>
                <w:bCs w:val="1"/>
                <w:color w:val="3F3F3F"/>
                <w:w w:val="99"/>
              </w:rPr>
              <w:t>(#) (1)</w:t>
            </w:r>
          </w:p>
        </w:tc>
        <w:tc>
          <w:tcPr>
            <w:tcW w:w="860" w:type="dxa"/>
            <w:vAlign w:val="bottom"/>
            <w:tcBorders>
              <w:bottom w:val="single" w:sz="8" w:color="BFBFBF"/>
              <w:right w:val="single" w:sz="8" w:color="auto"/>
            </w:tcBorders>
            <w:shd w:val="clear" w:color="auto" w:fill="BFBFBF"/>
          </w:tcPr>
          <w:p>
            <w:pPr>
              <w:jc w:val="center"/>
              <w:spacing w:after="0"/>
              <w:rPr>
                <w:sz w:val="20"/>
                <w:szCs w:val="20"/>
                <w:color w:val="auto"/>
              </w:rPr>
            </w:pPr>
            <w:r>
              <w:rPr>
                <w:rFonts w:ascii="Arial" w:cs="Arial" w:eastAsia="Arial" w:hAnsi="Arial"/>
                <w:sz w:val="14"/>
                <w:szCs w:val="14"/>
                <w:b w:val="1"/>
                <w:bCs w:val="1"/>
                <w:color w:val="3F3F3F"/>
                <w:w w:val="92"/>
              </w:rPr>
              <w:t>($/Sh)</w:t>
            </w:r>
          </w:p>
        </w:tc>
        <w:tc>
          <w:tcPr>
            <w:tcW w:w="1280" w:type="dxa"/>
            <w:vAlign w:val="bottom"/>
            <w:tcBorders>
              <w:bottom w:val="single" w:sz="8" w:color="BFBFBF"/>
              <w:right w:val="single" w:sz="8" w:color="auto"/>
            </w:tcBorders>
            <w:shd w:val="clear" w:color="auto" w:fill="BFBFBF"/>
          </w:tcPr>
          <w:p>
            <w:pPr>
              <w:jc w:val="center"/>
              <w:ind w:left="2"/>
              <w:spacing w:after="0"/>
              <w:rPr>
                <w:sz w:val="20"/>
                <w:szCs w:val="20"/>
                <w:color w:val="auto"/>
              </w:rPr>
            </w:pPr>
            <w:r>
              <w:rPr>
                <w:rFonts w:ascii="Arial" w:cs="Arial" w:eastAsia="Arial" w:hAnsi="Arial"/>
                <w:sz w:val="14"/>
                <w:szCs w:val="14"/>
                <w:b w:val="1"/>
                <w:bCs w:val="1"/>
                <w:color w:val="3F3F3F"/>
                <w:w w:val="93"/>
              </w:rPr>
              <w:t>($)</w:t>
            </w:r>
          </w:p>
        </w:tc>
        <w:tc>
          <w:tcPr>
            <w:tcW w:w="0" w:type="dxa"/>
            <w:vAlign w:val="bottom"/>
          </w:tcPr>
          <w:p>
            <w:pPr>
              <w:spacing w:after="0"/>
              <w:rPr>
                <w:sz w:val="1"/>
                <w:szCs w:val="1"/>
                <w:color w:val="auto"/>
              </w:rPr>
            </w:pPr>
          </w:p>
        </w:tc>
      </w:tr>
      <w:tr>
        <w:trPr>
          <w:trHeight w:val="258"/>
        </w:trPr>
        <w:tc>
          <w:tcPr>
            <w:tcW w:w="188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6"/>
                <w:szCs w:val="16"/>
                <w:color w:val="3F3F3F"/>
              </w:rPr>
              <w:t>Carl H. Lindner III</w:t>
            </w:r>
          </w:p>
        </w:tc>
        <w:tc>
          <w:tcPr>
            <w:tcW w:w="1180" w:type="dxa"/>
            <w:vAlign w:val="bottom"/>
            <w:tcBorders>
              <w:top w:val="single" w:sz="8" w:color="auto"/>
              <w:right w:val="single" w:sz="8" w:color="auto"/>
            </w:tcBorders>
          </w:tcPr>
          <w:p>
            <w:pPr>
              <w:ind w:left="140"/>
              <w:spacing w:after="0"/>
              <w:rPr>
                <w:sz w:val="20"/>
                <w:szCs w:val="20"/>
                <w:color w:val="auto"/>
              </w:rPr>
            </w:pPr>
            <w:r>
              <w:rPr>
                <w:rFonts w:ascii="Arial" w:cs="Arial" w:eastAsia="Arial" w:hAnsi="Arial"/>
                <w:sz w:val="16"/>
                <w:szCs w:val="16"/>
                <w:color w:val="3F3F3F"/>
              </w:rPr>
              <w:t>2/26/2019</w:t>
            </w:r>
          </w:p>
        </w:tc>
        <w:tc>
          <w:tcPr>
            <w:tcW w:w="140" w:type="dxa"/>
            <w:vAlign w:val="bottom"/>
            <w:tcBorders>
              <w:top w:val="single" w:sz="8" w:color="auto"/>
            </w:tcBorders>
          </w:tcPr>
          <w:p>
            <w:pPr>
              <w:spacing w:after="0"/>
              <w:rPr>
                <w:sz w:val="22"/>
                <w:szCs w:val="22"/>
                <w:color w:val="auto"/>
              </w:rPr>
            </w:pPr>
          </w:p>
        </w:tc>
        <w:tc>
          <w:tcPr>
            <w:tcW w:w="820" w:type="dxa"/>
            <w:vAlign w:val="bottom"/>
            <w:tcBorders>
              <w:top w:val="single" w:sz="8" w:color="auto"/>
              <w:right w:val="single" w:sz="8" w:color="auto"/>
            </w:tcBorders>
          </w:tcPr>
          <w:p>
            <w:pPr>
              <w:jc w:val="right"/>
              <w:ind w:right="362"/>
              <w:spacing w:after="0"/>
              <w:rPr>
                <w:sz w:val="20"/>
                <w:szCs w:val="20"/>
                <w:color w:val="auto"/>
              </w:rPr>
            </w:pPr>
            <w:r>
              <w:rPr>
                <w:rFonts w:ascii="Arial" w:cs="Arial" w:eastAsia="Arial" w:hAnsi="Arial"/>
                <w:sz w:val="16"/>
                <w:szCs w:val="16"/>
                <w:color w:val="3F3F3F"/>
              </w:rPr>
              <w:t>—</w:t>
            </w:r>
          </w:p>
        </w:tc>
        <w:tc>
          <w:tcPr>
            <w:tcW w:w="960" w:type="dxa"/>
            <w:vAlign w:val="bottom"/>
            <w:tcBorders>
              <w:top w:val="single" w:sz="8" w:color="auto"/>
              <w:right w:val="single" w:sz="8" w:color="auto"/>
            </w:tcBorders>
          </w:tcPr>
          <w:p>
            <w:pPr>
              <w:jc w:val="right"/>
              <w:ind w:right="100"/>
              <w:spacing w:after="0"/>
              <w:rPr>
                <w:sz w:val="20"/>
                <w:szCs w:val="20"/>
                <w:color w:val="auto"/>
              </w:rPr>
            </w:pPr>
            <w:r>
              <w:rPr>
                <w:rFonts w:ascii="Arial" w:cs="Arial" w:eastAsia="Arial" w:hAnsi="Arial"/>
                <w:sz w:val="16"/>
                <w:szCs w:val="16"/>
                <w:color w:val="3F3F3F"/>
              </w:rPr>
              <w:t>—</w:t>
            </w:r>
          </w:p>
        </w:tc>
        <w:tc>
          <w:tcPr>
            <w:tcW w:w="980" w:type="dxa"/>
            <w:vAlign w:val="bottom"/>
            <w:tcBorders>
              <w:top w:val="single" w:sz="8" w:color="auto"/>
              <w:right w:val="single" w:sz="8" w:color="auto"/>
            </w:tcBorders>
          </w:tcPr>
          <w:p>
            <w:pPr>
              <w:jc w:val="right"/>
              <w:ind w:right="100"/>
              <w:spacing w:after="0"/>
              <w:rPr>
                <w:sz w:val="20"/>
                <w:szCs w:val="20"/>
                <w:color w:val="auto"/>
              </w:rPr>
            </w:pPr>
            <w:r>
              <w:rPr>
                <w:rFonts w:ascii="Arial" w:cs="Arial" w:eastAsia="Arial" w:hAnsi="Arial"/>
                <w:sz w:val="16"/>
                <w:szCs w:val="16"/>
                <w:color w:val="3F3F3F"/>
              </w:rPr>
              <w:t>—</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3F3F3F"/>
                <w:w w:val="89"/>
              </w:rPr>
              <w:t>15,110</w:t>
            </w:r>
          </w:p>
        </w:tc>
        <w:tc>
          <w:tcPr>
            <w:tcW w:w="860" w:type="dxa"/>
            <w:vAlign w:val="bottom"/>
            <w:tcBorders>
              <w:top w:val="single" w:sz="8" w:color="auto"/>
              <w:right w:val="single" w:sz="8" w:color="auto"/>
            </w:tcBorders>
          </w:tcPr>
          <w:p>
            <w:pPr>
              <w:jc w:val="right"/>
              <w:ind w:right="203"/>
              <w:spacing w:after="0"/>
              <w:rPr>
                <w:sz w:val="20"/>
                <w:szCs w:val="20"/>
                <w:color w:val="auto"/>
              </w:rPr>
            </w:pPr>
            <w:r>
              <w:rPr>
                <w:rFonts w:ascii="Arial" w:cs="Arial" w:eastAsia="Arial" w:hAnsi="Arial"/>
                <w:sz w:val="16"/>
                <w:szCs w:val="16"/>
                <w:color w:val="3F3F3F"/>
              </w:rPr>
              <w:t>99.62</w:t>
            </w:r>
          </w:p>
        </w:tc>
        <w:tc>
          <w:tcPr>
            <w:tcW w:w="1280" w:type="dxa"/>
            <w:vAlign w:val="bottom"/>
            <w:tcBorders>
              <w:top w:val="single" w:sz="8" w:color="auto"/>
              <w:right w:val="single" w:sz="8" w:color="auto"/>
            </w:tcBorders>
          </w:tcPr>
          <w:p>
            <w:pPr>
              <w:jc w:val="right"/>
              <w:ind w:right="202"/>
              <w:spacing w:after="0"/>
              <w:rPr>
                <w:sz w:val="20"/>
                <w:szCs w:val="20"/>
                <w:color w:val="auto"/>
              </w:rPr>
            </w:pPr>
            <w:r>
              <w:rPr>
                <w:rFonts w:ascii="Arial" w:cs="Arial" w:eastAsia="Arial" w:hAnsi="Arial"/>
                <w:sz w:val="16"/>
                <w:szCs w:val="16"/>
                <w:color w:val="3F3F3F"/>
              </w:rPr>
              <w:t>1,505,258</w:t>
            </w:r>
          </w:p>
        </w:tc>
        <w:tc>
          <w:tcPr>
            <w:tcW w:w="0" w:type="dxa"/>
            <w:vAlign w:val="bottom"/>
          </w:tcPr>
          <w:p>
            <w:pPr>
              <w:spacing w:after="0"/>
              <w:rPr>
                <w:sz w:val="1"/>
                <w:szCs w:val="1"/>
                <w:color w:val="auto"/>
              </w:rPr>
            </w:pPr>
          </w:p>
        </w:tc>
      </w:tr>
      <w:tr>
        <w:trPr>
          <w:trHeight w:val="454"/>
        </w:trPr>
        <w:tc>
          <w:tcPr>
            <w:tcW w:w="1880" w:type="dxa"/>
            <w:vAlign w:val="bottom"/>
            <w:tcBorders>
              <w:left w:val="single" w:sz="8" w:color="auto"/>
              <w:right w:val="single" w:sz="8" w:color="auto"/>
            </w:tcBorders>
          </w:tcPr>
          <w:p>
            <w:pPr>
              <w:spacing w:after="0"/>
              <w:rPr>
                <w:sz w:val="24"/>
                <w:szCs w:val="24"/>
                <w:color w:val="auto"/>
              </w:rPr>
            </w:pPr>
          </w:p>
        </w:tc>
        <w:tc>
          <w:tcPr>
            <w:tcW w:w="118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3F3F3F"/>
              </w:rPr>
              <w:t xml:space="preserve">2/26/2019 </w:t>
            </w:r>
            <w:r>
              <w:rPr>
                <w:rFonts w:ascii="Arial" w:cs="Arial" w:eastAsia="Arial" w:hAnsi="Arial"/>
                <w:sz w:val="26"/>
                <w:szCs w:val="26"/>
                <w:color w:val="3F3F3F"/>
                <w:vertAlign w:val="superscript"/>
              </w:rPr>
              <w:t>(2)</w:t>
            </w:r>
          </w:p>
        </w:tc>
        <w:tc>
          <w:tcPr>
            <w:tcW w:w="960" w:type="dxa"/>
            <w:vAlign w:val="bottom"/>
            <w:tcBorders>
              <w:right w:val="single" w:sz="8" w:color="auto"/>
            </w:tcBorders>
            <w:gridSpan w:val="2"/>
          </w:tcPr>
          <w:p>
            <w:pPr>
              <w:jc w:val="right"/>
              <w:ind w:right="362"/>
              <w:spacing w:after="0"/>
              <w:rPr>
                <w:sz w:val="20"/>
                <w:szCs w:val="20"/>
                <w:color w:val="auto"/>
              </w:rPr>
            </w:pPr>
            <w:r>
              <w:rPr>
                <w:rFonts w:ascii="Arial" w:cs="Arial" w:eastAsia="Arial" w:hAnsi="Arial"/>
                <w:sz w:val="16"/>
                <w:szCs w:val="16"/>
                <w:color w:val="3F3F3F"/>
              </w:rPr>
              <w:t>0</w:t>
            </w:r>
          </w:p>
        </w:tc>
        <w:tc>
          <w:tcPr>
            <w:tcW w:w="960" w:type="dxa"/>
            <w:vAlign w:val="bottom"/>
            <w:tcBorders>
              <w:right w:val="single" w:sz="8" w:color="auto"/>
            </w:tcBorders>
          </w:tcPr>
          <w:p>
            <w:pPr>
              <w:jc w:val="right"/>
              <w:ind w:right="100"/>
              <w:spacing w:after="0"/>
              <w:rPr>
                <w:sz w:val="20"/>
                <w:szCs w:val="20"/>
                <w:color w:val="auto"/>
              </w:rPr>
            </w:pPr>
            <w:r>
              <w:rPr>
                <w:rFonts w:ascii="Arial" w:cs="Arial" w:eastAsia="Arial" w:hAnsi="Arial"/>
                <w:sz w:val="16"/>
                <w:szCs w:val="16"/>
                <w:color w:val="3F3F3F"/>
              </w:rPr>
              <w:t>2,062,500</w:t>
            </w:r>
          </w:p>
        </w:tc>
        <w:tc>
          <w:tcPr>
            <w:tcW w:w="980" w:type="dxa"/>
            <w:vAlign w:val="bottom"/>
            <w:tcBorders>
              <w:right w:val="single" w:sz="8" w:color="auto"/>
            </w:tcBorders>
          </w:tcPr>
          <w:p>
            <w:pPr>
              <w:jc w:val="right"/>
              <w:ind w:right="100"/>
              <w:spacing w:after="0"/>
              <w:rPr>
                <w:sz w:val="20"/>
                <w:szCs w:val="20"/>
                <w:color w:val="auto"/>
              </w:rPr>
            </w:pPr>
            <w:r>
              <w:rPr>
                <w:rFonts w:ascii="Arial" w:cs="Arial" w:eastAsia="Arial" w:hAnsi="Arial"/>
                <w:sz w:val="16"/>
                <w:szCs w:val="16"/>
                <w:color w:val="3F3F3F"/>
              </w:rPr>
              <w:t>2,821,875</w:t>
            </w:r>
          </w:p>
        </w:tc>
        <w:tc>
          <w:tcPr>
            <w:tcW w:w="980" w:type="dxa"/>
            <w:vAlign w:val="bottom"/>
            <w:tcBorders>
              <w:right w:val="single" w:sz="8" w:color="auto"/>
            </w:tcBorders>
          </w:tcPr>
          <w:p>
            <w:pPr>
              <w:jc w:val="right"/>
              <w:ind w:right="223"/>
              <w:spacing w:after="0"/>
              <w:rPr>
                <w:sz w:val="20"/>
                <w:szCs w:val="20"/>
                <w:color w:val="auto"/>
              </w:rPr>
            </w:pPr>
            <w:r>
              <w:rPr>
                <w:rFonts w:ascii="Arial" w:cs="Arial" w:eastAsia="Arial" w:hAnsi="Arial"/>
                <w:sz w:val="16"/>
                <w:szCs w:val="16"/>
                <w:color w:val="3F3F3F"/>
              </w:rPr>
              <w:t>—</w:t>
            </w:r>
          </w:p>
        </w:tc>
        <w:tc>
          <w:tcPr>
            <w:tcW w:w="860" w:type="dxa"/>
            <w:vAlign w:val="bottom"/>
            <w:tcBorders>
              <w:right w:val="single" w:sz="8" w:color="auto"/>
            </w:tcBorders>
          </w:tcPr>
          <w:p>
            <w:pPr>
              <w:jc w:val="right"/>
              <w:ind w:right="203"/>
              <w:spacing w:after="0"/>
              <w:rPr>
                <w:sz w:val="20"/>
                <w:szCs w:val="20"/>
                <w:color w:val="auto"/>
              </w:rPr>
            </w:pPr>
            <w:r>
              <w:rPr>
                <w:rFonts w:ascii="Arial" w:cs="Arial" w:eastAsia="Arial" w:hAnsi="Arial"/>
                <w:sz w:val="16"/>
                <w:szCs w:val="16"/>
                <w:color w:val="3F3F3F"/>
              </w:rPr>
              <w:t>—</w:t>
            </w:r>
          </w:p>
        </w:tc>
        <w:tc>
          <w:tcPr>
            <w:tcW w:w="1280" w:type="dxa"/>
            <w:vAlign w:val="bottom"/>
            <w:tcBorders>
              <w:right w:val="single" w:sz="8" w:color="auto"/>
            </w:tcBorders>
          </w:tcPr>
          <w:p>
            <w:pPr>
              <w:jc w:val="right"/>
              <w:ind w:right="202"/>
              <w:spacing w:after="0"/>
              <w:rPr>
                <w:sz w:val="20"/>
                <w:szCs w:val="20"/>
                <w:color w:val="auto"/>
              </w:rPr>
            </w:pPr>
            <w:r>
              <w:rPr>
                <w:rFonts w:ascii="Arial" w:cs="Arial" w:eastAsia="Arial" w:hAnsi="Arial"/>
                <w:sz w:val="16"/>
                <w:szCs w:val="16"/>
                <w:color w:val="3F3F3F"/>
              </w:rPr>
              <w:t>—</w:t>
            </w:r>
          </w:p>
        </w:tc>
        <w:tc>
          <w:tcPr>
            <w:tcW w:w="0" w:type="dxa"/>
            <w:vAlign w:val="bottom"/>
          </w:tcPr>
          <w:p>
            <w:pPr>
              <w:spacing w:after="0"/>
              <w:rPr>
                <w:sz w:val="1"/>
                <w:szCs w:val="1"/>
                <w:color w:val="auto"/>
              </w:rPr>
            </w:pPr>
          </w:p>
        </w:tc>
      </w:tr>
      <w:tr>
        <w:trPr>
          <w:trHeight w:val="294"/>
        </w:trPr>
        <w:tc>
          <w:tcPr>
            <w:tcW w:w="1880" w:type="dxa"/>
            <w:vAlign w:val="bottom"/>
            <w:tcBorders>
              <w:left w:val="single" w:sz="8" w:color="auto"/>
              <w:bottom w:val="single" w:sz="8" w:color="auto"/>
              <w:right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ind w:left="140"/>
              <w:spacing w:after="0" w:line="295" w:lineRule="exact"/>
              <w:rPr>
                <w:sz w:val="20"/>
                <w:szCs w:val="20"/>
                <w:color w:val="auto"/>
              </w:rPr>
            </w:pPr>
            <w:r>
              <w:rPr>
                <w:rFonts w:ascii="Arial" w:cs="Arial" w:eastAsia="Arial" w:hAnsi="Arial"/>
                <w:sz w:val="16"/>
                <w:szCs w:val="16"/>
                <w:color w:val="3F3F3F"/>
              </w:rPr>
              <w:t xml:space="preserve">2/26/2019 </w:t>
            </w:r>
            <w:r>
              <w:rPr>
                <w:rFonts w:ascii="Arial" w:cs="Arial" w:eastAsia="Arial" w:hAnsi="Arial"/>
                <w:sz w:val="26"/>
                <w:szCs w:val="26"/>
                <w:color w:val="3F3F3F"/>
                <w:vertAlign w:val="superscript"/>
              </w:rPr>
              <w:t>(3)</w:t>
            </w: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right w:val="single" w:sz="8" w:color="auto"/>
            </w:tcBorders>
          </w:tcPr>
          <w:p>
            <w:pPr>
              <w:jc w:val="right"/>
              <w:ind w:right="362"/>
              <w:spacing w:after="0"/>
              <w:rPr>
                <w:sz w:val="20"/>
                <w:szCs w:val="20"/>
                <w:color w:val="auto"/>
              </w:rPr>
            </w:pPr>
            <w:r>
              <w:rPr>
                <w:rFonts w:ascii="Arial" w:cs="Arial" w:eastAsia="Arial" w:hAnsi="Arial"/>
                <w:sz w:val="16"/>
                <w:szCs w:val="16"/>
                <w:color w:val="3F3F3F"/>
              </w:rPr>
              <w:t>—</w:t>
            </w:r>
          </w:p>
        </w:tc>
        <w:tc>
          <w:tcPr>
            <w:tcW w:w="960" w:type="dxa"/>
            <w:vAlign w:val="bottom"/>
            <w:tcBorders>
              <w:bottom w:val="single" w:sz="8" w:color="auto"/>
              <w:right w:val="single" w:sz="8" w:color="auto"/>
            </w:tcBorders>
          </w:tcPr>
          <w:p>
            <w:pPr>
              <w:jc w:val="right"/>
              <w:ind w:right="100"/>
              <w:spacing w:after="0"/>
              <w:rPr>
                <w:sz w:val="20"/>
                <w:szCs w:val="20"/>
                <w:color w:val="auto"/>
              </w:rPr>
            </w:pPr>
            <w:r>
              <w:rPr>
                <w:rFonts w:ascii="Arial" w:cs="Arial" w:eastAsia="Arial" w:hAnsi="Arial"/>
                <w:sz w:val="16"/>
                <w:szCs w:val="16"/>
                <w:color w:val="3F3F3F"/>
              </w:rPr>
              <w:t>2,500,000</w:t>
            </w:r>
          </w:p>
        </w:tc>
        <w:tc>
          <w:tcPr>
            <w:tcW w:w="980" w:type="dxa"/>
            <w:vAlign w:val="bottom"/>
            <w:tcBorders>
              <w:bottom w:val="single" w:sz="8" w:color="auto"/>
              <w:right w:val="single" w:sz="8" w:color="auto"/>
            </w:tcBorders>
          </w:tcPr>
          <w:p>
            <w:pPr>
              <w:jc w:val="right"/>
              <w:ind w:right="100"/>
              <w:spacing w:after="0"/>
              <w:rPr>
                <w:sz w:val="20"/>
                <w:szCs w:val="20"/>
                <w:color w:val="auto"/>
              </w:rPr>
            </w:pPr>
            <w:r>
              <w:rPr>
                <w:rFonts w:ascii="Arial" w:cs="Arial" w:eastAsia="Arial" w:hAnsi="Arial"/>
                <w:sz w:val="16"/>
                <w:szCs w:val="16"/>
                <w:color w:val="3F3F3F"/>
              </w:rPr>
              <w:t>5,000,000</w:t>
            </w:r>
          </w:p>
        </w:tc>
        <w:tc>
          <w:tcPr>
            <w:tcW w:w="980" w:type="dxa"/>
            <w:vAlign w:val="bottom"/>
            <w:tcBorders>
              <w:bottom w:val="single" w:sz="8" w:color="auto"/>
              <w:right w:val="single" w:sz="8" w:color="auto"/>
            </w:tcBorders>
          </w:tcPr>
          <w:p>
            <w:pPr>
              <w:jc w:val="right"/>
              <w:ind w:right="223"/>
              <w:spacing w:after="0"/>
              <w:rPr>
                <w:sz w:val="20"/>
                <w:szCs w:val="20"/>
                <w:color w:val="auto"/>
              </w:rPr>
            </w:pPr>
            <w:r>
              <w:rPr>
                <w:rFonts w:ascii="Arial" w:cs="Arial" w:eastAsia="Arial" w:hAnsi="Arial"/>
                <w:sz w:val="16"/>
                <w:szCs w:val="16"/>
                <w:color w:val="3F3F3F"/>
              </w:rPr>
              <w:t>—</w:t>
            </w:r>
          </w:p>
        </w:tc>
        <w:tc>
          <w:tcPr>
            <w:tcW w:w="860" w:type="dxa"/>
            <w:vAlign w:val="bottom"/>
            <w:tcBorders>
              <w:bottom w:val="single" w:sz="8" w:color="auto"/>
              <w:right w:val="single" w:sz="8" w:color="auto"/>
            </w:tcBorders>
          </w:tcPr>
          <w:p>
            <w:pPr>
              <w:jc w:val="right"/>
              <w:ind w:right="203"/>
              <w:spacing w:after="0"/>
              <w:rPr>
                <w:sz w:val="20"/>
                <w:szCs w:val="20"/>
                <w:color w:val="auto"/>
              </w:rPr>
            </w:pPr>
            <w:r>
              <w:rPr>
                <w:rFonts w:ascii="Arial" w:cs="Arial" w:eastAsia="Arial" w:hAnsi="Arial"/>
                <w:sz w:val="16"/>
                <w:szCs w:val="16"/>
                <w:color w:val="3F3F3F"/>
              </w:rPr>
              <w:t>—</w:t>
            </w:r>
          </w:p>
        </w:tc>
        <w:tc>
          <w:tcPr>
            <w:tcW w:w="1280" w:type="dxa"/>
            <w:vAlign w:val="bottom"/>
            <w:tcBorders>
              <w:bottom w:val="single" w:sz="8" w:color="auto"/>
              <w:right w:val="single" w:sz="8" w:color="auto"/>
            </w:tcBorders>
          </w:tcPr>
          <w:p>
            <w:pPr>
              <w:jc w:val="right"/>
              <w:ind w:right="202"/>
              <w:spacing w:after="0"/>
              <w:rPr>
                <w:sz w:val="20"/>
                <w:szCs w:val="20"/>
                <w:color w:val="auto"/>
              </w:rPr>
            </w:pPr>
            <w:r>
              <w:rPr>
                <w:rFonts w:ascii="Arial" w:cs="Arial" w:eastAsia="Arial" w:hAnsi="Arial"/>
                <w:sz w:val="16"/>
                <w:szCs w:val="16"/>
                <w:color w:val="3F3F3F"/>
              </w:rPr>
              <w:t>—</w:t>
            </w:r>
          </w:p>
        </w:tc>
        <w:tc>
          <w:tcPr>
            <w:tcW w:w="0" w:type="dxa"/>
            <w:vAlign w:val="bottom"/>
          </w:tcPr>
          <w:p>
            <w:pPr>
              <w:spacing w:after="0"/>
              <w:rPr>
                <w:sz w:val="1"/>
                <w:szCs w:val="1"/>
                <w:color w:val="auto"/>
              </w:rPr>
            </w:pPr>
          </w:p>
        </w:tc>
      </w:tr>
      <w:tr>
        <w:trPr>
          <w:trHeight w:val="258"/>
        </w:trPr>
        <w:tc>
          <w:tcPr>
            <w:tcW w:w="18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6"/>
                <w:szCs w:val="16"/>
                <w:color w:val="3F3F3F"/>
              </w:rPr>
              <w:t>S. Craig Lindner</w:t>
            </w:r>
          </w:p>
        </w:tc>
        <w:tc>
          <w:tcPr>
            <w:tcW w:w="118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3F3F3F"/>
              </w:rPr>
              <w:t>2/26/2019</w:t>
            </w:r>
          </w:p>
        </w:tc>
        <w:tc>
          <w:tcPr>
            <w:tcW w:w="140" w:type="dxa"/>
            <w:vAlign w:val="bottom"/>
          </w:tcPr>
          <w:p>
            <w:pPr>
              <w:spacing w:after="0"/>
              <w:rPr>
                <w:sz w:val="22"/>
                <w:szCs w:val="22"/>
                <w:color w:val="auto"/>
              </w:rPr>
            </w:pPr>
          </w:p>
        </w:tc>
        <w:tc>
          <w:tcPr>
            <w:tcW w:w="820" w:type="dxa"/>
            <w:vAlign w:val="bottom"/>
            <w:tcBorders>
              <w:right w:val="single" w:sz="8" w:color="auto"/>
            </w:tcBorders>
          </w:tcPr>
          <w:p>
            <w:pPr>
              <w:jc w:val="right"/>
              <w:ind w:right="362"/>
              <w:spacing w:after="0"/>
              <w:rPr>
                <w:sz w:val="20"/>
                <w:szCs w:val="20"/>
                <w:color w:val="auto"/>
              </w:rPr>
            </w:pPr>
            <w:r>
              <w:rPr>
                <w:rFonts w:ascii="Arial" w:cs="Arial" w:eastAsia="Arial" w:hAnsi="Arial"/>
                <w:sz w:val="16"/>
                <w:szCs w:val="16"/>
                <w:color w:val="3F3F3F"/>
              </w:rPr>
              <w:t>—</w:t>
            </w:r>
          </w:p>
        </w:tc>
        <w:tc>
          <w:tcPr>
            <w:tcW w:w="960" w:type="dxa"/>
            <w:vAlign w:val="bottom"/>
            <w:tcBorders>
              <w:right w:val="single" w:sz="8" w:color="auto"/>
            </w:tcBorders>
          </w:tcPr>
          <w:p>
            <w:pPr>
              <w:jc w:val="right"/>
              <w:ind w:right="100"/>
              <w:spacing w:after="0"/>
              <w:rPr>
                <w:sz w:val="20"/>
                <w:szCs w:val="20"/>
                <w:color w:val="auto"/>
              </w:rPr>
            </w:pPr>
            <w:r>
              <w:rPr>
                <w:rFonts w:ascii="Arial" w:cs="Arial" w:eastAsia="Arial" w:hAnsi="Arial"/>
                <w:sz w:val="16"/>
                <w:szCs w:val="16"/>
                <w:color w:val="3F3F3F"/>
              </w:rPr>
              <w:t>—</w:t>
            </w:r>
          </w:p>
        </w:tc>
        <w:tc>
          <w:tcPr>
            <w:tcW w:w="980" w:type="dxa"/>
            <w:vAlign w:val="bottom"/>
            <w:tcBorders>
              <w:right w:val="single" w:sz="8" w:color="auto"/>
            </w:tcBorders>
          </w:tcPr>
          <w:p>
            <w:pPr>
              <w:jc w:val="right"/>
              <w:ind w:right="100"/>
              <w:spacing w:after="0"/>
              <w:rPr>
                <w:sz w:val="20"/>
                <w:szCs w:val="20"/>
                <w:color w:val="auto"/>
              </w:rPr>
            </w:pPr>
            <w:r>
              <w:rPr>
                <w:rFonts w:ascii="Arial" w:cs="Arial" w:eastAsia="Arial" w:hAnsi="Arial"/>
                <w:sz w:val="16"/>
                <w:szCs w:val="16"/>
                <w:color w:val="3F3F3F"/>
              </w:rPr>
              <w:t>—</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3F3F3F"/>
                <w:w w:val="89"/>
              </w:rPr>
              <w:t>15,110</w:t>
            </w:r>
          </w:p>
        </w:tc>
        <w:tc>
          <w:tcPr>
            <w:tcW w:w="860" w:type="dxa"/>
            <w:vAlign w:val="bottom"/>
            <w:tcBorders>
              <w:right w:val="single" w:sz="8" w:color="auto"/>
            </w:tcBorders>
          </w:tcPr>
          <w:p>
            <w:pPr>
              <w:jc w:val="right"/>
              <w:ind w:right="203"/>
              <w:spacing w:after="0"/>
              <w:rPr>
                <w:sz w:val="20"/>
                <w:szCs w:val="20"/>
                <w:color w:val="auto"/>
              </w:rPr>
            </w:pPr>
            <w:r>
              <w:rPr>
                <w:rFonts w:ascii="Arial" w:cs="Arial" w:eastAsia="Arial" w:hAnsi="Arial"/>
                <w:sz w:val="16"/>
                <w:szCs w:val="16"/>
                <w:color w:val="3F3F3F"/>
              </w:rPr>
              <w:t>99.62</w:t>
            </w:r>
          </w:p>
        </w:tc>
        <w:tc>
          <w:tcPr>
            <w:tcW w:w="1280" w:type="dxa"/>
            <w:vAlign w:val="bottom"/>
            <w:tcBorders>
              <w:right w:val="single" w:sz="8" w:color="auto"/>
            </w:tcBorders>
          </w:tcPr>
          <w:p>
            <w:pPr>
              <w:jc w:val="right"/>
              <w:ind w:right="202"/>
              <w:spacing w:after="0"/>
              <w:rPr>
                <w:sz w:val="20"/>
                <w:szCs w:val="20"/>
                <w:color w:val="auto"/>
              </w:rPr>
            </w:pPr>
            <w:r>
              <w:rPr>
                <w:rFonts w:ascii="Arial" w:cs="Arial" w:eastAsia="Arial" w:hAnsi="Arial"/>
                <w:sz w:val="16"/>
                <w:szCs w:val="16"/>
                <w:color w:val="3F3F3F"/>
              </w:rPr>
              <w:t>1,505,258</w:t>
            </w:r>
          </w:p>
        </w:tc>
        <w:tc>
          <w:tcPr>
            <w:tcW w:w="0" w:type="dxa"/>
            <w:vAlign w:val="bottom"/>
          </w:tcPr>
          <w:p>
            <w:pPr>
              <w:spacing w:after="0"/>
              <w:rPr>
                <w:sz w:val="1"/>
                <w:szCs w:val="1"/>
                <w:color w:val="auto"/>
              </w:rPr>
            </w:pPr>
          </w:p>
        </w:tc>
      </w:tr>
      <w:tr>
        <w:trPr>
          <w:trHeight w:val="454"/>
        </w:trPr>
        <w:tc>
          <w:tcPr>
            <w:tcW w:w="1880" w:type="dxa"/>
            <w:vAlign w:val="bottom"/>
            <w:tcBorders>
              <w:left w:val="single" w:sz="8" w:color="auto"/>
              <w:right w:val="single" w:sz="8" w:color="auto"/>
            </w:tcBorders>
          </w:tcPr>
          <w:p>
            <w:pPr>
              <w:spacing w:after="0"/>
              <w:rPr>
                <w:sz w:val="24"/>
                <w:szCs w:val="24"/>
                <w:color w:val="auto"/>
              </w:rPr>
            </w:pPr>
          </w:p>
        </w:tc>
        <w:tc>
          <w:tcPr>
            <w:tcW w:w="118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3F3F3F"/>
              </w:rPr>
              <w:t xml:space="preserve">2/26/2019 </w:t>
            </w:r>
            <w:r>
              <w:rPr>
                <w:rFonts w:ascii="Arial" w:cs="Arial" w:eastAsia="Arial" w:hAnsi="Arial"/>
                <w:sz w:val="26"/>
                <w:szCs w:val="26"/>
                <w:color w:val="3F3F3F"/>
                <w:vertAlign w:val="superscript"/>
              </w:rPr>
              <w:t>(2)</w:t>
            </w:r>
          </w:p>
        </w:tc>
        <w:tc>
          <w:tcPr>
            <w:tcW w:w="960" w:type="dxa"/>
            <w:vAlign w:val="bottom"/>
            <w:tcBorders>
              <w:right w:val="single" w:sz="8" w:color="auto"/>
            </w:tcBorders>
            <w:gridSpan w:val="2"/>
          </w:tcPr>
          <w:p>
            <w:pPr>
              <w:jc w:val="right"/>
              <w:ind w:right="362"/>
              <w:spacing w:after="0"/>
              <w:rPr>
                <w:sz w:val="20"/>
                <w:szCs w:val="20"/>
                <w:color w:val="auto"/>
              </w:rPr>
            </w:pPr>
            <w:r>
              <w:rPr>
                <w:rFonts w:ascii="Arial" w:cs="Arial" w:eastAsia="Arial" w:hAnsi="Arial"/>
                <w:sz w:val="16"/>
                <w:szCs w:val="16"/>
                <w:color w:val="3F3F3F"/>
              </w:rPr>
              <w:t>0</w:t>
            </w:r>
          </w:p>
        </w:tc>
        <w:tc>
          <w:tcPr>
            <w:tcW w:w="960" w:type="dxa"/>
            <w:vAlign w:val="bottom"/>
            <w:tcBorders>
              <w:right w:val="single" w:sz="8" w:color="auto"/>
            </w:tcBorders>
          </w:tcPr>
          <w:p>
            <w:pPr>
              <w:jc w:val="right"/>
              <w:ind w:right="100"/>
              <w:spacing w:after="0"/>
              <w:rPr>
                <w:sz w:val="20"/>
                <w:szCs w:val="20"/>
                <w:color w:val="auto"/>
              </w:rPr>
            </w:pPr>
            <w:r>
              <w:rPr>
                <w:rFonts w:ascii="Arial" w:cs="Arial" w:eastAsia="Arial" w:hAnsi="Arial"/>
                <w:sz w:val="16"/>
                <w:szCs w:val="16"/>
                <w:color w:val="3F3F3F"/>
              </w:rPr>
              <w:t>2,062,500</w:t>
            </w:r>
          </w:p>
        </w:tc>
        <w:tc>
          <w:tcPr>
            <w:tcW w:w="980" w:type="dxa"/>
            <w:vAlign w:val="bottom"/>
            <w:tcBorders>
              <w:right w:val="single" w:sz="8" w:color="auto"/>
            </w:tcBorders>
          </w:tcPr>
          <w:p>
            <w:pPr>
              <w:jc w:val="right"/>
              <w:ind w:right="100"/>
              <w:spacing w:after="0"/>
              <w:rPr>
                <w:sz w:val="20"/>
                <w:szCs w:val="20"/>
                <w:color w:val="auto"/>
              </w:rPr>
            </w:pPr>
            <w:r>
              <w:rPr>
                <w:rFonts w:ascii="Arial" w:cs="Arial" w:eastAsia="Arial" w:hAnsi="Arial"/>
                <w:sz w:val="16"/>
                <w:szCs w:val="16"/>
                <w:color w:val="3F3F3F"/>
              </w:rPr>
              <w:t>2,821,875</w:t>
            </w:r>
          </w:p>
        </w:tc>
        <w:tc>
          <w:tcPr>
            <w:tcW w:w="980" w:type="dxa"/>
            <w:vAlign w:val="bottom"/>
            <w:tcBorders>
              <w:right w:val="single" w:sz="8" w:color="auto"/>
            </w:tcBorders>
          </w:tcPr>
          <w:p>
            <w:pPr>
              <w:jc w:val="right"/>
              <w:ind w:right="223"/>
              <w:spacing w:after="0"/>
              <w:rPr>
                <w:sz w:val="20"/>
                <w:szCs w:val="20"/>
                <w:color w:val="auto"/>
              </w:rPr>
            </w:pPr>
            <w:r>
              <w:rPr>
                <w:rFonts w:ascii="Arial" w:cs="Arial" w:eastAsia="Arial" w:hAnsi="Arial"/>
                <w:sz w:val="16"/>
                <w:szCs w:val="16"/>
                <w:color w:val="3F3F3F"/>
              </w:rPr>
              <w:t>—</w:t>
            </w:r>
          </w:p>
        </w:tc>
        <w:tc>
          <w:tcPr>
            <w:tcW w:w="860" w:type="dxa"/>
            <w:vAlign w:val="bottom"/>
            <w:tcBorders>
              <w:right w:val="single" w:sz="8" w:color="auto"/>
            </w:tcBorders>
          </w:tcPr>
          <w:p>
            <w:pPr>
              <w:jc w:val="right"/>
              <w:ind w:right="203"/>
              <w:spacing w:after="0"/>
              <w:rPr>
                <w:sz w:val="20"/>
                <w:szCs w:val="20"/>
                <w:color w:val="auto"/>
              </w:rPr>
            </w:pPr>
            <w:r>
              <w:rPr>
                <w:rFonts w:ascii="Arial" w:cs="Arial" w:eastAsia="Arial" w:hAnsi="Arial"/>
                <w:sz w:val="16"/>
                <w:szCs w:val="16"/>
                <w:color w:val="3F3F3F"/>
              </w:rPr>
              <w:t>—</w:t>
            </w:r>
          </w:p>
        </w:tc>
        <w:tc>
          <w:tcPr>
            <w:tcW w:w="1280" w:type="dxa"/>
            <w:vAlign w:val="bottom"/>
            <w:tcBorders>
              <w:right w:val="single" w:sz="8" w:color="auto"/>
            </w:tcBorders>
          </w:tcPr>
          <w:p>
            <w:pPr>
              <w:jc w:val="right"/>
              <w:ind w:right="202"/>
              <w:spacing w:after="0"/>
              <w:rPr>
                <w:sz w:val="20"/>
                <w:szCs w:val="20"/>
                <w:color w:val="auto"/>
              </w:rPr>
            </w:pPr>
            <w:r>
              <w:rPr>
                <w:rFonts w:ascii="Arial" w:cs="Arial" w:eastAsia="Arial" w:hAnsi="Arial"/>
                <w:sz w:val="16"/>
                <w:szCs w:val="16"/>
                <w:color w:val="3F3F3F"/>
              </w:rPr>
              <w:t>—</w:t>
            </w:r>
          </w:p>
        </w:tc>
        <w:tc>
          <w:tcPr>
            <w:tcW w:w="0" w:type="dxa"/>
            <w:vAlign w:val="bottom"/>
          </w:tcPr>
          <w:p>
            <w:pPr>
              <w:spacing w:after="0"/>
              <w:rPr>
                <w:sz w:val="1"/>
                <w:szCs w:val="1"/>
                <w:color w:val="auto"/>
              </w:rPr>
            </w:pPr>
          </w:p>
        </w:tc>
      </w:tr>
      <w:tr>
        <w:trPr>
          <w:trHeight w:val="294"/>
        </w:trPr>
        <w:tc>
          <w:tcPr>
            <w:tcW w:w="1880" w:type="dxa"/>
            <w:vAlign w:val="bottom"/>
            <w:tcBorders>
              <w:left w:val="single" w:sz="8" w:color="auto"/>
              <w:bottom w:val="single" w:sz="8" w:color="auto"/>
              <w:right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ind w:left="140"/>
              <w:spacing w:after="0" w:line="295" w:lineRule="exact"/>
              <w:rPr>
                <w:sz w:val="20"/>
                <w:szCs w:val="20"/>
                <w:color w:val="auto"/>
              </w:rPr>
            </w:pPr>
            <w:r>
              <w:rPr>
                <w:rFonts w:ascii="Arial" w:cs="Arial" w:eastAsia="Arial" w:hAnsi="Arial"/>
                <w:sz w:val="16"/>
                <w:szCs w:val="16"/>
                <w:color w:val="3F3F3F"/>
              </w:rPr>
              <w:t xml:space="preserve">2/26/2019 </w:t>
            </w:r>
            <w:r>
              <w:rPr>
                <w:rFonts w:ascii="Arial" w:cs="Arial" w:eastAsia="Arial" w:hAnsi="Arial"/>
                <w:sz w:val="26"/>
                <w:szCs w:val="26"/>
                <w:color w:val="3F3F3F"/>
                <w:vertAlign w:val="superscript"/>
              </w:rPr>
              <w:t>(3)</w:t>
            </w: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right w:val="single" w:sz="8" w:color="auto"/>
            </w:tcBorders>
          </w:tcPr>
          <w:p>
            <w:pPr>
              <w:jc w:val="right"/>
              <w:ind w:right="362"/>
              <w:spacing w:after="0"/>
              <w:rPr>
                <w:sz w:val="20"/>
                <w:szCs w:val="20"/>
                <w:color w:val="auto"/>
              </w:rPr>
            </w:pPr>
            <w:r>
              <w:rPr>
                <w:rFonts w:ascii="Arial" w:cs="Arial" w:eastAsia="Arial" w:hAnsi="Arial"/>
                <w:sz w:val="16"/>
                <w:szCs w:val="16"/>
                <w:color w:val="3F3F3F"/>
              </w:rPr>
              <w:t>—</w:t>
            </w:r>
          </w:p>
        </w:tc>
        <w:tc>
          <w:tcPr>
            <w:tcW w:w="960" w:type="dxa"/>
            <w:vAlign w:val="bottom"/>
            <w:tcBorders>
              <w:bottom w:val="single" w:sz="8" w:color="auto"/>
              <w:right w:val="single" w:sz="8" w:color="auto"/>
            </w:tcBorders>
          </w:tcPr>
          <w:p>
            <w:pPr>
              <w:jc w:val="right"/>
              <w:ind w:right="100"/>
              <w:spacing w:after="0"/>
              <w:rPr>
                <w:sz w:val="20"/>
                <w:szCs w:val="20"/>
                <w:color w:val="auto"/>
              </w:rPr>
            </w:pPr>
            <w:r>
              <w:rPr>
                <w:rFonts w:ascii="Arial" w:cs="Arial" w:eastAsia="Arial" w:hAnsi="Arial"/>
                <w:sz w:val="16"/>
                <w:szCs w:val="16"/>
                <w:color w:val="3F3F3F"/>
              </w:rPr>
              <w:t>2,500,000</w:t>
            </w:r>
          </w:p>
        </w:tc>
        <w:tc>
          <w:tcPr>
            <w:tcW w:w="980" w:type="dxa"/>
            <w:vAlign w:val="bottom"/>
            <w:tcBorders>
              <w:bottom w:val="single" w:sz="8" w:color="auto"/>
              <w:right w:val="single" w:sz="8" w:color="auto"/>
            </w:tcBorders>
          </w:tcPr>
          <w:p>
            <w:pPr>
              <w:jc w:val="right"/>
              <w:ind w:right="100"/>
              <w:spacing w:after="0"/>
              <w:rPr>
                <w:sz w:val="20"/>
                <w:szCs w:val="20"/>
                <w:color w:val="auto"/>
              </w:rPr>
            </w:pPr>
            <w:r>
              <w:rPr>
                <w:rFonts w:ascii="Arial" w:cs="Arial" w:eastAsia="Arial" w:hAnsi="Arial"/>
                <w:sz w:val="16"/>
                <w:szCs w:val="16"/>
                <w:color w:val="3F3F3F"/>
              </w:rPr>
              <w:t>5,000,000</w:t>
            </w:r>
          </w:p>
        </w:tc>
        <w:tc>
          <w:tcPr>
            <w:tcW w:w="980" w:type="dxa"/>
            <w:vAlign w:val="bottom"/>
            <w:tcBorders>
              <w:bottom w:val="single" w:sz="8" w:color="auto"/>
              <w:right w:val="single" w:sz="8" w:color="auto"/>
            </w:tcBorders>
          </w:tcPr>
          <w:p>
            <w:pPr>
              <w:jc w:val="right"/>
              <w:ind w:right="223"/>
              <w:spacing w:after="0"/>
              <w:rPr>
                <w:sz w:val="20"/>
                <w:szCs w:val="20"/>
                <w:color w:val="auto"/>
              </w:rPr>
            </w:pPr>
            <w:r>
              <w:rPr>
                <w:rFonts w:ascii="Arial" w:cs="Arial" w:eastAsia="Arial" w:hAnsi="Arial"/>
                <w:sz w:val="16"/>
                <w:szCs w:val="16"/>
                <w:color w:val="3F3F3F"/>
              </w:rPr>
              <w:t>—</w:t>
            </w:r>
          </w:p>
        </w:tc>
        <w:tc>
          <w:tcPr>
            <w:tcW w:w="860" w:type="dxa"/>
            <w:vAlign w:val="bottom"/>
            <w:tcBorders>
              <w:bottom w:val="single" w:sz="8" w:color="auto"/>
              <w:right w:val="single" w:sz="8" w:color="auto"/>
            </w:tcBorders>
          </w:tcPr>
          <w:p>
            <w:pPr>
              <w:jc w:val="right"/>
              <w:ind w:right="203"/>
              <w:spacing w:after="0"/>
              <w:rPr>
                <w:sz w:val="20"/>
                <w:szCs w:val="20"/>
                <w:color w:val="auto"/>
              </w:rPr>
            </w:pPr>
            <w:r>
              <w:rPr>
                <w:rFonts w:ascii="Arial" w:cs="Arial" w:eastAsia="Arial" w:hAnsi="Arial"/>
                <w:sz w:val="16"/>
                <w:szCs w:val="16"/>
                <w:color w:val="3F3F3F"/>
              </w:rPr>
              <w:t>—</w:t>
            </w:r>
          </w:p>
        </w:tc>
        <w:tc>
          <w:tcPr>
            <w:tcW w:w="1280" w:type="dxa"/>
            <w:vAlign w:val="bottom"/>
            <w:tcBorders>
              <w:bottom w:val="single" w:sz="8" w:color="auto"/>
              <w:right w:val="single" w:sz="8" w:color="auto"/>
            </w:tcBorders>
          </w:tcPr>
          <w:p>
            <w:pPr>
              <w:jc w:val="right"/>
              <w:ind w:right="202"/>
              <w:spacing w:after="0"/>
              <w:rPr>
                <w:sz w:val="20"/>
                <w:szCs w:val="20"/>
                <w:color w:val="auto"/>
              </w:rPr>
            </w:pPr>
            <w:r>
              <w:rPr>
                <w:rFonts w:ascii="Arial" w:cs="Arial" w:eastAsia="Arial" w:hAnsi="Arial"/>
                <w:sz w:val="16"/>
                <w:szCs w:val="16"/>
                <w:color w:val="3F3F3F"/>
              </w:rPr>
              <w:t>—</w:t>
            </w:r>
          </w:p>
        </w:tc>
        <w:tc>
          <w:tcPr>
            <w:tcW w:w="0" w:type="dxa"/>
            <w:vAlign w:val="bottom"/>
          </w:tcPr>
          <w:p>
            <w:pPr>
              <w:spacing w:after="0"/>
              <w:rPr>
                <w:sz w:val="1"/>
                <w:szCs w:val="1"/>
                <w:color w:val="auto"/>
              </w:rPr>
            </w:pPr>
          </w:p>
        </w:tc>
      </w:tr>
      <w:tr>
        <w:trPr>
          <w:trHeight w:val="254"/>
        </w:trPr>
        <w:tc>
          <w:tcPr>
            <w:tcW w:w="18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6"/>
                <w:szCs w:val="16"/>
                <w:color w:val="3F3F3F"/>
              </w:rPr>
              <w:t>Joseph E. (Jeff)</w:t>
            </w:r>
          </w:p>
        </w:tc>
        <w:tc>
          <w:tcPr>
            <w:tcW w:w="118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3F3F3F"/>
              </w:rPr>
              <w:t>2/26/2019</w:t>
            </w:r>
          </w:p>
        </w:tc>
        <w:tc>
          <w:tcPr>
            <w:tcW w:w="140" w:type="dxa"/>
            <w:vAlign w:val="bottom"/>
          </w:tcPr>
          <w:p>
            <w:pPr>
              <w:spacing w:after="0"/>
              <w:rPr>
                <w:sz w:val="22"/>
                <w:szCs w:val="22"/>
                <w:color w:val="auto"/>
              </w:rPr>
            </w:pPr>
          </w:p>
        </w:tc>
        <w:tc>
          <w:tcPr>
            <w:tcW w:w="820" w:type="dxa"/>
            <w:vAlign w:val="bottom"/>
            <w:tcBorders>
              <w:right w:val="single" w:sz="8" w:color="auto"/>
            </w:tcBorders>
          </w:tcPr>
          <w:p>
            <w:pPr>
              <w:jc w:val="right"/>
              <w:ind w:right="362"/>
              <w:spacing w:after="0"/>
              <w:rPr>
                <w:sz w:val="20"/>
                <w:szCs w:val="20"/>
                <w:color w:val="auto"/>
              </w:rPr>
            </w:pPr>
            <w:r>
              <w:rPr>
                <w:rFonts w:ascii="Arial" w:cs="Arial" w:eastAsia="Arial" w:hAnsi="Arial"/>
                <w:sz w:val="16"/>
                <w:szCs w:val="16"/>
                <w:color w:val="3F3F3F"/>
              </w:rPr>
              <w:t>—</w:t>
            </w:r>
          </w:p>
        </w:tc>
        <w:tc>
          <w:tcPr>
            <w:tcW w:w="960" w:type="dxa"/>
            <w:vAlign w:val="bottom"/>
            <w:tcBorders>
              <w:right w:val="single" w:sz="8" w:color="auto"/>
            </w:tcBorders>
          </w:tcPr>
          <w:p>
            <w:pPr>
              <w:jc w:val="right"/>
              <w:ind w:right="100"/>
              <w:spacing w:after="0"/>
              <w:rPr>
                <w:sz w:val="20"/>
                <w:szCs w:val="20"/>
                <w:color w:val="auto"/>
              </w:rPr>
            </w:pPr>
            <w:r>
              <w:rPr>
                <w:rFonts w:ascii="Arial" w:cs="Arial" w:eastAsia="Arial" w:hAnsi="Arial"/>
                <w:sz w:val="16"/>
                <w:szCs w:val="16"/>
                <w:color w:val="3F3F3F"/>
              </w:rPr>
              <w:t>—</w:t>
            </w:r>
          </w:p>
        </w:tc>
        <w:tc>
          <w:tcPr>
            <w:tcW w:w="980" w:type="dxa"/>
            <w:vAlign w:val="bottom"/>
            <w:tcBorders>
              <w:right w:val="single" w:sz="8" w:color="auto"/>
            </w:tcBorders>
          </w:tcPr>
          <w:p>
            <w:pPr>
              <w:jc w:val="right"/>
              <w:ind w:right="100"/>
              <w:spacing w:after="0"/>
              <w:rPr>
                <w:sz w:val="20"/>
                <w:szCs w:val="20"/>
                <w:color w:val="auto"/>
              </w:rPr>
            </w:pPr>
            <w:r>
              <w:rPr>
                <w:rFonts w:ascii="Arial" w:cs="Arial" w:eastAsia="Arial" w:hAnsi="Arial"/>
                <w:sz w:val="16"/>
                <w:szCs w:val="16"/>
                <w:color w:val="3F3F3F"/>
              </w:rPr>
              <w:t>—</w:t>
            </w:r>
          </w:p>
        </w:tc>
        <w:tc>
          <w:tcPr>
            <w:tcW w:w="980" w:type="dxa"/>
            <w:vAlign w:val="bottom"/>
            <w:tcBorders>
              <w:right w:val="single" w:sz="8" w:color="auto"/>
            </w:tcBorders>
          </w:tcPr>
          <w:p>
            <w:pPr>
              <w:jc w:val="right"/>
              <w:ind w:right="223"/>
              <w:spacing w:after="0"/>
              <w:rPr>
                <w:sz w:val="20"/>
                <w:szCs w:val="20"/>
                <w:color w:val="auto"/>
              </w:rPr>
            </w:pPr>
            <w:r>
              <w:rPr>
                <w:rFonts w:ascii="Arial" w:cs="Arial" w:eastAsia="Arial" w:hAnsi="Arial"/>
                <w:sz w:val="16"/>
                <w:szCs w:val="16"/>
                <w:color w:val="3F3F3F"/>
              </w:rPr>
              <w:t>8,060</w:t>
            </w:r>
          </w:p>
        </w:tc>
        <w:tc>
          <w:tcPr>
            <w:tcW w:w="860" w:type="dxa"/>
            <w:vAlign w:val="bottom"/>
            <w:tcBorders>
              <w:right w:val="single" w:sz="8" w:color="auto"/>
            </w:tcBorders>
          </w:tcPr>
          <w:p>
            <w:pPr>
              <w:jc w:val="right"/>
              <w:ind w:right="203"/>
              <w:spacing w:after="0"/>
              <w:rPr>
                <w:sz w:val="20"/>
                <w:szCs w:val="20"/>
                <w:color w:val="auto"/>
              </w:rPr>
            </w:pPr>
            <w:r>
              <w:rPr>
                <w:rFonts w:ascii="Arial" w:cs="Arial" w:eastAsia="Arial" w:hAnsi="Arial"/>
                <w:sz w:val="16"/>
                <w:szCs w:val="16"/>
                <w:color w:val="3F3F3F"/>
              </w:rPr>
              <w:t>99.62</w:t>
            </w:r>
          </w:p>
        </w:tc>
        <w:tc>
          <w:tcPr>
            <w:tcW w:w="1280" w:type="dxa"/>
            <w:vAlign w:val="bottom"/>
            <w:tcBorders>
              <w:right w:val="single" w:sz="8" w:color="auto"/>
            </w:tcBorders>
          </w:tcPr>
          <w:p>
            <w:pPr>
              <w:jc w:val="right"/>
              <w:ind w:right="202"/>
              <w:spacing w:after="0"/>
              <w:rPr>
                <w:sz w:val="20"/>
                <w:szCs w:val="20"/>
                <w:color w:val="auto"/>
              </w:rPr>
            </w:pPr>
            <w:r>
              <w:rPr>
                <w:rFonts w:ascii="Arial" w:cs="Arial" w:eastAsia="Arial" w:hAnsi="Arial"/>
                <w:sz w:val="16"/>
                <w:szCs w:val="16"/>
                <w:color w:val="3F3F3F"/>
              </w:rPr>
              <w:t>802,937</w:t>
            </w:r>
          </w:p>
        </w:tc>
        <w:tc>
          <w:tcPr>
            <w:tcW w:w="0" w:type="dxa"/>
            <w:vAlign w:val="bottom"/>
          </w:tcPr>
          <w:p>
            <w:pPr>
              <w:spacing w:after="0"/>
              <w:rPr>
                <w:sz w:val="1"/>
                <w:szCs w:val="1"/>
                <w:color w:val="auto"/>
              </w:rPr>
            </w:pPr>
          </w:p>
        </w:tc>
      </w:tr>
      <w:tr>
        <w:trPr>
          <w:trHeight w:val="206"/>
        </w:trPr>
        <w:tc>
          <w:tcPr>
            <w:tcW w:w="18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6"/>
                <w:szCs w:val="16"/>
                <w:color w:val="3F3F3F"/>
              </w:rPr>
              <w:t>Consolino</w:t>
            </w:r>
          </w:p>
        </w:tc>
        <w:tc>
          <w:tcPr>
            <w:tcW w:w="1180" w:type="dxa"/>
            <w:vAlign w:val="bottom"/>
            <w:tcBorders>
              <w:right w:val="single" w:sz="8" w:color="auto"/>
            </w:tcBorders>
            <w:vMerge w:val="restart"/>
          </w:tcPr>
          <w:p>
            <w:pPr>
              <w:ind w:left="140"/>
              <w:spacing w:after="0"/>
              <w:rPr>
                <w:sz w:val="20"/>
                <w:szCs w:val="20"/>
                <w:color w:val="auto"/>
              </w:rPr>
            </w:pPr>
            <w:r>
              <w:rPr>
                <w:rFonts w:ascii="Arial" w:cs="Arial" w:eastAsia="Arial" w:hAnsi="Arial"/>
                <w:sz w:val="16"/>
                <w:szCs w:val="16"/>
                <w:color w:val="3F3F3F"/>
              </w:rPr>
              <w:t>2/20/2019</w:t>
            </w:r>
            <w:r>
              <w:rPr>
                <w:rFonts w:ascii="Arial" w:cs="Arial" w:eastAsia="Arial" w:hAnsi="Arial"/>
                <w:sz w:val="26"/>
                <w:szCs w:val="26"/>
                <w:color w:val="3F3F3F"/>
                <w:vertAlign w:val="superscript"/>
              </w:rPr>
              <w:t>(2)</w:t>
            </w:r>
          </w:p>
        </w:tc>
        <w:tc>
          <w:tcPr>
            <w:tcW w:w="960" w:type="dxa"/>
            <w:vAlign w:val="bottom"/>
            <w:tcBorders>
              <w:right w:val="single" w:sz="8" w:color="auto"/>
            </w:tcBorders>
            <w:gridSpan w:val="2"/>
            <w:vMerge w:val="restart"/>
          </w:tcPr>
          <w:p>
            <w:pPr>
              <w:jc w:val="right"/>
              <w:ind w:right="362"/>
              <w:spacing w:after="0"/>
              <w:rPr>
                <w:sz w:val="20"/>
                <w:szCs w:val="20"/>
                <w:color w:val="auto"/>
              </w:rPr>
            </w:pPr>
            <w:r>
              <w:rPr>
                <w:rFonts w:ascii="Arial" w:cs="Arial" w:eastAsia="Arial" w:hAnsi="Arial"/>
                <w:sz w:val="16"/>
                <w:szCs w:val="16"/>
                <w:color w:val="3F3F3F"/>
              </w:rPr>
              <w:t>0</w:t>
            </w:r>
          </w:p>
        </w:tc>
        <w:tc>
          <w:tcPr>
            <w:tcW w:w="960" w:type="dxa"/>
            <w:vAlign w:val="bottom"/>
            <w:tcBorders>
              <w:right w:val="single" w:sz="8" w:color="auto"/>
            </w:tcBorders>
            <w:vMerge w:val="restart"/>
          </w:tcPr>
          <w:p>
            <w:pPr>
              <w:jc w:val="right"/>
              <w:ind w:right="100"/>
              <w:spacing w:after="0"/>
              <w:rPr>
                <w:sz w:val="20"/>
                <w:szCs w:val="20"/>
                <w:color w:val="auto"/>
              </w:rPr>
            </w:pPr>
            <w:r>
              <w:rPr>
                <w:rFonts w:ascii="Arial" w:cs="Arial" w:eastAsia="Arial" w:hAnsi="Arial"/>
                <w:sz w:val="16"/>
                <w:szCs w:val="16"/>
                <w:color w:val="3F3F3F"/>
              </w:rPr>
              <w:t>1,481,250</w:t>
            </w:r>
          </w:p>
        </w:tc>
        <w:tc>
          <w:tcPr>
            <w:tcW w:w="980" w:type="dxa"/>
            <w:vAlign w:val="bottom"/>
            <w:tcBorders>
              <w:right w:val="single" w:sz="8" w:color="auto"/>
            </w:tcBorders>
            <w:vMerge w:val="restart"/>
          </w:tcPr>
          <w:p>
            <w:pPr>
              <w:jc w:val="right"/>
              <w:ind w:right="100"/>
              <w:spacing w:after="0"/>
              <w:rPr>
                <w:sz w:val="20"/>
                <w:szCs w:val="20"/>
                <w:color w:val="auto"/>
              </w:rPr>
            </w:pPr>
            <w:r>
              <w:rPr>
                <w:rFonts w:ascii="Arial" w:cs="Arial" w:eastAsia="Arial" w:hAnsi="Arial"/>
                <w:sz w:val="16"/>
                <w:szCs w:val="16"/>
                <w:color w:val="3F3F3F"/>
              </w:rPr>
              <w:t>1,910,813</w:t>
            </w:r>
          </w:p>
        </w:tc>
        <w:tc>
          <w:tcPr>
            <w:tcW w:w="980" w:type="dxa"/>
            <w:vAlign w:val="bottom"/>
            <w:tcBorders>
              <w:right w:val="single" w:sz="8" w:color="auto"/>
            </w:tcBorders>
            <w:vMerge w:val="restart"/>
          </w:tcPr>
          <w:p>
            <w:pPr>
              <w:jc w:val="right"/>
              <w:ind w:right="223"/>
              <w:spacing w:after="0"/>
              <w:rPr>
                <w:sz w:val="20"/>
                <w:szCs w:val="20"/>
                <w:color w:val="auto"/>
              </w:rPr>
            </w:pPr>
            <w:r>
              <w:rPr>
                <w:rFonts w:ascii="Arial" w:cs="Arial" w:eastAsia="Arial" w:hAnsi="Arial"/>
                <w:sz w:val="16"/>
                <w:szCs w:val="16"/>
                <w:color w:val="3F3F3F"/>
              </w:rPr>
              <w:t>—</w:t>
            </w:r>
          </w:p>
        </w:tc>
        <w:tc>
          <w:tcPr>
            <w:tcW w:w="860" w:type="dxa"/>
            <w:vAlign w:val="bottom"/>
            <w:tcBorders>
              <w:right w:val="single" w:sz="8" w:color="auto"/>
            </w:tcBorders>
            <w:vMerge w:val="restart"/>
          </w:tcPr>
          <w:p>
            <w:pPr>
              <w:jc w:val="right"/>
              <w:ind w:right="203"/>
              <w:spacing w:after="0"/>
              <w:rPr>
                <w:sz w:val="20"/>
                <w:szCs w:val="20"/>
                <w:color w:val="auto"/>
              </w:rPr>
            </w:pPr>
            <w:r>
              <w:rPr>
                <w:rFonts w:ascii="Arial" w:cs="Arial" w:eastAsia="Arial" w:hAnsi="Arial"/>
                <w:sz w:val="16"/>
                <w:szCs w:val="16"/>
                <w:color w:val="3F3F3F"/>
              </w:rPr>
              <w:t>—</w:t>
            </w:r>
          </w:p>
        </w:tc>
        <w:tc>
          <w:tcPr>
            <w:tcW w:w="1280" w:type="dxa"/>
            <w:vAlign w:val="bottom"/>
            <w:tcBorders>
              <w:right w:val="single" w:sz="8" w:color="auto"/>
            </w:tcBorders>
            <w:vMerge w:val="restart"/>
          </w:tcPr>
          <w:p>
            <w:pPr>
              <w:jc w:val="right"/>
              <w:ind w:right="202"/>
              <w:spacing w:after="0"/>
              <w:rPr>
                <w:sz w:val="20"/>
                <w:szCs w:val="20"/>
                <w:color w:val="auto"/>
              </w:rPr>
            </w:pPr>
            <w:r>
              <w:rPr>
                <w:rFonts w:ascii="Arial" w:cs="Arial" w:eastAsia="Arial" w:hAnsi="Arial"/>
                <w:sz w:val="16"/>
                <w:szCs w:val="16"/>
                <w:color w:val="3F3F3F"/>
              </w:rPr>
              <w:t>—</w:t>
            </w:r>
          </w:p>
        </w:tc>
        <w:tc>
          <w:tcPr>
            <w:tcW w:w="0" w:type="dxa"/>
            <w:vAlign w:val="bottom"/>
          </w:tcPr>
          <w:p>
            <w:pPr>
              <w:spacing w:after="0"/>
              <w:rPr>
                <w:sz w:val="1"/>
                <w:szCs w:val="1"/>
                <w:color w:val="auto"/>
              </w:rPr>
            </w:pPr>
          </w:p>
        </w:tc>
      </w:tr>
      <w:tr>
        <w:trPr>
          <w:trHeight w:val="252"/>
        </w:trPr>
        <w:tc>
          <w:tcPr>
            <w:tcW w:w="1880" w:type="dxa"/>
            <w:vAlign w:val="bottom"/>
            <w:tcBorders>
              <w:left w:val="single" w:sz="8" w:color="auto"/>
              <w:right w:val="single" w:sz="8" w:color="auto"/>
            </w:tcBorders>
          </w:tcPr>
          <w:p>
            <w:pPr>
              <w:spacing w:after="0"/>
              <w:rPr>
                <w:sz w:val="21"/>
                <w:szCs w:val="21"/>
                <w:color w:val="auto"/>
              </w:rPr>
            </w:pPr>
          </w:p>
        </w:tc>
        <w:tc>
          <w:tcPr>
            <w:tcW w:w="1180" w:type="dxa"/>
            <w:vAlign w:val="bottom"/>
            <w:tcBorders>
              <w:right w:val="single" w:sz="8" w:color="auto"/>
            </w:tcBorders>
            <w:vMerge w:val="continue"/>
          </w:tcPr>
          <w:p>
            <w:pPr>
              <w:spacing w:after="0"/>
              <w:rPr>
                <w:sz w:val="21"/>
                <w:szCs w:val="21"/>
                <w:color w:val="auto"/>
              </w:rPr>
            </w:pPr>
          </w:p>
        </w:tc>
        <w:tc>
          <w:tcPr>
            <w:tcW w:w="960" w:type="dxa"/>
            <w:vAlign w:val="bottom"/>
            <w:tcBorders>
              <w:right w:val="single" w:sz="8" w:color="auto"/>
            </w:tcBorders>
            <w:gridSpan w:val="2"/>
            <w:vMerge w:val="continue"/>
          </w:tcPr>
          <w:p>
            <w:pPr>
              <w:spacing w:after="0"/>
              <w:rPr>
                <w:sz w:val="21"/>
                <w:szCs w:val="21"/>
                <w:color w:val="auto"/>
              </w:rPr>
            </w:pPr>
          </w:p>
        </w:tc>
        <w:tc>
          <w:tcPr>
            <w:tcW w:w="960" w:type="dxa"/>
            <w:vAlign w:val="bottom"/>
            <w:tcBorders>
              <w:right w:val="single" w:sz="8" w:color="auto"/>
            </w:tcBorders>
            <w:vMerge w:val="continue"/>
          </w:tcPr>
          <w:p>
            <w:pPr>
              <w:spacing w:after="0"/>
              <w:rPr>
                <w:sz w:val="21"/>
                <w:szCs w:val="21"/>
                <w:color w:val="auto"/>
              </w:rPr>
            </w:pPr>
          </w:p>
        </w:tc>
        <w:tc>
          <w:tcPr>
            <w:tcW w:w="980" w:type="dxa"/>
            <w:vAlign w:val="bottom"/>
            <w:tcBorders>
              <w:right w:val="single" w:sz="8" w:color="auto"/>
            </w:tcBorders>
            <w:vMerge w:val="continue"/>
          </w:tcPr>
          <w:p>
            <w:pPr>
              <w:spacing w:after="0"/>
              <w:rPr>
                <w:sz w:val="21"/>
                <w:szCs w:val="21"/>
                <w:color w:val="auto"/>
              </w:rPr>
            </w:pPr>
          </w:p>
        </w:tc>
        <w:tc>
          <w:tcPr>
            <w:tcW w:w="980" w:type="dxa"/>
            <w:vAlign w:val="bottom"/>
            <w:tcBorders>
              <w:right w:val="single" w:sz="8" w:color="auto"/>
            </w:tcBorders>
            <w:vMerge w:val="continue"/>
          </w:tcPr>
          <w:p>
            <w:pPr>
              <w:spacing w:after="0"/>
              <w:rPr>
                <w:sz w:val="21"/>
                <w:szCs w:val="21"/>
                <w:color w:val="auto"/>
              </w:rPr>
            </w:pPr>
          </w:p>
        </w:tc>
        <w:tc>
          <w:tcPr>
            <w:tcW w:w="860" w:type="dxa"/>
            <w:vAlign w:val="bottom"/>
            <w:tcBorders>
              <w:right w:val="single" w:sz="8" w:color="auto"/>
            </w:tcBorders>
            <w:vMerge w:val="continue"/>
          </w:tcPr>
          <w:p>
            <w:pPr>
              <w:spacing w:after="0"/>
              <w:rPr>
                <w:sz w:val="21"/>
                <w:szCs w:val="21"/>
                <w:color w:val="auto"/>
              </w:rPr>
            </w:pPr>
          </w:p>
        </w:tc>
        <w:tc>
          <w:tcPr>
            <w:tcW w:w="1280" w:type="dxa"/>
            <w:vAlign w:val="bottom"/>
            <w:tcBorders>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4"/>
        </w:trPr>
        <w:tc>
          <w:tcPr>
            <w:tcW w:w="1880" w:type="dxa"/>
            <w:vAlign w:val="bottom"/>
            <w:tcBorders>
              <w:left w:val="single" w:sz="8" w:color="auto"/>
              <w:bottom w:val="single" w:sz="8" w:color="auto"/>
              <w:right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ind w:left="140"/>
              <w:spacing w:after="0" w:line="295" w:lineRule="exact"/>
              <w:rPr>
                <w:sz w:val="20"/>
                <w:szCs w:val="20"/>
                <w:color w:val="auto"/>
              </w:rPr>
            </w:pPr>
            <w:r>
              <w:rPr>
                <w:rFonts w:ascii="Arial" w:cs="Arial" w:eastAsia="Arial" w:hAnsi="Arial"/>
                <w:sz w:val="16"/>
                <w:szCs w:val="16"/>
                <w:color w:val="3F3F3F"/>
              </w:rPr>
              <w:t>2/26/2019</w:t>
            </w:r>
            <w:r>
              <w:rPr>
                <w:rFonts w:ascii="Arial" w:cs="Arial" w:eastAsia="Arial" w:hAnsi="Arial"/>
                <w:sz w:val="26"/>
                <w:szCs w:val="26"/>
                <w:color w:val="3F3F3F"/>
                <w:vertAlign w:val="superscript"/>
              </w:rPr>
              <w:t>(3)</w:t>
            </w: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right w:val="single" w:sz="8" w:color="auto"/>
            </w:tcBorders>
          </w:tcPr>
          <w:p>
            <w:pPr>
              <w:jc w:val="right"/>
              <w:ind w:right="362"/>
              <w:spacing w:after="0"/>
              <w:rPr>
                <w:sz w:val="20"/>
                <w:szCs w:val="20"/>
                <w:color w:val="auto"/>
              </w:rPr>
            </w:pPr>
            <w:r>
              <w:rPr>
                <w:rFonts w:ascii="Arial" w:cs="Arial" w:eastAsia="Arial" w:hAnsi="Arial"/>
                <w:sz w:val="16"/>
                <w:szCs w:val="16"/>
                <w:color w:val="3F3F3F"/>
              </w:rPr>
              <w:t>—</w:t>
            </w:r>
          </w:p>
        </w:tc>
        <w:tc>
          <w:tcPr>
            <w:tcW w:w="960" w:type="dxa"/>
            <w:vAlign w:val="bottom"/>
            <w:tcBorders>
              <w:bottom w:val="single" w:sz="8" w:color="auto"/>
              <w:right w:val="single" w:sz="8" w:color="auto"/>
            </w:tcBorders>
          </w:tcPr>
          <w:p>
            <w:pPr>
              <w:jc w:val="right"/>
              <w:ind w:right="100"/>
              <w:spacing w:after="0"/>
              <w:rPr>
                <w:sz w:val="20"/>
                <w:szCs w:val="20"/>
                <w:color w:val="auto"/>
              </w:rPr>
            </w:pPr>
            <w:r>
              <w:rPr>
                <w:rFonts w:ascii="Arial" w:cs="Arial" w:eastAsia="Arial" w:hAnsi="Arial"/>
                <w:sz w:val="16"/>
                <w:szCs w:val="16"/>
                <w:color w:val="3F3F3F"/>
              </w:rPr>
              <w:t>800,000</w:t>
            </w:r>
          </w:p>
        </w:tc>
        <w:tc>
          <w:tcPr>
            <w:tcW w:w="980" w:type="dxa"/>
            <w:vAlign w:val="bottom"/>
            <w:tcBorders>
              <w:bottom w:val="single" w:sz="8" w:color="auto"/>
              <w:right w:val="single" w:sz="8" w:color="auto"/>
            </w:tcBorders>
          </w:tcPr>
          <w:p>
            <w:pPr>
              <w:jc w:val="right"/>
              <w:ind w:right="100"/>
              <w:spacing w:after="0"/>
              <w:rPr>
                <w:sz w:val="20"/>
                <w:szCs w:val="20"/>
                <w:color w:val="auto"/>
              </w:rPr>
            </w:pPr>
            <w:r>
              <w:rPr>
                <w:rFonts w:ascii="Arial" w:cs="Arial" w:eastAsia="Arial" w:hAnsi="Arial"/>
                <w:sz w:val="16"/>
                <w:szCs w:val="16"/>
                <w:color w:val="3F3F3F"/>
              </w:rPr>
              <w:t>1,600,000</w:t>
            </w:r>
          </w:p>
        </w:tc>
        <w:tc>
          <w:tcPr>
            <w:tcW w:w="980" w:type="dxa"/>
            <w:vAlign w:val="bottom"/>
            <w:tcBorders>
              <w:bottom w:val="single" w:sz="8" w:color="auto"/>
              <w:right w:val="single" w:sz="8" w:color="auto"/>
            </w:tcBorders>
          </w:tcPr>
          <w:p>
            <w:pPr>
              <w:jc w:val="right"/>
              <w:ind w:right="223"/>
              <w:spacing w:after="0"/>
              <w:rPr>
                <w:sz w:val="20"/>
                <w:szCs w:val="20"/>
                <w:color w:val="auto"/>
              </w:rPr>
            </w:pPr>
            <w:r>
              <w:rPr>
                <w:rFonts w:ascii="Arial" w:cs="Arial" w:eastAsia="Arial" w:hAnsi="Arial"/>
                <w:sz w:val="16"/>
                <w:szCs w:val="16"/>
                <w:color w:val="3F3F3F"/>
              </w:rPr>
              <w:t>—</w:t>
            </w:r>
          </w:p>
        </w:tc>
        <w:tc>
          <w:tcPr>
            <w:tcW w:w="860" w:type="dxa"/>
            <w:vAlign w:val="bottom"/>
            <w:tcBorders>
              <w:bottom w:val="single" w:sz="8" w:color="auto"/>
              <w:right w:val="single" w:sz="8" w:color="auto"/>
            </w:tcBorders>
          </w:tcPr>
          <w:p>
            <w:pPr>
              <w:jc w:val="right"/>
              <w:ind w:right="203"/>
              <w:spacing w:after="0"/>
              <w:rPr>
                <w:sz w:val="20"/>
                <w:szCs w:val="20"/>
                <w:color w:val="auto"/>
              </w:rPr>
            </w:pPr>
            <w:r>
              <w:rPr>
                <w:rFonts w:ascii="Arial" w:cs="Arial" w:eastAsia="Arial" w:hAnsi="Arial"/>
                <w:sz w:val="16"/>
                <w:szCs w:val="16"/>
                <w:color w:val="3F3F3F"/>
              </w:rPr>
              <w:t>—</w:t>
            </w:r>
          </w:p>
        </w:tc>
        <w:tc>
          <w:tcPr>
            <w:tcW w:w="1280" w:type="dxa"/>
            <w:vAlign w:val="bottom"/>
            <w:tcBorders>
              <w:bottom w:val="single" w:sz="8" w:color="auto"/>
              <w:right w:val="single" w:sz="8" w:color="auto"/>
            </w:tcBorders>
          </w:tcPr>
          <w:p>
            <w:pPr>
              <w:jc w:val="right"/>
              <w:ind w:right="202"/>
              <w:spacing w:after="0"/>
              <w:rPr>
                <w:sz w:val="20"/>
                <w:szCs w:val="20"/>
                <w:color w:val="auto"/>
              </w:rPr>
            </w:pPr>
            <w:r>
              <w:rPr>
                <w:rFonts w:ascii="Arial" w:cs="Arial" w:eastAsia="Arial" w:hAnsi="Arial"/>
                <w:sz w:val="16"/>
                <w:szCs w:val="16"/>
                <w:color w:val="3F3F3F"/>
              </w:rPr>
              <w:t>—</w:t>
            </w:r>
          </w:p>
        </w:tc>
        <w:tc>
          <w:tcPr>
            <w:tcW w:w="0" w:type="dxa"/>
            <w:vAlign w:val="bottom"/>
          </w:tcPr>
          <w:p>
            <w:pPr>
              <w:spacing w:after="0"/>
              <w:rPr>
                <w:sz w:val="1"/>
                <w:szCs w:val="1"/>
                <w:color w:val="auto"/>
              </w:rPr>
            </w:pPr>
          </w:p>
        </w:tc>
      </w:tr>
      <w:tr>
        <w:trPr>
          <w:trHeight w:val="258"/>
        </w:trPr>
        <w:tc>
          <w:tcPr>
            <w:tcW w:w="18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6"/>
                <w:szCs w:val="16"/>
                <w:color w:val="3F3F3F"/>
              </w:rPr>
              <w:t>John B. Berding</w:t>
            </w:r>
          </w:p>
        </w:tc>
        <w:tc>
          <w:tcPr>
            <w:tcW w:w="118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3F3F3F"/>
              </w:rPr>
              <w:t>2/26/2019</w:t>
            </w:r>
          </w:p>
        </w:tc>
        <w:tc>
          <w:tcPr>
            <w:tcW w:w="140" w:type="dxa"/>
            <w:vAlign w:val="bottom"/>
          </w:tcPr>
          <w:p>
            <w:pPr>
              <w:spacing w:after="0"/>
              <w:rPr>
                <w:sz w:val="22"/>
                <w:szCs w:val="22"/>
                <w:color w:val="auto"/>
              </w:rPr>
            </w:pPr>
          </w:p>
        </w:tc>
        <w:tc>
          <w:tcPr>
            <w:tcW w:w="820" w:type="dxa"/>
            <w:vAlign w:val="bottom"/>
            <w:tcBorders>
              <w:right w:val="single" w:sz="8" w:color="auto"/>
            </w:tcBorders>
          </w:tcPr>
          <w:p>
            <w:pPr>
              <w:jc w:val="right"/>
              <w:ind w:right="362"/>
              <w:spacing w:after="0"/>
              <w:rPr>
                <w:sz w:val="20"/>
                <w:szCs w:val="20"/>
                <w:color w:val="auto"/>
              </w:rPr>
            </w:pPr>
            <w:r>
              <w:rPr>
                <w:rFonts w:ascii="Arial" w:cs="Arial" w:eastAsia="Arial" w:hAnsi="Arial"/>
                <w:sz w:val="16"/>
                <w:szCs w:val="16"/>
                <w:color w:val="3F3F3F"/>
              </w:rPr>
              <w:t>—</w:t>
            </w:r>
          </w:p>
        </w:tc>
        <w:tc>
          <w:tcPr>
            <w:tcW w:w="960" w:type="dxa"/>
            <w:vAlign w:val="bottom"/>
            <w:tcBorders>
              <w:right w:val="single" w:sz="8" w:color="auto"/>
            </w:tcBorders>
          </w:tcPr>
          <w:p>
            <w:pPr>
              <w:jc w:val="right"/>
              <w:ind w:right="100"/>
              <w:spacing w:after="0"/>
              <w:rPr>
                <w:sz w:val="20"/>
                <w:szCs w:val="20"/>
                <w:color w:val="auto"/>
              </w:rPr>
            </w:pPr>
            <w:r>
              <w:rPr>
                <w:rFonts w:ascii="Arial" w:cs="Arial" w:eastAsia="Arial" w:hAnsi="Arial"/>
                <w:sz w:val="16"/>
                <w:szCs w:val="16"/>
                <w:color w:val="3F3F3F"/>
              </w:rPr>
              <w:t>—</w:t>
            </w:r>
          </w:p>
        </w:tc>
        <w:tc>
          <w:tcPr>
            <w:tcW w:w="980" w:type="dxa"/>
            <w:vAlign w:val="bottom"/>
            <w:tcBorders>
              <w:right w:val="single" w:sz="8" w:color="auto"/>
            </w:tcBorders>
          </w:tcPr>
          <w:p>
            <w:pPr>
              <w:jc w:val="right"/>
              <w:ind w:right="100"/>
              <w:spacing w:after="0"/>
              <w:rPr>
                <w:sz w:val="20"/>
                <w:szCs w:val="20"/>
                <w:color w:val="auto"/>
              </w:rPr>
            </w:pPr>
            <w:r>
              <w:rPr>
                <w:rFonts w:ascii="Arial" w:cs="Arial" w:eastAsia="Arial" w:hAnsi="Arial"/>
                <w:sz w:val="16"/>
                <w:szCs w:val="16"/>
                <w:color w:val="3F3F3F"/>
              </w:rPr>
              <w:t>—</w:t>
            </w:r>
          </w:p>
        </w:tc>
        <w:tc>
          <w:tcPr>
            <w:tcW w:w="980" w:type="dxa"/>
            <w:vAlign w:val="bottom"/>
            <w:tcBorders>
              <w:right w:val="single" w:sz="8" w:color="auto"/>
            </w:tcBorders>
          </w:tcPr>
          <w:p>
            <w:pPr>
              <w:jc w:val="right"/>
              <w:ind w:right="223"/>
              <w:spacing w:after="0"/>
              <w:rPr>
                <w:sz w:val="20"/>
                <w:szCs w:val="20"/>
                <w:color w:val="auto"/>
              </w:rPr>
            </w:pPr>
            <w:r>
              <w:rPr>
                <w:rFonts w:ascii="Arial" w:cs="Arial" w:eastAsia="Arial" w:hAnsi="Arial"/>
                <w:sz w:val="16"/>
                <w:szCs w:val="16"/>
                <w:color w:val="3F3F3F"/>
              </w:rPr>
              <w:t>9,570</w:t>
            </w:r>
          </w:p>
        </w:tc>
        <w:tc>
          <w:tcPr>
            <w:tcW w:w="860" w:type="dxa"/>
            <w:vAlign w:val="bottom"/>
            <w:tcBorders>
              <w:right w:val="single" w:sz="8" w:color="auto"/>
            </w:tcBorders>
          </w:tcPr>
          <w:p>
            <w:pPr>
              <w:jc w:val="right"/>
              <w:ind w:right="203"/>
              <w:spacing w:after="0"/>
              <w:rPr>
                <w:sz w:val="20"/>
                <w:szCs w:val="20"/>
                <w:color w:val="auto"/>
              </w:rPr>
            </w:pPr>
            <w:r>
              <w:rPr>
                <w:rFonts w:ascii="Arial" w:cs="Arial" w:eastAsia="Arial" w:hAnsi="Arial"/>
                <w:sz w:val="16"/>
                <w:szCs w:val="16"/>
                <w:color w:val="3F3F3F"/>
              </w:rPr>
              <w:t>99.62</w:t>
            </w:r>
          </w:p>
        </w:tc>
        <w:tc>
          <w:tcPr>
            <w:tcW w:w="1280" w:type="dxa"/>
            <w:vAlign w:val="bottom"/>
            <w:tcBorders>
              <w:right w:val="single" w:sz="8" w:color="auto"/>
            </w:tcBorders>
          </w:tcPr>
          <w:p>
            <w:pPr>
              <w:jc w:val="right"/>
              <w:ind w:right="202"/>
              <w:spacing w:after="0"/>
              <w:rPr>
                <w:sz w:val="20"/>
                <w:szCs w:val="20"/>
                <w:color w:val="auto"/>
              </w:rPr>
            </w:pPr>
            <w:r>
              <w:rPr>
                <w:rFonts w:ascii="Arial" w:cs="Arial" w:eastAsia="Arial" w:hAnsi="Arial"/>
                <w:sz w:val="16"/>
                <w:szCs w:val="16"/>
                <w:color w:val="3F3F3F"/>
              </w:rPr>
              <w:t>953,363</w:t>
            </w:r>
          </w:p>
        </w:tc>
        <w:tc>
          <w:tcPr>
            <w:tcW w:w="0" w:type="dxa"/>
            <w:vAlign w:val="bottom"/>
          </w:tcPr>
          <w:p>
            <w:pPr>
              <w:spacing w:after="0"/>
              <w:rPr>
                <w:sz w:val="1"/>
                <w:szCs w:val="1"/>
                <w:color w:val="auto"/>
              </w:rPr>
            </w:pPr>
          </w:p>
        </w:tc>
      </w:tr>
      <w:tr>
        <w:trPr>
          <w:trHeight w:val="454"/>
        </w:trPr>
        <w:tc>
          <w:tcPr>
            <w:tcW w:w="1880" w:type="dxa"/>
            <w:vAlign w:val="bottom"/>
            <w:tcBorders>
              <w:left w:val="single" w:sz="8" w:color="auto"/>
              <w:right w:val="single" w:sz="8" w:color="auto"/>
            </w:tcBorders>
          </w:tcPr>
          <w:p>
            <w:pPr>
              <w:spacing w:after="0"/>
              <w:rPr>
                <w:sz w:val="24"/>
                <w:szCs w:val="24"/>
                <w:color w:val="auto"/>
              </w:rPr>
            </w:pPr>
          </w:p>
        </w:tc>
        <w:tc>
          <w:tcPr>
            <w:tcW w:w="118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3F3F3F"/>
              </w:rPr>
              <w:t>2/20/2019</w:t>
            </w:r>
            <w:r>
              <w:rPr>
                <w:rFonts w:ascii="Arial" w:cs="Arial" w:eastAsia="Arial" w:hAnsi="Arial"/>
                <w:sz w:val="26"/>
                <w:szCs w:val="26"/>
                <w:color w:val="3F3F3F"/>
                <w:vertAlign w:val="superscript"/>
              </w:rPr>
              <w:t>(2)</w:t>
            </w:r>
          </w:p>
        </w:tc>
        <w:tc>
          <w:tcPr>
            <w:tcW w:w="960" w:type="dxa"/>
            <w:vAlign w:val="bottom"/>
            <w:tcBorders>
              <w:right w:val="single" w:sz="8" w:color="auto"/>
            </w:tcBorders>
            <w:gridSpan w:val="2"/>
          </w:tcPr>
          <w:p>
            <w:pPr>
              <w:jc w:val="right"/>
              <w:ind w:right="362"/>
              <w:spacing w:after="0"/>
              <w:rPr>
                <w:sz w:val="20"/>
                <w:szCs w:val="20"/>
                <w:color w:val="auto"/>
              </w:rPr>
            </w:pPr>
            <w:r>
              <w:rPr>
                <w:rFonts w:ascii="Arial" w:cs="Arial" w:eastAsia="Arial" w:hAnsi="Arial"/>
                <w:sz w:val="16"/>
                <w:szCs w:val="16"/>
                <w:color w:val="3F3F3F"/>
              </w:rPr>
              <w:t>0</w:t>
            </w:r>
          </w:p>
        </w:tc>
        <w:tc>
          <w:tcPr>
            <w:tcW w:w="960" w:type="dxa"/>
            <w:vAlign w:val="bottom"/>
            <w:tcBorders>
              <w:right w:val="single" w:sz="8" w:color="auto"/>
            </w:tcBorders>
          </w:tcPr>
          <w:p>
            <w:pPr>
              <w:jc w:val="right"/>
              <w:ind w:right="100"/>
              <w:spacing w:after="0"/>
              <w:rPr>
                <w:sz w:val="20"/>
                <w:szCs w:val="20"/>
                <w:color w:val="auto"/>
              </w:rPr>
            </w:pPr>
            <w:r>
              <w:rPr>
                <w:rFonts w:ascii="Arial" w:cs="Arial" w:eastAsia="Arial" w:hAnsi="Arial"/>
                <w:sz w:val="16"/>
                <w:szCs w:val="16"/>
                <w:color w:val="3F3F3F"/>
              </w:rPr>
              <w:t>1,481,250</w:t>
            </w:r>
          </w:p>
        </w:tc>
        <w:tc>
          <w:tcPr>
            <w:tcW w:w="980" w:type="dxa"/>
            <w:vAlign w:val="bottom"/>
            <w:tcBorders>
              <w:right w:val="single" w:sz="8" w:color="auto"/>
            </w:tcBorders>
          </w:tcPr>
          <w:p>
            <w:pPr>
              <w:jc w:val="right"/>
              <w:ind w:right="100"/>
              <w:spacing w:after="0"/>
              <w:rPr>
                <w:sz w:val="20"/>
                <w:szCs w:val="20"/>
                <w:color w:val="auto"/>
              </w:rPr>
            </w:pPr>
            <w:r>
              <w:rPr>
                <w:rFonts w:ascii="Arial" w:cs="Arial" w:eastAsia="Arial" w:hAnsi="Arial"/>
                <w:sz w:val="16"/>
                <w:szCs w:val="16"/>
                <w:color w:val="3F3F3F"/>
              </w:rPr>
              <w:t>1,910,813</w:t>
            </w:r>
          </w:p>
        </w:tc>
        <w:tc>
          <w:tcPr>
            <w:tcW w:w="980" w:type="dxa"/>
            <w:vAlign w:val="bottom"/>
            <w:tcBorders>
              <w:right w:val="single" w:sz="8" w:color="auto"/>
            </w:tcBorders>
          </w:tcPr>
          <w:p>
            <w:pPr>
              <w:jc w:val="right"/>
              <w:ind w:right="223"/>
              <w:spacing w:after="0"/>
              <w:rPr>
                <w:sz w:val="20"/>
                <w:szCs w:val="20"/>
                <w:color w:val="auto"/>
              </w:rPr>
            </w:pPr>
            <w:r>
              <w:rPr>
                <w:rFonts w:ascii="Arial" w:cs="Arial" w:eastAsia="Arial" w:hAnsi="Arial"/>
                <w:sz w:val="16"/>
                <w:szCs w:val="16"/>
                <w:color w:val="3F3F3F"/>
              </w:rPr>
              <w:t>—</w:t>
            </w:r>
          </w:p>
        </w:tc>
        <w:tc>
          <w:tcPr>
            <w:tcW w:w="860" w:type="dxa"/>
            <w:vAlign w:val="bottom"/>
            <w:tcBorders>
              <w:right w:val="single" w:sz="8" w:color="auto"/>
            </w:tcBorders>
          </w:tcPr>
          <w:p>
            <w:pPr>
              <w:jc w:val="right"/>
              <w:ind w:right="203"/>
              <w:spacing w:after="0"/>
              <w:rPr>
                <w:sz w:val="20"/>
                <w:szCs w:val="20"/>
                <w:color w:val="auto"/>
              </w:rPr>
            </w:pPr>
            <w:r>
              <w:rPr>
                <w:rFonts w:ascii="Arial" w:cs="Arial" w:eastAsia="Arial" w:hAnsi="Arial"/>
                <w:sz w:val="16"/>
                <w:szCs w:val="16"/>
                <w:color w:val="3F3F3F"/>
              </w:rPr>
              <w:t>—</w:t>
            </w:r>
          </w:p>
        </w:tc>
        <w:tc>
          <w:tcPr>
            <w:tcW w:w="1280" w:type="dxa"/>
            <w:vAlign w:val="bottom"/>
            <w:tcBorders>
              <w:right w:val="single" w:sz="8" w:color="auto"/>
            </w:tcBorders>
          </w:tcPr>
          <w:p>
            <w:pPr>
              <w:jc w:val="right"/>
              <w:ind w:right="202"/>
              <w:spacing w:after="0"/>
              <w:rPr>
                <w:sz w:val="20"/>
                <w:szCs w:val="20"/>
                <w:color w:val="auto"/>
              </w:rPr>
            </w:pPr>
            <w:r>
              <w:rPr>
                <w:rFonts w:ascii="Arial" w:cs="Arial" w:eastAsia="Arial" w:hAnsi="Arial"/>
                <w:sz w:val="16"/>
                <w:szCs w:val="16"/>
                <w:color w:val="3F3F3F"/>
              </w:rPr>
              <w:t>—</w:t>
            </w:r>
          </w:p>
        </w:tc>
        <w:tc>
          <w:tcPr>
            <w:tcW w:w="0" w:type="dxa"/>
            <w:vAlign w:val="bottom"/>
          </w:tcPr>
          <w:p>
            <w:pPr>
              <w:spacing w:after="0"/>
              <w:rPr>
                <w:sz w:val="1"/>
                <w:szCs w:val="1"/>
                <w:color w:val="auto"/>
              </w:rPr>
            </w:pPr>
          </w:p>
        </w:tc>
      </w:tr>
      <w:tr>
        <w:trPr>
          <w:trHeight w:val="294"/>
        </w:trPr>
        <w:tc>
          <w:tcPr>
            <w:tcW w:w="1880" w:type="dxa"/>
            <w:vAlign w:val="bottom"/>
            <w:tcBorders>
              <w:left w:val="single" w:sz="8" w:color="auto"/>
              <w:bottom w:val="single" w:sz="8" w:color="auto"/>
              <w:right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ind w:left="140"/>
              <w:spacing w:after="0" w:line="295" w:lineRule="exact"/>
              <w:rPr>
                <w:sz w:val="20"/>
                <w:szCs w:val="20"/>
                <w:color w:val="auto"/>
              </w:rPr>
            </w:pPr>
            <w:r>
              <w:rPr>
                <w:rFonts w:ascii="Arial" w:cs="Arial" w:eastAsia="Arial" w:hAnsi="Arial"/>
                <w:sz w:val="16"/>
                <w:szCs w:val="16"/>
                <w:color w:val="3F3F3F"/>
              </w:rPr>
              <w:t>2/26/2019</w:t>
            </w:r>
            <w:r>
              <w:rPr>
                <w:rFonts w:ascii="Arial" w:cs="Arial" w:eastAsia="Arial" w:hAnsi="Arial"/>
                <w:sz w:val="26"/>
                <w:szCs w:val="26"/>
                <w:color w:val="3F3F3F"/>
                <w:vertAlign w:val="superscript"/>
              </w:rPr>
              <w:t>(3)</w:t>
            </w: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right w:val="single" w:sz="8" w:color="auto"/>
            </w:tcBorders>
          </w:tcPr>
          <w:p>
            <w:pPr>
              <w:jc w:val="right"/>
              <w:ind w:right="362"/>
              <w:spacing w:after="0"/>
              <w:rPr>
                <w:sz w:val="20"/>
                <w:szCs w:val="20"/>
                <w:color w:val="auto"/>
              </w:rPr>
            </w:pPr>
            <w:r>
              <w:rPr>
                <w:rFonts w:ascii="Arial" w:cs="Arial" w:eastAsia="Arial" w:hAnsi="Arial"/>
                <w:sz w:val="16"/>
                <w:szCs w:val="16"/>
                <w:color w:val="3F3F3F"/>
              </w:rPr>
              <w:t>—</w:t>
            </w:r>
          </w:p>
        </w:tc>
        <w:tc>
          <w:tcPr>
            <w:tcW w:w="960" w:type="dxa"/>
            <w:vAlign w:val="bottom"/>
            <w:tcBorders>
              <w:bottom w:val="single" w:sz="8" w:color="auto"/>
              <w:right w:val="single" w:sz="8" w:color="auto"/>
            </w:tcBorders>
          </w:tcPr>
          <w:p>
            <w:pPr>
              <w:jc w:val="right"/>
              <w:ind w:right="100"/>
              <w:spacing w:after="0"/>
              <w:rPr>
                <w:sz w:val="20"/>
                <w:szCs w:val="20"/>
                <w:color w:val="auto"/>
              </w:rPr>
            </w:pPr>
            <w:r>
              <w:rPr>
                <w:rFonts w:ascii="Arial" w:cs="Arial" w:eastAsia="Arial" w:hAnsi="Arial"/>
                <w:sz w:val="16"/>
                <w:szCs w:val="16"/>
                <w:color w:val="3F3F3F"/>
              </w:rPr>
              <w:t>800,000</w:t>
            </w:r>
          </w:p>
        </w:tc>
        <w:tc>
          <w:tcPr>
            <w:tcW w:w="980" w:type="dxa"/>
            <w:vAlign w:val="bottom"/>
            <w:tcBorders>
              <w:bottom w:val="single" w:sz="8" w:color="auto"/>
              <w:right w:val="single" w:sz="8" w:color="auto"/>
            </w:tcBorders>
          </w:tcPr>
          <w:p>
            <w:pPr>
              <w:jc w:val="right"/>
              <w:ind w:right="100"/>
              <w:spacing w:after="0"/>
              <w:rPr>
                <w:sz w:val="20"/>
                <w:szCs w:val="20"/>
                <w:color w:val="auto"/>
              </w:rPr>
            </w:pPr>
            <w:r>
              <w:rPr>
                <w:rFonts w:ascii="Arial" w:cs="Arial" w:eastAsia="Arial" w:hAnsi="Arial"/>
                <w:sz w:val="16"/>
                <w:szCs w:val="16"/>
                <w:color w:val="3F3F3F"/>
              </w:rPr>
              <w:t>1,600,000</w:t>
            </w:r>
          </w:p>
        </w:tc>
        <w:tc>
          <w:tcPr>
            <w:tcW w:w="980" w:type="dxa"/>
            <w:vAlign w:val="bottom"/>
            <w:tcBorders>
              <w:bottom w:val="single" w:sz="8" w:color="auto"/>
              <w:right w:val="single" w:sz="8" w:color="auto"/>
            </w:tcBorders>
          </w:tcPr>
          <w:p>
            <w:pPr>
              <w:jc w:val="right"/>
              <w:ind w:right="223"/>
              <w:spacing w:after="0"/>
              <w:rPr>
                <w:sz w:val="20"/>
                <w:szCs w:val="20"/>
                <w:color w:val="auto"/>
              </w:rPr>
            </w:pPr>
            <w:r>
              <w:rPr>
                <w:rFonts w:ascii="Arial" w:cs="Arial" w:eastAsia="Arial" w:hAnsi="Arial"/>
                <w:sz w:val="16"/>
                <w:szCs w:val="16"/>
                <w:color w:val="3F3F3F"/>
              </w:rPr>
              <w:t>—</w:t>
            </w:r>
          </w:p>
        </w:tc>
        <w:tc>
          <w:tcPr>
            <w:tcW w:w="860" w:type="dxa"/>
            <w:vAlign w:val="bottom"/>
            <w:tcBorders>
              <w:bottom w:val="single" w:sz="8" w:color="auto"/>
              <w:right w:val="single" w:sz="8" w:color="auto"/>
            </w:tcBorders>
          </w:tcPr>
          <w:p>
            <w:pPr>
              <w:jc w:val="right"/>
              <w:ind w:right="203"/>
              <w:spacing w:after="0"/>
              <w:rPr>
                <w:sz w:val="20"/>
                <w:szCs w:val="20"/>
                <w:color w:val="auto"/>
              </w:rPr>
            </w:pPr>
            <w:r>
              <w:rPr>
                <w:rFonts w:ascii="Arial" w:cs="Arial" w:eastAsia="Arial" w:hAnsi="Arial"/>
                <w:sz w:val="16"/>
                <w:szCs w:val="16"/>
                <w:color w:val="3F3F3F"/>
              </w:rPr>
              <w:t>—</w:t>
            </w:r>
          </w:p>
        </w:tc>
        <w:tc>
          <w:tcPr>
            <w:tcW w:w="1280" w:type="dxa"/>
            <w:vAlign w:val="bottom"/>
            <w:tcBorders>
              <w:bottom w:val="single" w:sz="8" w:color="auto"/>
              <w:right w:val="single" w:sz="8" w:color="auto"/>
            </w:tcBorders>
          </w:tcPr>
          <w:p>
            <w:pPr>
              <w:jc w:val="right"/>
              <w:ind w:right="202"/>
              <w:spacing w:after="0"/>
              <w:rPr>
                <w:sz w:val="20"/>
                <w:szCs w:val="20"/>
                <w:color w:val="auto"/>
              </w:rPr>
            </w:pPr>
            <w:r>
              <w:rPr>
                <w:rFonts w:ascii="Arial" w:cs="Arial" w:eastAsia="Arial" w:hAnsi="Arial"/>
                <w:sz w:val="16"/>
                <w:szCs w:val="16"/>
                <w:color w:val="3F3F3F"/>
              </w:rPr>
              <w:t>—</w:t>
            </w:r>
          </w:p>
        </w:tc>
        <w:tc>
          <w:tcPr>
            <w:tcW w:w="0" w:type="dxa"/>
            <w:vAlign w:val="bottom"/>
          </w:tcPr>
          <w:p>
            <w:pPr>
              <w:spacing w:after="0"/>
              <w:rPr>
                <w:sz w:val="1"/>
                <w:szCs w:val="1"/>
                <w:color w:val="auto"/>
              </w:rPr>
            </w:pPr>
          </w:p>
        </w:tc>
      </w:tr>
      <w:tr>
        <w:trPr>
          <w:trHeight w:val="258"/>
        </w:trPr>
        <w:tc>
          <w:tcPr>
            <w:tcW w:w="18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6"/>
                <w:szCs w:val="16"/>
                <w:color w:val="3F3F3F"/>
              </w:rPr>
              <w:t>Michelle A. Gillis</w:t>
            </w:r>
          </w:p>
        </w:tc>
        <w:tc>
          <w:tcPr>
            <w:tcW w:w="118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3F3F3F"/>
              </w:rPr>
              <w:t>2/26/2019</w:t>
            </w:r>
          </w:p>
        </w:tc>
        <w:tc>
          <w:tcPr>
            <w:tcW w:w="140" w:type="dxa"/>
            <w:vAlign w:val="bottom"/>
          </w:tcPr>
          <w:p>
            <w:pPr>
              <w:spacing w:after="0"/>
              <w:rPr>
                <w:sz w:val="22"/>
                <w:szCs w:val="22"/>
                <w:color w:val="auto"/>
              </w:rPr>
            </w:pPr>
          </w:p>
        </w:tc>
        <w:tc>
          <w:tcPr>
            <w:tcW w:w="820" w:type="dxa"/>
            <w:vAlign w:val="bottom"/>
            <w:tcBorders>
              <w:right w:val="single" w:sz="8" w:color="auto"/>
            </w:tcBorders>
          </w:tcPr>
          <w:p>
            <w:pPr>
              <w:jc w:val="right"/>
              <w:ind w:right="362"/>
              <w:spacing w:after="0"/>
              <w:rPr>
                <w:sz w:val="20"/>
                <w:szCs w:val="20"/>
                <w:color w:val="auto"/>
              </w:rPr>
            </w:pPr>
            <w:r>
              <w:rPr>
                <w:rFonts w:ascii="Arial" w:cs="Arial" w:eastAsia="Arial" w:hAnsi="Arial"/>
                <w:sz w:val="16"/>
                <w:szCs w:val="16"/>
                <w:color w:val="3F3F3F"/>
              </w:rPr>
              <w:t>—</w:t>
            </w:r>
          </w:p>
        </w:tc>
        <w:tc>
          <w:tcPr>
            <w:tcW w:w="960" w:type="dxa"/>
            <w:vAlign w:val="bottom"/>
            <w:tcBorders>
              <w:right w:val="single" w:sz="8" w:color="auto"/>
            </w:tcBorders>
          </w:tcPr>
          <w:p>
            <w:pPr>
              <w:jc w:val="right"/>
              <w:ind w:right="100"/>
              <w:spacing w:after="0"/>
              <w:rPr>
                <w:sz w:val="20"/>
                <w:szCs w:val="20"/>
                <w:color w:val="auto"/>
              </w:rPr>
            </w:pPr>
            <w:r>
              <w:rPr>
                <w:rFonts w:ascii="Arial" w:cs="Arial" w:eastAsia="Arial" w:hAnsi="Arial"/>
                <w:sz w:val="16"/>
                <w:szCs w:val="16"/>
                <w:color w:val="3F3F3F"/>
              </w:rPr>
              <w:t>—</w:t>
            </w:r>
          </w:p>
        </w:tc>
        <w:tc>
          <w:tcPr>
            <w:tcW w:w="980" w:type="dxa"/>
            <w:vAlign w:val="bottom"/>
            <w:tcBorders>
              <w:right w:val="single" w:sz="8" w:color="auto"/>
            </w:tcBorders>
          </w:tcPr>
          <w:p>
            <w:pPr>
              <w:jc w:val="right"/>
              <w:ind w:right="100"/>
              <w:spacing w:after="0"/>
              <w:rPr>
                <w:sz w:val="20"/>
                <w:szCs w:val="20"/>
                <w:color w:val="auto"/>
              </w:rPr>
            </w:pPr>
            <w:r>
              <w:rPr>
                <w:rFonts w:ascii="Arial" w:cs="Arial" w:eastAsia="Arial" w:hAnsi="Arial"/>
                <w:sz w:val="16"/>
                <w:szCs w:val="16"/>
                <w:color w:val="3F3F3F"/>
              </w:rPr>
              <w:t>—</w:t>
            </w:r>
          </w:p>
        </w:tc>
        <w:tc>
          <w:tcPr>
            <w:tcW w:w="980" w:type="dxa"/>
            <w:vAlign w:val="bottom"/>
            <w:tcBorders>
              <w:right w:val="single" w:sz="8" w:color="auto"/>
            </w:tcBorders>
          </w:tcPr>
          <w:p>
            <w:pPr>
              <w:jc w:val="right"/>
              <w:ind w:right="223"/>
              <w:spacing w:after="0"/>
              <w:rPr>
                <w:sz w:val="20"/>
                <w:szCs w:val="20"/>
                <w:color w:val="auto"/>
              </w:rPr>
            </w:pPr>
            <w:r>
              <w:rPr>
                <w:rFonts w:ascii="Arial" w:cs="Arial" w:eastAsia="Arial" w:hAnsi="Arial"/>
                <w:sz w:val="16"/>
                <w:szCs w:val="16"/>
                <w:color w:val="3F3F3F"/>
              </w:rPr>
              <w:t>3,225</w:t>
            </w:r>
          </w:p>
        </w:tc>
        <w:tc>
          <w:tcPr>
            <w:tcW w:w="860" w:type="dxa"/>
            <w:vAlign w:val="bottom"/>
            <w:tcBorders>
              <w:right w:val="single" w:sz="8" w:color="auto"/>
            </w:tcBorders>
          </w:tcPr>
          <w:p>
            <w:pPr>
              <w:jc w:val="right"/>
              <w:ind w:right="203"/>
              <w:spacing w:after="0"/>
              <w:rPr>
                <w:sz w:val="20"/>
                <w:szCs w:val="20"/>
                <w:color w:val="auto"/>
              </w:rPr>
            </w:pPr>
            <w:r>
              <w:rPr>
                <w:rFonts w:ascii="Arial" w:cs="Arial" w:eastAsia="Arial" w:hAnsi="Arial"/>
                <w:sz w:val="16"/>
                <w:szCs w:val="16"/>
                <w:color w:val="3F3F3F"/>
              </w:rPr>
              <w:t>99.62</w:t>
            </w:r>
          </w:p>
        </w:tc>
        <w:tc>
          <w:tcPr>
            <w:tcW w:w="1280" w:type="dxa"/>
            <w:vAlign w:val="bottom"/>
            <w:tcBorders>
              <w:right w:val="single" w:sz="8" w:color="auto"/>
            </w:tcBorders>
          </w:tcPr>
          <w:p>
            <w:pPr>
              <w:jc w:val="right"/>
              <w:ind w:right="202"/>
              <w:spacing w:after="0"/>
              <w:rPr>
                <w:sz w:val="20"/>
                <w:szCs w:val="20"/>
                <w:color w:val="auto"/>
              </w:rPr>
            </w:pPr>
            <w:r>
              <w:rPr>
                <w:rFonts w:ascii="Arial" w:cs="Arial" w:eastAsia="Arial" w:hAnsi="Arial"/>
                <w:sz w:val="16"/>
                <w:szCs w:val="16"/>
                <w:color w:val="3F3F3F"/>
              </w:rPr>
              <w:t>321,275</w:t>
            </w:r>
          </w:p>
        </w:tc>
        <w:tc>
          <w:tcPr>
            <w:tcW w:w="0" w:type="dxa"/>
            <w:vAlign w:val="bottom"/>
          </w:tcPr>
          <w:p>
            <w:pPr>
              <w:spacing w:after="0"/>
              <w:rPr>
                <w:sz w:val="1"/>
                <w:szCs w:val="1"/>
                <w:color w:val="auto"/>
              </w:rPr>
            </w:pPr>
          </w:p>
        </w:tc>
      </w:tr>
      <w:tr>
        <w:trPr>
          <w:trHeight w:val="338"/>
        </w:trPr>
        <w:tc>
          <w:tcPr>
            <w:tcW w:w="1880" w:type="dxa"/>
            <w:vAlign w:val="bottom"/>
            <w:tcBorders>
              <w:left w:val="single" w:sz="8" w:color="auto"/>
              <w:right w:val="single" w:sz="8" w:color="auto"/>
            </w:tcBorders>
          </w:tcPr>
          <w:p>
            <w:pPr>
              <w:spacing w:after="0"/>
              <w:rPr>
                <w:sz w:val="24"/>
                <w:szCs w:val="24"/>
                <w:color w:val="auto"/>
              </w:rPr>
            </w:pPr>
          </w:p>
        </w:tc>
        <w:tc>
          <w:tcPr>
            <w:tcW w:w="118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3F3F3F"/>
              </w:rPr>
              <w:t>2/26/2019</w:t>
            </w:r>
          </w:p>
        </w:tc>
        <w:tc>
          <w:tcPr>
            <w:tcW w:w="960" w:type="dxa"/>
            <w:vAlign w:val="bottom"/>
            <w:tcBorders>
              <w:right w:val="single" w:sz="8" w:color="auto"/>
            </w:tcBorders>
            <w:gridSpan w:val="2"/>
          </w:tcPr>
          <w:p>
            <w:pPr>
              <w:jc w:val="right"/>
              <w:ind w:right="362"/>
              <w:spacing w:after="0"/>
              <w:rPr>
                <w:sz w:val="20"/>
                <w:szCs w:val="20"/>
                <w:color w:val="auto"/>
              </w:rPr>
            </w:pPr>
            <w:r>
              <w:rPr>
                <w:rFonts w:ascii="Arial" w:cs="Arial" w:eastAsia="Arial" w:hAnsi="Arial"/>
                <w:sz w:val="16"/>
                <w:szCs w:val="16"/>
                <w:color w:val="3F3F3F"/>
              </w:rPr>
              <w:t>0</w:t>
            </w:r>
          </w:p>
        </w:tc>
        <w:tc>
          <w:tcPr>
            <w:tcW w:w="960" w:type="dxa"/>
            <w:vAlign w:val="bottom"/>
            <w:tcBorders>
              <w:right w:val="single" w:sz="8" w:color="auto"/>
            </w:tcBorders>
          </w:tcPr>
          <w:p>
            <w:pPr>
              <w:jc w:val="right"/>
              <w:ind w:right="100"/>
              <w:spacing w:after="0"/>
              <w:rPr>
                <w:sz w:val="20"/>
                <w:szCs w:val="20"/>
                <w:color w:val="auto"/>
              </w:rPr>
            </w:pPr>
            <w:r>
              <w:rPr>
                <w:rFonts w:ascii="Arial" w:cs="Arial" w:eastAsia="Arial" w:hAnsi="Arial"/>
                <w:sz w:val="16"/>
                <w:szCs w:val="16"/>
                <w:color w:val="3F3F3F"/>
              </w:rPr>
              <w:t>275,000</w:t>
            </w:r>
          </w:p>
        </w:tc>
        <w:tc>
          <w:tcPr>
            <w:tcW w:w="980" w:type="dxa"/>
            <w:vAlign w:val="bottom"/>
            <w:tcBorders>
              <w:right w:val="single" w:sz="8" w:color="auto"/>
            </w:tcBorders>
          </w:tcPr>
          <w:p>
            <w:pPr>
              <w:jc w:val="right"/>
              <w:ind w:right="100"/>
              <w:spacing w:after="0"/>
              <w:rPr>
                <w:sz w:val="20"/>
                <w:szCs w:val="20"/>
                <w:color w:val="auto"/>
              </w:rPr>
            </w:pPr>
            <w:r>
              <w:rPr>
                <w:rFonts w:ascii="Arial" w:cs="Arial" w:eastAsia="Arial" w:hAnsi="Arial"/>
                <w:sz w:val="16"/>
                <w:szCs w:val="16"/>
                <w:color w:val="3F3F3F"/>
              </w:rPr>
              <w:t>343,750</w:t>
            </w:r>
          </w:p>
        </w:tc>
        <w:tc>
          <w:tcPr>
            <w:tcW w:w="980" w:type="dxa"/>
            <w:vAlign w:val="bottom"/>
            <w:tcBorders>
              <w:right w:val="single" w:sz="8" w:color="auto"/>
            </w:tcBorders>
          </w:tcPr>
          <w:p>
            <w:pPr>
              <w:jc w:val="right"/>
              <w:ind w:right="223"/>
              <w:spacing w:after="0"/>
              <w:rPr>
                <w:sz w:val="20"/>
                <w:szCs w:val="20"/>
                <w:color w:val="auto"/>
              </w:rPr>
            </w:pPr>
            <w:r>
              <w:rPr>
                <w:rFonts w:ascii="Arial" w:cs="Arial" w:eastAsia="Arial" w:hAnsi="Arial"/>
                <w:sz w:val="16"/>
                <w:szCs w:val="16"/>
                <w:color w:val="3F3F3F"/>
              </w:rPr>
              <w:t>—</w:t>
            </w:r>
          </w:p>
        </w:tc>
        <w:tc>
          <w:tcPr>
            <w:tcW w:w="860" w:type="dxa"/>
            <w:vAlign w:val="bottom"/>
            <w:tcBorders>
              <w:right w:val="single" w:sz="8" w:color="auto"/>
            </w:tcBorders>
          </w:tcPr>
          <w:p>
            <w:pPr>
              <w:jc w:val="right"/>
              <w:ind w:right="203"/>
              <w:spacing w:after="0"/>
              <w:rPr>
                <w:sz w:val="20"/>
                <w:szCs w:val="20"/>
                <w:color w:val="auto"/>
              </w:rPr>
            </w:pPr>
            <w:r>
              <w:rPr>
                <w:rFonts w:ascii="Arial" w:cs="Arial" w:eastAsia="Arial" w:hAnsi="Arial"/>
                <w:sz w:val="16"/>
                <w:szCs w:val="16"/>
                <w:color w:val="3F3F3F"/>
              </w:rPr>
              <w:t>—</w:t>
            </w:r>
          </w:p>
        </w:tc>
        <w:tc>
          <w:tcPr>
            <w:tcW w:w="1280" w:type="dxa"/>
            <w:vAlign w:val="bottom"/>
            <w:tcBorders>
              <w:right w:val="single" w:sz="8" w:color="auto"/>
            </w:tcBorders>
          </w:tcPr>
          <w:p>
            <w:pPr>
              <w:jc w:val="right"/>
              <w:ind w:right="202"/>
              <w:spacing w:after="0"/>
              <w:rPr>
                <w:sz w:val="20"/>
                <w:szCs w:val="20"/>
                <w:color w:val="auto"/>
              </w:rPr>
            </w:pPr>
            <w:r>
              <w:rPr>
                <w:rFonts w:ascii="Arial" w:cs="Arial" w:eastAsia="Arial" w:hAnsi="Arial"/>
                <w:sz w:val="16"/>
                <w:szCs w:val="16"/>
                <w:color w:val="3F3F3F"/>
              </w:rPr>
              <w:t>—</w:t>
            </w:r>
          </w:p>
        </w:tc>
        <w:tc>
          <w:tcPr>
            <w:tcW w:w="0" w:type="dxa"/>
            <w:vAlign w:val="bottom"/>
          </w:tcPr>
          <w:p>
            <w:pPr>
              <w:spacing w:after="0"/>
              <w:rPr>
                <w:sz w:val="1"/>
                <w:szCs w:val="1"/>
                <w:color w:val="auto"/>
              </w:rPr>
            </w:pPr>
          </w:p>
        </w:tc>
      </w:tr>
      <w:tr>
        <w:trPr>
          <w:trHeight w:val="73"/>
        </w:trPr>
        <w:tc>
          <w:tcPr>
            <w:tcW w:w="1880" w:type="dxa"/>
            <w:vAlign w:val="bottom"/>
            <w:tcBorders>
              <w:left w:val="single" w:sz="8" w:color="auto"/>
              <w:bottom w:val="single" w:sz="8" w:color="auto"/>
              <w:right w:val="single" w:sz="8" w:color="auto"/>
            </w:tcBorders>
          </w:tcPr>
          <w:p>
            <w:pPr>
              <w:spacing w:after="0"/>
              <w:rPr>
                <w:sz w:val="6"/>
                <w:szCs w:val="6"/>
                <w:color w:val="auto"/>
              </w:rPr>
            </w:pPr>
          </w:p>
        </w:tc>
        <w:tc>
          <w:tcPr>
            <w:tcW w:w="1180" w:type="dxa"/>
            <w:vAlign w:val="bottom"/>
            <w:tcBorders>
              <w:bottom w:val="single" w:sz="8" w:color="auto"/>
              <w:right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20" w:type="dxa"/>
            <w:vAlign w:val="bottom"/>
            <w:tcBorders>
              <w:bottom w:val="single" w:sz="8" w:color="auto"/>
              <w:right w:val="single" w:sz="8" w:color="auto"/>
            </w:tcBorders>
          </w:tcPr>
          <w:p>
            <w:pPr>
              <w:spacing w:after="0"/>
              <w:rPr>
                <w:sz w:val="6"/>
                <w:szCs w:val="6"/>
                <w:color w:val="auto"/>
              </w:rPr>
            </w:pPr>
          </w:p>
        </w:tc>
        <w:tc>
          <w:tcPr>
            <w:tcW w:w="960" w:type="dxa"/>
            <w:vAlign w:val="bottom"/>
            <w:tcBorders>
              <w:bottom w:val="single" w:sz="8" w:color="auto"/>
              <w:right w:val="single" w:sz="8" w:color="auto"/>
            </w:tcBorders>
          </w:tcPr>
          <w:p>
            <w:pPr>
              <w:spacing w:after="0"/>
              <w:rPr>
                <w:sz w:val="6"/>
                <w:szCs w:val="6"/>
                <w:color w:val="auto"/>
              </w:rPr>
            </w:pPr>
          </w:p>
        </w:tc>
        <w:tc>
          <w:tcPr>
            <w:tcW w:w="980" w:type="dxa"/>
            <w:vAlign w:val="bottom"/>
            <w:tcBorders>
              <w:bottom w:val="single" w:sz="8" w:color="auto"/>
              <w:right w:val="single" w:sz="8" w:color="auto"/>
            </w:tcBorders>
          </w:tcPr>
          <w:p>
            <w:pPr>
              <w:spacing w:after="0"/>
              <w:rPr>
                <w:sz w:val="6"/>
                <w:szCs w:val="6"/>
                <w:color w:val="auto"/>
              </w:rPr>
            </w:pPr>
          </w:p>
        </w:tc>
        <w:tc>
          <w:tcPr>
            <w:tcW w:w="980" w:type="dxa"/>
            <w:vAlign w:val="bottom"/>
            <w:tcBorders>
              <w:bottom w:val="single" w:sz="8" w:color="auto"/>
              <w:right w:val="single" w:sz="8" w:color="auto"/>
            </w:tcBorders>
          </w:tcPr>
          <w:p>
            <w:pPr>
              <w:spacing w:after="0"/>
              <w:rPr>
                <w:sz w:val="6"/>
                <w:szCs w:val="6"/>
                <w:color w:val="auto"/>
              </w:rPr>
            </w:pPr>
          </w:p>
        </w:tc>
        <w:tc>
          <w:tcPr>
            <w:tcW w:w="860" w:type="dxa"/>
            <w:vAlign w:val="bottom"/>
            <w:tcBorders>
              <w:bottom w:val="single" w:sz="8" w:color="auto"/>
              <w:right w:val="single" w:sz="8" w:color="auto"/>
            </w:tcBorders>
          </w:tcPr>
          <w:p>
            <w:pPr>
              <w:spacing w:after="0"/>
              <w:rPr>
                <w:sz w:val="6"/>
                <w:szCs w:val="6"/>
                <w:color w:val="auto"/>
              </w:rPr>
            </w:pPr>
          </w:p>
        </w:tc>
        <w:tc>
          <w:tcPr>
            <w:tcW w:w="12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8"/>
        </w:trPr>
        <w:tc>
          <w:tcPr>
            <w:tcW w:w="18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6"/>
                <w:szCs w:val="16"/>
                <w:color w:val="3F3F3F"/>
              </w:rPr>
              <w:t>Vito C. Peraino</w:t>
            </w:r>
          </w:p>
        </w:tc>
        <w:tc>
          <w:tcPr>
            <w:tcW w:w="118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3F3F3F"/>
              </w:rPr>
              <w:t>2/26/2019</w:t>
            </w:r>
          </w:p>
        </w:tc>
        <w:tc>
          <w:tcPr>
            <w:tcW w:w="140" w:type="dxa"/>
            <w:vAlign w:val="bottom"/>
          </w:tcPr>
          <w:p>
            <w:pPr>
              <w:spacing w:after="0"/>
              <w:rPr>
                <w:sz w:val="22"/>
                <w:szCs w:val="22"/>
                <w:color w:val="auto"/>
              </w:rPr>
            </w:pPr>
          </w:p>
        </w:tc>
        <w:tc>
          <w:tcPr>
            <w:tcW w:w="820" w:type="dxa"/>
            <w:vAlign w:val="bottom"/>
            <w:tcBorders>
              <w:right w:val="single" w:sz="8" w:color="auto"/>
            </w:tcBorders>
          </w:tcPr>
          <w:p>
            <w:pPr>
              <w:jc w:val="right"/>
              <w:ind w:right="362"/>
              <w:spacing w:after="0"/>
              <w:rPr>
                <w:sz w:val="20"/>
                <w:szCs w:val="20"/>
                <w:color w:val="auto"/>
              </w:rPr>
            </w:pPr>
            <w:r>
              <w:rPr>
                <w:rFonts w:ascii="Arial" w:cs="Arial" w:eastAsia="Arial" w:hAnsi="Arial"/>
                <w:sz w:val="16"/>
                <w:szCs w:val="16"/>
                <w:color w:val="3F3F3F"/>
              </w:rPr>
              <w:t>—</w:t>
            </w:r>
          </w:p>
        </w:tc>
        <w:tc>
          <w:tcPr>
            <w:tcW w:w="960" w:type="dxa"/>
            <w:vAlign w:val="bottom"/>
            <w:tcBorders>
              <w:right w:val="single" w:sz="8" w:color="auto"/>
            </w:tcBorders>
          </w:tcPr>
          <w:p>
            <w:pPr>
              <w:jc w:val="right"/>
              <w:ind w:right="100"/>
              <w:spacing w:after="0"/>
              <w:rPr>
                <w:sz w:val="20"/>
                <w:szCs w:val="20"/>
                <w:color w:val="auto"/>
              </w:rPr>
            </w:pPr>
            <w:r>
              <w:rPr>
                <w:rFonts w:ascii="Arial" w:cs="Arial" w:eastAsia="Arial" w:hAnsi="Arial"/>
                <w:sz w:val="16"/>
                <w:szCs w:val="16"/>
                <w:color w:val="3F3F3F"/>
              </w:rPr>
              <w:t>—</w:t>
            </w:r>
          </w:p>
        </w:tc>
        <w:tc>
          <w:tcPr>
            <w:tcW w:w="980" w:type="dxa"/>
            <w:vAlign w:val="bottom"/>
            <w:tcBorders>
              <w:right w:val="single" w:sz="8" w:color="auto"/>
            </w:tcBorders>
          </w:tcPr>
          <w:p>
            <w:pPr>
              <w:jc w:val="right"/>
              <w:ind w:right="100"/>
              <w:spacing w:after="0"/>
              <w:rPr>
                <w:sz w:val="20"/>
                <w:szCs w:val="20"/>
                <w:color w:val="auto"/>
              </w:rPr>
            </w:pPr>
            <w:r>
              <w:rPr>
                <w:rFonts w:ascii="Arial" w:cs="Arial" w:eastAsia="Arial" w:hAnsi="Arial"/>
                <w:sz w:val="16"/>
                <w:szCs w:val="16"/>
                <w:color w:val="3F3F3F"/>
              </w:rPr>
              <w:t>—</w:t>
            </w:r>
          </w:p>
        </w:tc>
        <w:tc>
          <w:tcPr>
            <w:tcW w:w="980" w:type="dxa"/>
            <w:vAlign w:val="bottom"/>
            <w:tcBorders>
              <w:right w:val="single" w:sz="8" w:color="auto"/>
            </w:tcBorders>
          </w:tcPr>
          <w:p>
            <w:pPr>
              <w:jc w:val="right"/>
              <w:ind w:right="223"/>
              <w:spacing w:after="0"/>
              <w:rPr>
                <w:sz w:val="20"/>
                <w:szCs w:val="20"/>
                <w:color w:val="auto"/>
              </w:rPr>
            </w:pPr>
            <w:r>
              <w:rPr>
                <w:rFonts w:ascii="Arial" w:cs="Arial" w:eastAsia="Arial" w:hAnsi="Arial"/>
                <w:sz w:val="16"/>
                <w:szCs w:val="16"/>
                <w:color w:val="3F3F3F"/>
              </w:rPr>
              <w:t>6,045</w:t>
            </w:r>
          </w:p>
        </w:tc>
        <w:tc>
          <w:tcPr>
            <w:tcW w:w="860" w:type="dxa"/>
            <w:vAlign w:val="bottom"/>
            <w:tcBorders>
              <w:right w:val="single" w:sz="8" w:color="auto"/>
            </w:tcBorders>
          </w:tcPr>
          <w:p>
            <w:pPr>
              <w:jc w:val="right"/>
              <w:ind w:right="203"/>
              <w:spacing w:after="0"/>
              <w:rPr>
                <w:sz w:val="20"/>
                <w:szCs w:val="20"/>
                <w:color w:val="auto"/>
              </w:rPr>
            </w:pPr>
            <w:r>
              <w:rPr>
                <w:rFonts w:ascii="Arial" w:cs="Arial" w:eastAsia="Arial" w:hAnsi="Arial"/>
                <w:sz w:val="16"/>
                <w:szCs w:val="16"/>
                <w:color w:val="3F3F3F"/>
              </w:rPr>
              <w:t>99.62</w:t>
            </w:r>
          </w:p>
        </w:tc>
        <w:tc>
          <w:tcPr>
            <w:tcW w:w="1280" w:type="dxa"/>
            <w:vAlign w:val="bottom"/>
            <w:tcBorders>
              <w:right w:val="single" w:sz="8" w:color="auto"/>
            </w:tcBorders>
          </w:tcPr>
          <w:p>
            <w:pPr>
              <w:jc w:val="right"/>
              <w:ind w:right="202"/>
              <w:spacing w:after="0"/>
              <w:rPr>
                <w:sz w:val="20"/>
                <w:szCs w:val="20"/>
                <w:color w:val="auto"/>
              </w:rPr>
            </w:pPr>
            <w:r>
              <w:rPr>
                <w:rFonts w:ascii="Arial" w:cs="Arial" w:eastAsia="Arial" w:hAnsi="Arial"/>
                <w:sz w:val="16"/>
                <w:szCs w:val="16"/>
                <w:color w:val="3F3F3F"/>
              </w:rPr>
              <w:t>602,203</w:t>
            </w:r>
          </w:p>
        </w:tc>
        <w:tc>
          <w:tcPr>
            <w:tcW w:w="0" w:type="dxa"/>
            <w:vAlign w:val="bottom"/>
          </w:tcPr>
          <w:p>
            <w:pPr>
              <w:spacing w:after="0"/>
              <w:rPr>
                <w:sz w:val="1"/>
                <w:szCs w:val="1"/>
                <w:color w:val="auto"/>
              </w:rPr>
            </w:pPr>
          </w:p>
        </w:tc>
      </w:tr>
      <w:tr>
        <w:trPr>
          <w:trHeight w:val="340"/>
        </w:trPr>
        <w:tc>
          <w:tcPr>
            <w:tcW w:w="1880" w:type="dxa"/>
            <w:vAlign w:val="bottom"/>
            <w:tcBorders>
              <w:left w:val="single" w:sz="8" w:color="auto"/>
              <w:bottom w:val="single" w:sz="8" w:color="auto"/>
              <w:right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6"/>
                <w:szCs w:val="16"/>
                <w:color w:val="3F3F3F"/>
              </w:rPr>
              <w:t>2/26/2019</w:t>
            </w:r>
          </w:p>
        </w:tc>
        <w:tc>
          <w:tcPr>
            <w:tcW w:w="960" w:type="dxa"/>
            <w:vAlign w:val="bottom"/>
            <w:tcBorders>
              <w:bottom w:val="single" w:sz="8" w:color="auto"/>
              <w:right w:val="single" w:sz="8" w:color="auto"/>
            </w:tcBorders>
            <w:gridSpan w:val="2"/>
          </w:tcPr>
          <w:p>
            <w:pPr>
              <w:jc w:val="right"/>
              <w:ind w:right="362"/>
              <w:spacing w:after="0"/>
              <w:rPr>
                <w:sz w:val="20"/>
                <w:szCs w:val="20"/>
                <w:color w:val="auto"/>
              </w:rPr>
            </w:pPr>
            <w:r>
              <w:rPr>
                <w:rFonts w:ascii="Arial" w:cs="Arial" w:eastAsia="Arial" w:hAnsi="Arial"/>
                <w:sz w:val="16"/>
                <w:szCs w:val="16"/>
                <w:color w:val="3F3F3F"/>
              </w:rPr>
              <w:t>0</w:t>
            </w:r>
          </w:p>
        </w:tc>
        <w:tc>
          <w:tcPr>
            <w:tcW w:w="960" w:type="dxa"/>
            <w:vAlign w:val="bottom"/>
            <w:tcBorders>
              <w:bottom w:val="single" w:sz="8" w:color="auto"/>
              <w:right w:val="single" w:sz="8" w:color="auto"/>
            </w:tcBorders>
          </w:tcPr>
          <w:p>
            <w:pPr>
              <w:jc w:val="right"/>
              <w:ind w:right="100"/>
              <w:spacing w:after="0"/>
              <w:rPr>
                <w:sz w:val="20"/>
                <w:szCs w:val="20"/>
                <w:color w:val="auto"/>
              </w:rPr>
            </w:pPr>
            <w:r>
              <w:rPr>
                <w:rFonts w:ascii="Arial" w:cs="Arial" w:eastAsia="Arial" w:hAnsi="Arial"/>
                <w:sz w:val="16"/>
                <w:szCs w:val="16"/>
                <w:color w:val="3F3F3F"/>
              </w:rPr>
              <w:t>620,000</w:t>
            </w:r>
          </w:p>
        </w:tc>
        <w:tc>
          <w:tcPr>
            <w:tcW w:w="980" w:type="dxa"/>
            <w:vAlign w:val="bottom"/>
            <w:tcBorders>
              <w:bottom w:val="single" w:sz="8" w:color="auto"/>
              <w:right w:val="single" w:sz="8" w:color="auto"/>
            </w:tcBorders>
          </w:tcPr>
          <w:p>
            <w:pPr>
              <w:jc w:val="right"/>
              <w:ind w:right="100"/>
              <w:spacing w:after="0"/>
              <w:rPr>
                <w:sz w:val="20"/>
                <w:szCs w:val="20"/>
                <w:color w:val="auto"/>
              </w:rPr>
            </w:pPr>
            <w:r>
              <w:rPr>
                <w:rFonts w:ascii="Arial" w:cs="Arial" w:eastAsia="Arial" w:hAnsi="Arial"/>
                <w:sz w:val="16"/>
                <w:szCs w:val="16"/>
                <w:color w:val="3F3F3F"/>
              </w:rPr>
              <w:t>762,500</w:t>
            </w:r>
          </w:p>
        </w:tc>
        <w:tc>
          <w:tcPr>
            <w:tcW w:w="980" w:type="dxa"/>
            <w:vAlign w:val="bottom"/>
            <w:tcBorders>
              <w:bottom w:val="single" w:sz="8" w:color="auto"/>
              <w:right w:val="single" w:sz="8" w:color="auto"/>
            </w:tcBorders>
          </w:tcPr>
          <w:p>
            <w:pPr>
              <w:jc w:val="right"/>
              <w:ind w:right="223"/>
              <w:spacing w:after="0"/>
              <w:rPr>
                <w:sz w:val="20"/>
                <w:szCs w:val="20"/>
                <w:color w:val="auto"/>
              </w:rPr>
            </w:pPr>
            <w:r>
              <w:rPr>
                <w:rFonts w:ascii="Arial" w:cs="Arial" w:eastAsia="Arial" w:hAnsi="Arial"/>
                <w:sz w:val="16"/>
                <w:szCs w:val="16"/>
                <w:color w:val="3F3F3F"/>
              </w:rPr>
              <w:t>—</w:t>
            </w:r>
          </w:p>
        </w:tc>
        <w:tc>
          <w:tcPr>
            <w:tcW w:w="860" w:type="dxa"/>
            <w:vAlign w:val="bottom"/>
            <w:tcBorders>
              <w:bottom w:val="single" w:sz="8" w:color="auto"/>
              <w:right w:val="single" w:sz="8" w:color="auto"/>
            </w:tcBorders>
          </w:tcPr>
          <w:p>
            <w:pPr>
              <w:jc w:val="right"/>
              <w:ind w:right="203"/>
              <w:spacing w:after="0"/>
              <w:rPr>
                <w:sz w:val="20"/>
                <w:szCs w:val="20"/>
                <w:color w:val="auto"/>
              </w:rPr>
            </w:pPr>
            <w:r>
              <w:rPr>
                <w:rFonts w:ascii="Arial" w:cs="Arial" w:eastAsia="Arial" w:hAnsi="Arial"/>
                <w:sz w:val="16"/>
                <w:szCs w:val="16"/>
                <w:color w:val="3F3F3F"/>
              </w:rPr>
              <w:t>—</w:t>
            </w:r>
          </w:p>
        </w:tc>
        <w:tc>
          <w:tcPr>
            <w:tcW w:w="1280" w:type="dxa"/>
            <w:vAlign w:val="bottom"/>
            <w:tcBorders>
              <w:bottom w:val="single" w:sz="8" w:color="auto"/>
              <w:right w:val="single" w:sz="8" w:color="auto"/>
            </w:tcBorders>
          </w:tcPr>
          <w:p>
            <w:pPr>
              <w:jc w:val="right"/>
              <w:ind w:right="202"/>
              <w:spacing w:after="0"/>
              <w:rPr>
                <w:sz w:val="20"/>
                <w:szCs w:val="20"/>
                <w:color w:val="auto"/>
              </w:rPr>
            </w:pPr>
            <w:r>
              <w:rPr>
                <w:rFonts w:ascii="Arial" w:cs="Arial" w:eastAsia="Arial" w:hAnsi="Arial"/>
                <w:sz w:val="16"/>
                <w:szCs w:val="16"/>
                <w:color w:val="3F3F3F"/>
              </w:rPr>
              <w:t>—</w:t>
            </w: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1440" w:right="1060" w:hanging="352"/>
        <w:spacing w:after="0"/>
        <w:tabs>
          <w:tab w:leader="none" w:pos="1440" w:val="left"/>
        </w:tabs>
        <w:numPr>
          <w:ilvl w:val="0"/>
          <w:numId w:val="24"/>
        </w:numPr>
        <w:rPr>
          <w:rFonts w:ascii="Arial" w:cs="Arial" w:eastAsia="Arial" w:hAnsi="Arial"/>
          <w:sz w:val="14"/>
          <w:szCs w:val="14"/>
          <w:color w:val="3F3F3F"/>
        </w:rPr>
      </w:pPr>
      <w:r>
        <w:rPr>
          <w:rFonts w:ascii="Arial" w:cs="Arial" w:eastAsia="Arial" w:hAnsi="Arial"/>
          <w:sz w:val="14"/>
          <w:szCs w:val="14"/>
          <w:color w:val="3F3F3F"/>
        </w:rPr>
        <w:t>These restricted shares were granted pursuant to the Company’s stock incentive plan and cliff-vest four years after the grant date. Holders of restricted shares generally have full voting and dividend rights on all restricted shares during the vesting period.</w:t>
      </w:r>
    </w:p>
    <w:p>
      <w:pPr>
        <w:ind w:left="1440" w:right="1060" w:hanging="352"/>
        <w:spacing w:after="0" w:line="228" w:lineRule="auto"/>
        <w:tabs>
          <w:tab w:leader="none" w:pos="1440" w:val="left"/>
        </w:tabs>
        <w:numPr>
          <w:ilvl w:val="0"/>
          <w:numId w:val="24"/>
        </w:numPr>
        <w:rPr>
          <w:rFonts w:ascii="Arial" w:cs="Arial" w:eastAsia="Arial" w:hAnsi="Arial"/>
          <w:sz w:val="14"/>
          <w:szCs w:val="14"/>
          <w:color w:val="3F3F3F"/>
        </w:rPr>
      </w:pPr>
      <w:r>
        <w:rPr>
          <w:rFonts w:ascii="Arial" w:cs="Arial" w:eastAsia="Arial" w:hAnsi="Arial"/>
          <w:sz w:val="14"/>
          <w:szCs w:val="14"/>
          <w:color w:val="3F3F3F"/>
        </w:rPr>
        <w:t>These represent awards under the Senior Executive Annual Bonus Plan. These amounts, to the extent earned for 2019 and paid in 2020, are shown in the Summary Compensation Table in the column titled “Non-Equity Incentive Plan Compensation” because these awards were recognized in 2019 for financial statement reporting purposes.</w:t>
      </w:r>
    </w:p>
    <w:p>
      <w:pPr>
        <w:ind w:left="1440" w:right="1000" w:hanging="352"/>
        <w:spacing w:after="0" w:line="229" w:lineRule="auto"/>
        <w:tabs>
          <w:tab w:leader="none" w:pos="1440" w:val="left"/>
        </w:tabs>
        <w:numPr>
          <w:ilvl w:val="0"/>
          <w:numId w:val="24"/>
        </w:numPr>
        <w:rPr>
          <w:rFonts w:ascii="Arial" w:cs="Arial" w:eastAsia="Arial" w:hAnsi="Arial"/>
          <w:sz w:val="14"/>
          <w:szCs w:val="14"/>
          <w:color w:val="3F3F3F"/>
        </w:rPr>
      </w:pPr>
      <w:r>
        <w:rPr>
          <w:rFonts w:ascii="Arial" w:cs="Arial" w:eastAsia="Arial" w:hAnsi="Arial"/>
          <w:sz w:val="14"/>
          <w:szCs w:val="14"/>
          <w:color w:val="3F3F3F"/>
        </w:rPr>
        <w:t>These represent awards under the Senior Executive LTIC. Grants in 2019 cover a three-year performance period 2019-2021. One-half of award payment based on the Company’s growth in book value per share over the three years compared to plan companies, and one-half of award payment based on meeting or exceeding average annual core return on equity goals over the three-year period. Payments of awards, if any, will be made in early 2022.</w:t>
      </w:r>
    </w:p>
    <w:p>
      <w:pPr>
        <w:spacing w:after="0" w:line="300" w:lineRule="exact"/>
        <w:rPr>
          <w:sz w:val="20"/>
          <w:szCs w:val="20"/>
          <w:color w:val="auto"/>
        </w:rPr>
      </w:pPr>
    </w:p>
    <w:tbl>
      <w:tblPr>
        <w:tblLayout w:type="fixed"/>
        <w:tblInd w:w="120" w:type="dxa"/>
        <w:tblCellMar>
          <w:top w:w="0" w:type="dxa"/>
          <w:left w:w="0" w:type="dxa"/>
          <w:bottom w:w="0" w:type="dxa"/>
          <w:right w:w="0" w:type="dxa"/>
        </w:tblCellMar>
      </w:tblPr>
      <w:tr>
        <w:trPr>
          <w:trHeight w:val="206"/>
        </w:trPr>
        <w:tc>
          <w:tcPr>
            <w:tcW w:w="7040" w:type="dxa"/>
            <w:vAlign w:val="bottom"/>
          </w:tcPr>
          <w:p>
            <w:pPr>
              <w:ind w:left="1040"/>
              <w:spacing w:after="0"/>
              <w:rPr>
                <w:sz w:val="20"/>
                <w:szCs w:val="20"/>
                <w:color w:val="auto"/>
              </w:rPr>
            </w:pPr>
            <w:r>
              <w:rPr>
                <w:rFonts w:ascii="Arial" w:cs="Arial" w:eastAsia="Arial" w:hAnsi="Arial"/>
                <w:sz w:val="16"/>
                <w:szCs w:val="16"/>
                <w:color w:val="auto"/>
              </w:rPr>
              <w:t>2020 Proxy Statement | Executive Compensation</w:t>
            </w:r>
          </w:p>
        </w:tc>
        <w:tc>
          <w:tcPr>
            <w:tcW w:w="3980" w:type="dxa"/>
            <w:vAlign w:val="bottom"/>
          </w:tcPr>
          <w:p>
            <w:pPr>
              <w:jc w:val="right"/>
              <w:ind w:right="919"/>
              <w:spacing w:after="0"/>
              <w:rPr>
                <w:sz w:val="20"/>
                <w:szCs w:val="20"/>
                <w:color w:val="auto"/>
              </w:rPr>
            </w:pPr>
            <w:r>
              <w:rPr>
                <w:rFonts w:ascii="Arial" w:cs="Arial" w:eastAsia="Arial" w:hAnsi="Arial"/>
                <w:sz w:val="16"/>
                <w:szCs w:val="16"/>
                <w:color w:val="auto"/>
              </w:rPr>
              <w:t>38</w:t>
            </w:r>
          </w:p>
        </w:tc>
      </w:tr>
      <w:tr>
        <w:trPr>
          <w:trHeight w:val="202"/>
        </w:trPr>
        <w:tc>
          <w:tcPr>
            <w:tcW w:w="7040" w:type="dxa"/>
            <w:vAlign w:val="bottom"/>
            <w:tcBorders>
              <w:bottom w:val="single" w:sz="8" w:color="auto"/>
            </w:tcBorders>
          </w:tcPr>
          <w:p>
            <w:pPr>
              <w:spacing w:after="0"/>
              <w:rPr>
                <w:sz w:val="17"/>
                <w:szCs w:val="17"/>
                <w:color w:val="auto"/>
              </w:rPr>
            </w:pPr>
          </w:p>
        </w:tc>
        <w:tc>
          <w:tcPr>
            <w:tcW w:w="3980" w:type="dxa"/>
            <w:vAlign w:val="bottom"/>
            <w:tcBorders>
              <w:bottom w:val="single" w:sz="8" w:color="auto"/>
            </w:tcBorders>
          </w:tcPr>
          <w:p>
            <w:pPr>
              <w:spacing w:after="0"/>
              <w:rPr>
                <w:sz w:val="17"/>
                <w:szCs w:val="17"/>
                <w:color w:val="auto"/>
              </w:rPr>
            </w:pPr>
          </w:p>
        </w:tc>
      </w:tr>
    </w:tbl>
    <w:p>
      <w:pPr>
        <w:sectPr>
          <w:pgSz w:w="11900" w:h="16838" w:orient="portrait"/>
          <w:cols w:equalWidth="0" w:num="1">
            <w:col w:w="11140"/>
          </w:cols>
          <w:pgMar w:left="320" w:top="265" w:right="439" w:bottom="1440" w:gutter="0" w:footer="0" w:header="0"/>
        </w:sectPr>
      </w:pPr>
    </w:p>
    <w:bookmarkStart w:id="45" w:name="page46"/>
    <w:bookmarkEnd w:id="45"/>
    <w:p>
      <w:pPr>
        <w:spacing w:after="0" w:line="112" w:lineRule="exact"/>
        <w:rPr>
          <w:sz w:val="20"/>
          <w:szCs w:val="20"/>
          <w:color w:val="auto"/>
        </w:rPr>
      </w:pPr>
    </w:p>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6515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080"/>
        <w:spacing w:after="0"/>
        <w:rPr>
          <w:sz w:val="20"/>
          <w:szCs w:val="20"/>
          <w:color w:val="auto"/>
        </w:rPr>
      </w:pPr>
      <w:r>
        <w:rPr>
          <w:rFonts w:ascii="Arial" w:cs="Arial" w:eastAsia="Arial" w:hAnsi="Arial"/>
          <w:sz w:val="20"/>
          <w:szCs w:val="20"/>
          <w:b w:val="1"/>
          <w:bCs w:val="1"/>
          <w:color w:val="3F3F3F"/>
        </w:rPr>
        <w:t>Outstanding Equity Awards at Fiscal Year-End</w:t>
      </w:r>
    </w:p>
    <w:p>
      <w:pPr>
        <w:spacing w:after="0" w:line="205" w:lineRule="exact"/>
        <w:rPr>
          <w:sz w:val="20"/>
          <w:szCs w:val="20"/>
          <w:color w:val="auto"/>
        </w:rPr>
      </w:pPr>
    </w:p>
    <w:tbl>
      <w:tblPr>
        <w:tblLayout w:type="fixed"/>
        <w:tblInd w:w="1090" w:type="dxa"/>
        <w:tblCellMar>
          <w:top w:w="0" w:type="dxa"/>
          <w:left w:w="0" w:type="dxa"/>
          <w:bottom w:w="0" w:type="dxa"/>
          <w:right w:w="0" w:type="dxa"/>
        </w:tblCellMar>
      </w:tblPr>
      <w:tr>
        <w:trPr>
          <w:trHeight w:val="316"/>
        </w:trPr>
        <w:tc>
          <w:tcPr>
            <w:tcW w:w="1900" w:type="dxa"/>
            <w:vAlign w:val="bottom"/>
            <w:tcBorders>
              <w:top w:val="single" w:sz="8" w:color="auto"/>
              <w:left w:val="single" w:sz="8" w:color="auto"/>
              <w:bottom w:val="single" w:sz="8" w:color="BFBFBF"/>
              <w:right w:val="single" w:sz="8" w:color="BFBFBF"/>
            </w:tcBorders>
            <w:shd w:val="clear" w:color="auto" w:fill="BFBFBF"/>
          </w:tcPr>
          <w:p>
            <w:pPr>
              <w:spacing w:after="0"/>
              <w:rPr>
                <w:sz w:val="24"/>
                <w:szCs w:val="24"/>
                <w:color w:val="auto"/>
              </w:rPr>
            </w:pPr>
          </w:p>
        </w:tc>
        <w:tc>
          <w:tcPr>
            <w:tcW w:w="1120" w:type="dxa"/>
            <w:vAlign w:val="bottom"/>
            <w:tcBorders>
              <w:top w:val="single" w:sz="8" w:color="auto"/>
              <w:bottom w:val="single" w:sz="8" w:color="BFBFBF"/>
              <w:right w:val="single" w:sz="8" w:color="auto"/>
            </w:tcBorders>
            <w:shd w:val="clear" w:color="auto" w:fill="BFBFBF"/>
          </w:tcPr>
          <w:p>
            <w:pPr>
              <w:spacing w:after="0"/>
              <w:rPr>
                <w:sz w:val="24"/>
                <w:szCs w:val="24"/>
                <w:color w:val="auto"/>
              </w:rPr>
            </w:pPr>
          </w:p>
        </w:tc>
        <w:tc>
          <w:tcPr>
            <w:tcW w:w="1080" w:type="dxa"/>
            <w:vAlign w:val="bottom"/>
            <w:tcBorders>
              <w:top w:val="single" w:sz="8" w:color="auto"/>
              <w:bottom w:val="single" w:sz="8" w:color="BFBFBF"/>
              <w:right w:val="single" w:sz="8" w:color="BFBFBF"/>
            </w:tcBorders>
            <w:shd w:val="clear" w:color="auto" w:fill="BFBFBF"/>
          </w:tcPr>
          <w:p>
            <w:pPr>
              <w:spacing w:after="0"/>
              <w:rPr>
                <w:sz w:val="24"/>
                <w:szCs w:val="24"/>
                <w:color w:val="auto"/>
              </w:rPr>
            </w:pPr>
          </w:p>
        </w:tc>
        <w:tc>
          <w:tcPr>
            <w:tcW w:w="2040" w:type="dxa"/>
            <w:vAlign w:val="bottom"/>
            <w:tcBorders>
              <w:top w:val="single" w:sz="8" w:color="auto"/>
              <w:bottom w:val="single" w:sz="8" w:color="BFBFBF"/>
              <w:right w:val="single" w:sz="8" w:color="BFBFBF"/>
            </w:tcBorders>
            <w:gridSpan w:val="2"/>
            <w:shd w:val="clear" w:color="auto" w:fill="BFBFBF"/>
          </w:tcPr>
          <w:p>
            <w:pPr>
              <w:ind w:left="420"/>
              <w:spacing w:after="0"/>
              <w:rPr>
                <w:sz w:val="20"/>
                <w:szCs w:val="20"/>
                <w:color w:val="auto"/>
              </w:rPr>
            </w:pPr>
            <w:r>
              <w:rPr>
                <w:rFonts w:ascii="Arial" w:cs="Arial" w:eastAsia="Arial" w:hAnsi="Arial"/>
                <w:sz w:val="14"/>
                <w:szCs w:val="14"/>
                <w:b w:val="1"/>
                <w:bCs w:val="1"/>
                <w:color w:val="3F3F3F"/>
              </w:rPr>
              <w:t>Option Awards (1)</w:t>
            </w:r>
          </w:p>
        </w:tc>
        <w:tc>
          <w:tcPr>
            <w:tcW w:w="1060" w:type="dxa"/>
            <w:vAlign w:val="bottom"/>
            <w:tcBorders>
              <w:top w:val="single" w:sz="8" w:color="auto"/>
              <w:bottom w:val="single" w:sz="8" w:color="BFBFBF"/>
              <w:right w:val="single" w:sz="8" w:color="auto"/>
            </w:tcBorders>
            <w:shd w:val="clear" w:color="auto" w:fill="BFBFBF"/>
          </w:tcPr>
          <w:p>
            <w:pPr>
              <w:spacing w:after="0"/>
              <w:rPr>
                <w:sz w:val="24"/>
                <w:szCs w:val="24"/>
                <w:color w:val="auto"/>
              </w:rPr>
            </w:pPr>
          </w:p>
        </w:tc>
        <w:tc>
          <w:tcPr>
            <w:tcW w:w="1860" w:type="dxa"/>
            <w:vAlign w:val="bottom"/>
            <w:tcBorders>
              <w:top w:val="single" w:sz="8" w:color="auto"/>
              <w:bottom w:val="single" w:sz="8" w:color="BFBFBF"/>
            </w:tcBorders>
            <w:gridSpan w:val="2"/>
            <w:shd w:val="clear" w:color="auto" w:fill="BFBFBF"/>
          </w:tcPr>
          <w:p>
            <w:pPr>
              <w:jc w:val="right"/>
              <w:ind w:right="361"/>
              <w:spacing w:after="0"/>
              <w:rPr>
                <w:sz w:val="20"/>
                <w:szCs w:val="20"/>
                <w:color w:val="auto"/>
              </w:rPr>
            </w:pPr>
            <w:r>
              <w:rPr>
                <w:rFonts w:ascii="Arial" w:cs="Arial" w:eastAsia="Arial" w:hAnsi="Arial"/>
                <w:sz w:val="14"/>
                <w:szCs w:val="14"/>
                <w:b w:val="1"/>
                <w:bCs w:val="1"/>
                <w:color w:val="3F3F3F"/>
              </w:rPr>
              <w:t>Stock Awards</w:t>
            </w:r>
          </w:p>
        </w:tc>
        <w:tc>
          <w:tcPr>
            <w:tcW w:w="20" w:type="dxa"/>
            <w:vAlign w:val="bottom"/>
            <w:tcBorders>
              <w:top w:val="single" w:sz="8" w:color="auto"/>
              <w:bottom w:val="single" w:sz="8" w:color="auto"/>
            </w:tcBorders>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1900" w:type="dxa"/>
            <w:vAlign w:val="bottom"/>
            <w:tcBorders>
              <w:top w:val="single" w:sz="8" w:color="auto"/>
              <w:left w:val="single" w:sz="8" w:color="auto"/>
              <w:right w:val="single" w:sz="8" w:color="auto"/>
            </w:tcBorders>
            <w:shd w:val="clear" w:color="auto" w:fill="BFBFBF"/>
          </w:tcPr>
          <w:p>
            <w:pPr>
              <w:spacing w:after="0"/>
              <w:rPr>
                <w:sz w:val="15"/>
                <w:szCs w:val="15"/>
                <w:color w:val="auto"/>
              </w:rPr>
            </w:pPr>
          </w:p>
        </w:tc>
        <w:tc>
          <w:tcPr>
            <w:tcW w:w="1120" w:type="dxa"/>
            <w:vAlign w:val="bottom"/>
            <w:tcBorders>
              <w:top w:val="single" w:sz="8" w:color="auto"/>
              <w:right w:val="single" w:sz="8" w:color="auto"/>
            </w:tcBorders>
            <w:shd w:val="clear" w:color="auto" w:fill="BFBFBF"/>
          </w:tcPr>
          <w:p>
            <w:pPr>
              <w:spacing w:after="0"/>
              <w:rPr>
                <w:sz w:val="15"/>
                <w:szCs w:val="15"/>
                <w:color w:val="auto"/>
              </w:rPr>
            </w:pPr>
          </w:p>
        </w:tc>
        <w:tc>
          <w:tcPr>
            <w:tcW w:w="1080" w:type="dxa"/>
            <w:vAlign w:val="bottom"/>
            <w:tcBorders>
              <w:top w:val="single" w:sz="8" w:color="auto"/>
              <w:right w:val="single" w:sz="8" w:color="auto"/>
            </w:tcBorders>
            <w:shd w:val="clear" w:color="auto" w:fill="BFBFBF"/>
          </w:tcPr>
          <w:p>
            <w:pPr>
              <w:spacing w:after="0"/>
              <w:rPr>
                <w:sz w:val="15"/>
                <w:szCs w:val="15"/>
                <w:color w:val="auto"/>
              </w:rPr>
            </w:pPr>
          </w:p>
        </w:tc>
        <w:tc>
          <w:tcPr>
            <w:tcW w:w="1200" w:type="dxa"/>
            <w:vAlign w:val="bottom"/>
            <w:tcBorders>
              <w:top w:val="single" w:sz="8" w:color="auto"/>
              <w:right w:val="single" w:sz="8" w:color="auto"/>
            </w:tcBorders>
            <w:shd w:val="clear" w:color="auto" w:fill="BFBFBF"/>
          </w:tcPr>
          <w:p>
            <w:pPr>
              <w:spacing w:after="0"/>
              <w:rPr>
                <w:sz w:val="15"/>
                <w:szCs w:val="15"/>
                <w:color w:val="auto"/>
              </w:rPr>
            </w:pPr>
          </w:p>
        </w:tc>
        <w:tc>
          <w:tcPr>
            <w:tcW w:w="840" w:type="dxa"/>
            <w:vAlign w:val="bottom"/>
            <w:tcBorders>
              <w:top w:val="single" w:sz="8" w:color="auto"/>
              <w:right w:val="single" w:sz="8" w:color="auto"/>
            </w:tcBorders>
            <w:shd w:val="clear" w:color="auto" w:fill="BFBFBF"/>
          </w:tcPr>
          <w:p>
            <w:pPr>
              <w:spacing w:after="0"/>
              <w:rPr>
                <w:sz w:val="15"/>
                <w:szCs w:val="15"/>
                <w:color w:val="auto"/>
              </w:rPr>
            </w:pPr>
          </w:p>
        </w:tc>
        <w:tc>
          <w:tcPr>
            <w:tcW w:w="1060" w:type="dxa"/>
            <w:vAlign w:val="bottom"/>
            <w:tcBorders>
              <w:top w:val="single" w:sz="8" w:color="auto"/>
              <w:right w:val="single" w:sz="8" w:color="auto"/>
            </w:tcBorders>
            <w:shd w:val="clear" w:color="auto" w:fill="BFBFBF"/>
          </w:tcPr>
          <w:p>
            <w:pPr>
              <w:spacing w:after="0"/>
              <w:rPr>
                <w:sz w:val="15"/>
                <w:szCs w:val="15"/>
                <w:color w:val="auto"/>
              </w:rPr>
            </w:pPr>
          </w:p>
        </w:tc>
        <w:tc>
          <w:tcPr>
            <w:tcW w:w="1000" w:type="dxa"/>
            <w:vAlign w:val="bottom"/>
            <w:tcBorders>
              <w:top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14"/>
                <w:szCs w:val="14"/>
                <w:b w:val="1"/>
                <w:bCs w:val="1"/>
                <w:color w:val="3F3F3F"/>
                <w:w w:val="98"/>
              </w:rPr>
              <w:t>Number</w:t>
            </w:r>
          </w:p>
        </w:tc>
        <w:tc>
          <w:tcPr>
            <w:tcW w:w="860" w:type="dxa"/>
            <w:vAlign w:val="bottom"/>
            <w:tcBorders>
              <w:top w:val="single" w:sz="8" w:color="auto"/>
            </w:tcBorders>
            <w:vMerge w:val="restart"/>
            <w:shd w:val="clear" w:color="auto" w:fill="BFBFBF"/>
          </w:tcPr>
          <w:p>
            <w:pPr>
              <w:jc w:val="center"/>
              <w:ind w:left="1"/>
              <w:spacing w:after="0"/>
              <w:rPr>
                <w:sz w:val="20"/>
                <w:szCs w:val="20"/>
                <w:color w:val="auto"/>
              </w:rPr>
            </w:pPr>
            <w:r>
              <w:rPr>
                <w:rFonts w:ascii="Arial" w:cs="Arial" w:eastAsia="Arial" w:hAnsi="Arial"/>
                <w:sz w:val="14"/>
                <w:szCs w:val="14"/>
                <w:b w:val="1"/>
                <w:bCs w:val="1"/>
                <w:color w:val="3F3F3F"/>
              </w:rPr>
              <w:t>Market</w:t>
            </w:r>
          </w:p>
        </w:tc>
        <w:tc>
          <w:tcPr>
            <w:tcW w:w="20" w:type="dxa"/>
            <w:vAlign w:val="bottom"/>
            <w:tcBorders>
              <w:top w:val="single" w:sz="8" w:color="auto"/>
            </w:tcBorders>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900" w:type="dxa"/>
            <w:vAlign w:val="bottom"/>
            <w:tcBorders>
              <w:left w:val="single" w:sz="8" w:color="auto"/>
              <w:right w:val="single" w:sz="8" w:color="auto"/>
            </w:tcBorders>
            <w:shd w:val="clear" w:color="auto" w:fill="BFBFBF"/>
          </w:tcPr>
          <w:p>
            <w:pPr>
              <w:spacing w:after="0"/>
              <w:rPr>
                <w:sz w:val="12"/>
                <w:szCs w:val="12"/>
                <w:color w:val="auto"/>
              </w:rPr>
            </w:pPr>
          </w:p>
        </w:tc>
        <w:tc>
          <w:tcPr>
            <w:tcW w:w="1120" w:type="dxa"/>
            <w:vAlign w:val="bottom"/>
            <w:tcBorders>
              <w:right w:val="single" w:sz="8" w:color="auto"/>
            </w:tcBorders>
            <w:shd w:val="clear" w:color="auto" w:fill="BFBFBF"/>
          </w:tcPr>
          <w:p>
            <w:pPr>
              <w:spacing w:after="0"/>
              <w:rPr>
                <w:sz w:val="12"/>
                <w:szCs w:val="12"/>
                <w:color w:val="auto"/>
              </w:rPr>
            </w:pPr>
          </w:p>
        </w:tc>
        <w:tc>
          <w:tcPr>
            <w:tcW w:w="1080" w:type="dxa"/>
            <w:vAlign w:val="bottom"/>
            <w:tcBorders>
              <w:right w:val="single" w:sz="8" w:color="auto"/>
            </w:tcBorders>
            <w:vMerge w:val="restart"/>
            <w:shd w:val="clear" w:color="auto" w:fill="BFBFBF"/>
          </w:tcPr>
          <w:p>
            <w:pPr>
              <w:jc w:val="center"/>
              <w:spacing w:after="0"/>
              <w:rPr>
                <w:sz w:val="20"/>
                <w:szCs w:val="20"/>
                <w:color w:val="auto"/>
              </w:rPr>
            </w:pPr>
            <w:r>
              <w:rPr>
                <w:rFonts w:ascii="Arial" w:cs="Arial" w:eastAsia="Arial" w:hAnsi="Arial"/>
                <w:sz w:val="14"/>
                <w:szCs w:val="14"/>
                <w:b w:val="1"/>
                <w:bCs w:val="1"/>
                <w:color w:val="3F3F3F"/>
                <w:w w:val="94"/>
              </w:rPr>
              <w:t>Number</w:t>
            </w:r>
          </w:p>
        </w:tc>
        <w:tc>
          <w:tcPr>
            <w:tcW w:w="1200" w:type="dxa"/>
            <w:vAlign w:val="bottom"/>
            <w:tcBorders>
              <w:right w:val="single" w:sz="8" w:color="auto"/>
            </w:tcBorders>
            <w:vMerge w:val="restart"/>
            <w:shd w:val="clear" w:color="auto" w:fill="BFBFBF"/>
          </w:tcPr>
          <w:p>
            <w:pPr>
              <w:jc w:val="center"/>
              <w:ind w:right="4"/>
              <w:spacing w:after="0"/>
              <w:rPr>
                <w:sz w:val="20"/>
                <w:szCs w:val="20"/>
                <w:color w:val="auto"/>
              </w:rPr>
            </w:pPr>
            <w:r>
              <w:rPr>
                <w:rFonts w:ascii="Arial" w:cs="Arial" w:eastAsia="Arial" w:hAnsi="Arial"/>
                <w:sz w:val="14"/>
                <w:szCs w:val="14"/>
                <w:b w:val="1"/>
                <w:bCs w:val="1"/>
                <w:color w:val="3F3F3F"/>
                <w:w w:val="98"/>
              </w:rPr>
              <w:t>Number</w:t>
            </w:r>
          </w:p>
        </w:tc>
        <w:tc>
          <w:tcPr>
            <w:tcW w:w="840" w:type="dxa"/>
            <w:vAlign w:val="bottom"/>
            <w:tcBorders>
              <w:right w:val="single" w:sz="8" w:color="auto"/>
            </w:tcBorders>
            <w:shd w:val="clear" w:color="auto" w:fill="BFBFBF"/>
          </w:tcPr>
          <w:p>
            <w:pPr>
              <w:spacing w:after="0"/>
              <w:rPr>
                <w:sz w:val="12"/>
                <w:szCs w:val="12"/>
                <w:color w:val="auto"/>
              </w:rPr>
            </w:pPr>
          </w:p>
        </w:tc>
        <w:tc>
          <w:tcPr>
            <w:tcW w:w="1060" w:type="dxa"/>
            <w:vAlign w:val="bottom"/>
            <w:tcBorders>
              <w:right w:val="single" w:sz="8" w:color="auto"/>
            </w:tcBorders>
            <w:shd w:val="clear" w:color="auto" w:fill="BFBFBF"/>
          </w:tcPr>
          <w:p>
            <w:pPr>
              <w:spacing w:after="0"/>
              <w:rPr>
                <w:sz w:val="12"/>
                <w:szCs w:val="12"/>
                <w:color w:val="auto"/>
              </w:rPr>
            </w:pPr>
          </w:p>
        </w:tc>
        <w:tc>
          <w:tcPr>
            <w:tcW w:w="1000" w:type="dxa"/>
            <w:vAlign w:val="bottom"/>
            <w:tcBorders>
              <w:right w:val="single" w:sz="8" w:color="auto"/>
            </w:tcBorders>
            <w:shd w:val="clear" w:color="auto" w:fill="BFBFBF"/>
          </w:tcPr>
          <w:p>
            <w:pPr>
              <w:jc w:val="center"/>
              <w:ind w:right="2"/>
              <w:spacing w:after="0" w:line="149" w:lineRule="exact"/>
              <w:rPr>
                <w:sz w:val="20"/>
                <w:szCs w:val="20"/>
                <w:color w:val="auto"/>
              </w:rPr>
            </w:pPr>
            <w:r>
              <w:rPr>
                <w:rFonts w:ascii="Arial" w:cs="Arial" w:eastAsia="Arial" w:hAnsi="Arial"/>
                <w:sz w:val="14"/>
                <w:szCs w:val="14"/>
                <w:b w:val="1"/>
                <w:bCs w:val="1"/>
                <w:color w:val="3F3F3F"/>
                <w:w w:val="90"/>
              </w:rPr>
              <w:t>of</w:t>
            </w:r>
          </w:p>
        </w:tc>
        <w:tc>
          <w:tcPr>
            <w:tcW w:w="860" w:type="dxa"/>
            <w:vAlign w:val="bottom"/>
            <w:vMerge w:val="continue"/>
            <w:shd w:val="clear" w:color="auto" w:fill="BFBFB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00" w:type="dxa"/>
            <w:vAlign w:val="bottom"/>
            <w:tcBorders>
              <w:left w:val="single" w:sz="8" w:color="auto"/>
              <w:right w:val="single" w:sz="8" w:color="auto"/>
            </w:tcBorders>
            <w:shd w:val="clear" w:color="auto" w:fill="BFBFBF"/>
          </w:tcPr>
          <w:p>
            <w:pPr>
              <w:spacing w:after="0"/>
              <w:rPr>
                <w:sz w:val="12"/>
                <w:szCs w:val="12"/>
                <w:color w:val="auto"/>
              </w:rPr>
            </w:pPr>
          </w:p>
        </w:tc>
        <w:tc>
          <w:tcPr>
            <w:tcW w:w="1120" w:type="dxa"/>
            <w:vAlign w:val="bottom"/>
            <w:tcBorders>
              <w:right w:val="single" w:sz="8" w:color="auto"/>
            </w:tcBorders>
            <w:shd w:val="clear" w:color="auto" w:fill="BFBFBF"/>
          </w:tcPr>
          <w:p>
            <w:pPr>
              <w:spacing w:after="0"/>
              <w:rPr>
                <w:sz w:val="12"/>
                <w:szCs w:val="12"/>
                <w:color w:val="auto"/>
              </w:rPr>
            </w:pPr>
          </w:p>
        </w:tc>
        <w:tc>
          <w:tcPr>
            <w:tcW w:w="1080" w:type="dxa"/>
            <w:vAlign w:val="bottom"/>
            <w:tcBorders>
              <w:right w:val="single" w:sz="8" w:color="auto"/>
            </w:tcBorders>
            <w:vMerge w:val="continue"/>
            <w:shd w:val="clear" w:color="auto" w:fill="BFBFBF"/>
          </w:tcPr>
          <w:p>
            <w:pPr>
              <w:spacing w:after="0"/>
              <w:rPr>
                <w:sz w:val="12"/>
                <w:szCs w:val="12"/>
                <w:color w:val="auto"/>
              </w:rPr>
            </w:pPr>
          </w:p>
        </w:tc>
        <w:tc>
          <w:tcPr>
            <w:tcW w:w="1200" w:type="dxa"/>
            <w:vAlign w:val="bottom"/>
            <w:tcBorders>
              <w:right w:val="single" w:sz="8" w:color="auto"/>
            </w:tcBorders>
            <w:vMerge w:val="continue"/>
            <w:shd w:val="clear" w:color="auto" w:fill="BFBFBF"/>
          </w:tcPr>
          <w:p>
            <w:pPr>
              <w:spacing w:after="0"/>
              <w:rPr>
                <w:sz w:val="12"/>
                <w:szCs w:val="12"/>
                <w:color w:val="auto"/>
              </w:rPr>
            </w:pPr>
          </w:p>
        </w:tc>
        <w:tc>
          <w:tcPr>
            <w:tcW w:w="840" w:type="dxa"/>
            <w:vAlign w:val="bottom"/>
            <w:tcBorders>
              <w:right w:val="single" w:sz="8" w:color="auto"/>
            </w:tcBorders>
            <w:shd w:val="clear" w:color="auto" w:fill="BFBFBF"/>
          </w:tcPr>
          <w:p>
            <w:pPr>
              <w:spacing w:after="0"/>
              <w:rPr>
                <w:sz w:val="12"/>
                <w:szCs w:val="12"/>
                <w:color w:val="auto"/>
              </w:rPr>
            </w:pPr>
          </w:p>
        </w:tc>
        <w:tc>
          <w:tcPr>
            <w:tcW w:w="1060" w:type="dxa"/>
            <w:vAlign w:val="bottom"/>
            <w:tcBorders>
              <w:right w:val="single" w:sz="8" w:color="auto"/>
            </w:tcBorders>
            <w:shd w:val="clear" w:color="auto" w:fill="BFBFBF"/>
          </w:tcPr>
          <w:p>
            <w:pPr>
              <w:spacing w:after="0"/>
              <w:rPr>
                <w:sz w:val="12"/>
                <w:szCs w:val="12"/>
                <w:color w:val="auto"/>
              </w:rPr>
            </w:pPr>
          </w:p>
        </w:tc>
        <w:tc>
          <w:tcPr>
            <w:tcW w:w="1000" w:type="dxa"/>
            <w:vAlign w:val="bottom"/>
            <w:tcBorders>
              <w:right w:val="single" w:sz="8" w:color="auto"/>
            </w:tcBorders>
            <w:shd w:val="clear" w:color="auto" w:fill="BFBFBF"/>
          </w:tcPr>
          <w:p>
            <w:pPr>
              <w:jc w:val="center"/>
              <w:spacing w:after="0" w:line="149" w:lineRule="exact"/>
              <w:rPr>
                <w:sz w:val="20"/>
                <w:szCs w:val="20"/>
                <w:color w:val="auto"/>
              </w:rPr>
            </w:pPr>
            <w:r>
              <w:rPr>
                <w:rFonts w:ascii="Arial" w:cs="Arial" w:eastAsia="Arial" w:hAnsi="Arial"/>
                <w:sz w:val="14"/>
                <w:szCs w:val="14"/>
                <w:b w:val="1"/>
                <w:bCs w:val="1"/>
                <w:color w:val="3F3F3F"/>
                <w:w w:val="89"/>
              </w:rPr>
              <w:t>Shares or</w:t>
            </w:r>
          </w:p>
        </w:tc>
        <w:tc>
          <w:tcPr>
            <w:tcW w:w="860" w:type="dxa"/>
            <w:vAlign w:val="bottom"/>
            <w:shd w:val="clear" w:color="auto" w:fill="BFBFBF"/>
          </w:tcPr>
          <w:p>
            <w:pPr>
              <w:jc w:val="center"/>
              <w:ind w:left="1"/>
              <w:spacing w:after="0" w:line="149" w:lineRule="exact"/>
              <w:rPr>
                <w:sz w:val="20"/>
                <w:szCs w:val="20"/>
                <w:color w:val="auto"/>
              </w:rPr>
            </w:pPr>
            <w:r>
              <w:rPr>
                <w:rFonts w:ascii="Arial" w:cs="Arial" w:eastAsia="Arial" w:hAnsi="Arial"/>
                <w:sz w:val="14"/>
                <w:szCs w:val="14"/>
                <w:b w:val="1"/>
                <w:bCs w:val="1"/>
                <w:color w:val="3F3F3F"/>
                <w:w w:val="91"/>
              </w:rPr>
              <w:t>Value of</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00" w:type="dxa"/>
            <w:vAlign w:val="bottom"/>
            <w:tcBorders>
              <w:left w:val="single" w:sz="8" w:color="auto"/>
              <w:right w:val="single" w:sz="8" w:color="auto"/>
            </w:tcBorders>
            <w:shd w:val="clear" w:color="auto" w:fill="BFBFBF"/>
          </w:tcPr>
          <w:p>
            <w:pPr>
              <w:spacing w:after="0"/>
              <w:rPr>
                <w:sz w:val="12"/>
                <w:szCs w:val="12"/>
                <w:color w:val="auto"/>
              </w:rPr>
            </w:pPr>
          </w:p>
        </w:tc>
        <w:tc>
          <w:tcPr>
            <w:tcW w:w="1120" w:type="dxa"/>
            <w:vAlign w:val="bottom"/>
            <w:tcBorders>
              <w:right w:val="single" w:sz="8" w:color="auto"/>
            </w:tcBorders>
            <w:shd w:val="clear" w:color="auto" w:fill="BFBFBF"/>
          </w:tcPr>
          <w:p>
            <w:pPr>
              <w:spacing w:after="0"/>
              <w:rPr>
                <w:sz w:val="12"/>
                <w:szCs w:val="12"/>
                <w:color w:val="auto"/>
              </w:rPr>
            </w:pPr>
          </w:p>
        </w:tc>
        <w:tc>
          <w:tcPr>
            <w:tcW w:w="1080" w:type="dxa"/>
            <w:vAlign w:val="bottom"/>
            <w:tcBorders>
              <w:right w:val="single" w:sz="8" w:color="auto"/>
            </w:tcBorders>
            <w:shd w:val="clear" w:color="auto" w:fill="BFBFBF"/>
          </w:tcPr>
          <w:p>
            <w:pPr>
              <w:jc w:val="center"/>
              <w:spacing w:after="0" w:line="149" w:lineRule="exact"/>
              <w:rPr>
                <w:sz w:val="20"/>
                <w:szCs w:val="20"/>
                <w:color w:val="auto"/>
              </w:rPr>
            </w:pPr>
            <w:r>
              <w:rPr>
                <w:rFonts w:ascii="Arial" w:cs="Arial" w:eastAsia="Arial" w:hAnsi="Arial"/>
                <w:sz w:val="14"/>
                <w:szCs w:val="14"/>
                <w:b w:val="1"/>
                <w:bCs w:val="1"/>
                <w:color w:val="3F3F3F"/>
                <w:w w:val="90"/>
              </w:rPr>
              <w:t>of Securities</w:t>
            </w:r>
          </w:p>
        </w:tc>
        <w:tc>
          <w:tcPr>
            <w:tcW w:w="1200" w:type="dxa"/>
            <w:vAlign w:val="bottom"/>
            <w:tcBorders>
              <w:right w:val="single" w:sz="8" w:color="auto"/>
            </w:tcBorders>
            <w:shd w:val="clear" w:color="auto" w:fill="BFBFBF"/>
          </w:tcPr>
          <w:p>
            <w:pPr>
              <w:jc w:val="center"/>
              <w:ind w:right="4"/>
              <w:spacing w:after="0" w:line="149" w:lineRule="exact"/>
              <w:rPr>
                <w:sz w:val="20"/>
                <w:szCs w:val="20"/>
                <w:color w:val="auto"/>
              </w:rPr>
            </w:pPr>
            <w:r>
              <w:rPr>
                <w:rFonts w:ascii="Arial" w:cs="Arial" w:eastAsia="Arial" w:hAnsi="Arial"/>
                <w:sz w:val="14"/>
                <w:szCs w:val="14"/>
                <w:b w:val="1"/>
                <w:bCs w:val="1"/>
                <w:color w:val="3F3F3F"/>
                <w:w w:val="90"/>
              </w:rPr>
              <w:t>of Securities</w:t>
            </w:r>
          </w:p>
        </w:tc>
        <w:tc>
          <w:tcPr>
            <w:tcW w:w="840" w:type="dxa"/>
            <w:vAlign w:val="bottom"/>
            <w:tcBorders>
              <w:right w:val="single" w:sz="8" w:color="auto"/>
            </w:tcBorders>
            <w:shd w:val="clear" w:color="auto" w:fill="BFBFBF"/>
          </w:tcPr>
          <w:p>
            <w:pPr>
              <w:spacing w:after="0"/>
              <w:rPr>
                <w:sz w:val="12"/>
                <w:szCs w:val="12"/>
                <w:color w:val="auto"/>
              </w:rPr>
            </w:pPr>
          </w:p>
        </w:tc>
        <w:tc>
          <w:tcPr>
            <w:tcW w:w="1060" w:type="dxa"/>
            <w:vAlign w:val="bottom"/>
            <w:tcBorders>
              <w:right w:val="single" w:sz="8" w:color="auto"/>
            </w:tcBorders>
            <w:shd w:val="clear" w:color="auto" w:fill="BFBFBF"/>
          </w:tcPr>
          <w:p>
            <w:pPr>
              <w:spacing w:after="0"/>
              <w:rPr>
                <w:sz w:val="12"/>
                <w:szCs w:val="12"/>
                <w:color w:val="auto"/>
              </w:rPr>
            </w:pPr>
          </w:p>
        </w:tc>
        <w:tc>
          <w:tcPr>
            <w:tcW w:w="1000" w:type="dxa"/>
            <w:vAlign w:val="bottom"/>
            <w:tcBorders>
              <w:right w:val="single" w:sz="8" w:color="auto"/>
            </w:tcBorders>
            <w:shd w:val="clear" w:color="auto" w:fill="BFBFBF"/>
          </w:tcPr>
          <w:p>
            <w:pPr>
              <w:jc w:val="center"/>
              <w:ind w:right="2"/>
              <w:spacing w:after="0" w:line="149" w:lineRule="exact"/>
              <w:rPr>
                <w:sz w:val="20"/>
                <w:szCs w:val="20"/>
                <w:color w:val="auto"/>
              </w:rPr>
            </w:pPr>
            <w:r>
              <w:rPr>
                <w:rFonts w:ascii="Arial" w:cs="Arial" w:eastAsia="Arial" w:hAnsi="Arial"/>
                <w:sz w:val="14"/>
                <w:szCs w:val="14"/>
                <w:b w:val="1"/>
                <w:bCs w:val="1"/>
                <w:color w:val="3F3F3F"/>
                <w:w w:val="92"/>
              </w:rPr>
              <w:t>Units of</w:t>
            </w:r>
          </w:p>
        </w:tc>
        <w:tc>
          <w:tcPr>
            <w:tcW w:w="860" w:type="dxa"/>
            <w:vAlign w:val="bottom"/>
            <w:shd w:val="clear" w:color="auto" w:fill="BFBFBF"/>
          </w:tcPr>
          <w:p>
            <w:pPr>
              <w:jc w:val="center"/>
              <w:ind w:left="1"/>
              <w:spacing w:after="0" w:line="149" w:lineRule="exact"/>
              <w:rPr>
                <w:sz w:val="20"/>
                <w:szCs w:val="20"/>
                <w:color w:val="auto"/>
              </w:rPr>
            </w:pPr>
            <w:r>
              <w:rPr>
                <w:rFonts w:ascii="Arial" w:cs="Arial" w:eastAsia="Arial" w:hAnsi="Arial"/>
                <w:sz w:val="14"/>
                <w:szCs w:val="14"/>
                <w:b w:val="1"/>
                <w:bCs w:val="1"/>
                <w:color w:val="3F3F3F"/>
                <w:w w:val="89"/>
              </w:rPr>
              <w:t>Shares or</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00" w:type="dxa"/>
            <w:vAlign w:val="bottom"/>
            <w:tcBorders>
              <w:left w:val="single" w:sz="8" w:color="auto"/>
              <w:right w:val="single" w:sz="8" w:color="auto"/>
            </w:tcBorders>
            <w:shd w:val="clear" w:color="auto" w:fill="BFBFBF"/>
          </w:tcPr>
          <w:p>
            <w:pPr>
              <w:spacing w:after="0"/>
              <w:rPr>
                <w:sz w:val="12"/>
                <w:szCs w:val="12"/>
                <w:color w:val="auto"/>
              </w:rPr>
            </w:pPr>
          </w:p>
        </w:tc>
        <w:tc>
          <w:tcPr>
            <w:tcW w:w="1120" w:type="dxa"/>
            <w:vAlign w:val="bottom"/>
            <w:tcBorders>
              <w:right w:val="single" w:sz="8" w:color="auto"/>
            </w:tcBorders>
            <w:shd w:val="clear" w:color="auto" w:fill="BFBFBF"/>
          </w:tcPr>
          <w:p>
            <w:pPr>
              <w:spacing w:after="0"/>
              <w:rPr>
                <w:sz w:val="12"/>
                <w:szCs w:val="12"/>
                <w:color w:val="auto"/>
              </w:rPr>
            </w:pPr>
          </w:p>
        </w:tc>
        <w:tc>
          <w:tcPr>
            <w:tcW w:w="1080" w:type="dxa"/>
            <w:vAlign w:val="bottom"/>
            <w:tcBorders>
              <w:right w:val="single" w:sz="8" w:color="auto"/>
            </w:tcBorders>
            <w:shd w:val="clear" w:color="auto" w:fill="BFBFBF"/>
          </w:tcPr>
          <w:p>
            <w:pPr>
              <w:jc w:val="center"/>
              <w:spacing w:after="0" w:line="149" w:lineRule="exact"/>
              <w:rPr>
                <w:sz w:val="20"/>
                <w:szCs w:val="20"/>
                <w:color w:val="auto"/>
              </w:rPr>
            </w:pPr>
            <w:r>
              <w:rPr>
                <w:rFonts w:ascii="Arial" w:cs="Arial" w:eastAsia="Arial" w:hAnsi="Arial"/>
                <w:sz w:val="14"/>
                <w:szCs w:val="14"/>
                <w:b w:val="1"/>
                <w:bCs w:val="1"/>
                <w:color w:val="3F3F3F"/>
                <w:w w:val="95"/>
              </w:rPr>
              <w:t>Underlying</w:t>
            </w:r>
          </w:p>
        </w:tc>
        <w:tc>
          <w:tcPr>
            <w:tcW w:w="1200" w:type="dxa"/>
            <w:vAlign w:val="bottom"/>
            <w:tcBorders>
              <w:right w:val="single" w:sz="8" w:color="auto"/>
            </w:tcBorders>
            <w:shd w:val="clear" w:color="auto" w:fill="BFBFBF"/>
          </w:tcPr>
          <w:p>
            <w:pPr>
              <w:jc w:val="center"/>
              <w:ind w:right="4"/>
              <w:spacing w:after="0" w:line="149" w:lineRule="exact"/>
              <w:rPr>
                <w:sz w:val="20"/>
                <w:szCs w:val="20"/>
                <w:color w:val="auto"/>
              </w:rPr>
            </w:pPr>
            <w:r>
              <w:rPr>
                <w:rFonts w:ascii="Arial" w:cs="Arial" w:eastAsia="Arial" w:hAnsi="Arial"/>
                <w:sz w:val="14"/>
                <w:szCs w:val="14"/>
                <w:b w:val="1"/>
                <w:bCs w:val="1"/>
                <w:color w:val="3F3F3F"/>
                <w:w w:val="92"/>
              </w:rPr>
              <w:t>Underlying</w:t>
            </w:r>
          </w:p>
        </w:tc>
        <w:tc>
          <w:tcPr>
            <w:tcW w:w="840" w:type="dxa"/>
            <w:vAlign w:val="bottom"/>
            <w:tcBorders>
              <w:right w:val="single" w:sz="8" w:color="auto"/>
            </w:tcBorders>
            <w:vMerge w:val="restart"/>
            <w:shd w:val="clear" w:color="auto" w:fill="BFBFBF"/>
          </w:tcPr>
          <w:p>
            <w:pPr>
              <w:jc w:val="center"/>
              <w:ind w:right="1"/>
              <w:spacing w:after="0"/>
              <w:rPr>
                <w:sz w:val="20"/>
                <w:szCs w:val="20"/>
                <w:color w:val="auto"/>
              </w:rPr>
            </w:pPr>
            <w:r>
              <w:rPr>
                <w:rFonts w:ascii="Arial" w:cs="Arial" w:eastAsia="Arial" w:hAnsi="Arial"/>
                <w:sz w:val="14"/>
                <w:szCs w:val="14"/>
                <w:b w:val="1"/>
                <w:bCs w:val="1"/>
                <w:color w:val="3F3F3F"/>
                <w:w w:val="97"/>
              </w:rPr>
              <w:t>Option</w:t>
            </w:r>
          </w:p>
        </w:tc>
        <w:tc>
          <w:tcPr>
            <w:tcW w:w="1060" w:type="dxa"/>
            <w:vAlign w:val="bottom"/>
            <w:tcBorders>
              <w:right w:val="single" w:sz="8" w:color="auto"/>
            </w:tcBorders>
            <w:shd w:val="clear" w:color="auto" w:fill="BFBFBF"/>
          </w:tcPr>
          <w:p>
            <w:pPr>
              <w:spacing w:after="0"/>
              <w:rPr>
                <w:sz w:val="12"/>
                <w:szCs w:val="12"/>
                <w:color w:val="auto"/>
              </w:rPr>
            </w:pPr>
          </w:p>
        </w:tc>
        <w:tc>
          <w:tcPr>
            <w:tcW w:w="1000" w:type="dxa"/>
            <w:vAlign w:val="bottom"/>
            <w:tcBorders>
              <w:right w:val="single" w:sz="8" w:color="auto"/>
            </w:tcBorders>
            <w:shd w:val="clear" w:color="auto" w:fill="BFBFBF"/>
          </w:tcPr>
          <w:p>
            <w:pPr>
              <w:jc w:val="center"/>
              <w:spacing w:after="0" w:line="149" w:lineRule="exact"/>
              <w:rPr>
                <w:sz w:val="20"/>
                <w:szCs w:val="20"/>
                <w:color w:val="auto"/>
              </w:rPr>
            </w:pPr>
            <w:r>
              <w:rPr>
                <w:rFonts w:ascii="Arial" w:cs="Arial" w:eastAsia="Arial" w:hAnsi="Arial"/>
                <w:sz w:val="14"/>
                <w:szCs w:val="14"/>
                <w:b w:val="1"/>
                <w:bCs w:val="1"/>
                <w:color w:val="3F3F3F"/>
                <w:w w:val="89"/>
              </w:rPr>
              <w:t>Stock</w:t>
            </w:r>
          </w:p>
        </w:tc>
        <w:tc>
          <w:tcPr>
            <w:tcW w:w="860" w:type="dxa"/>
            <w:vAlign w:val="bottom"/>
            <w:shd w:val="clear" w:color="auto" w:fill="BFBFBF"/>
          </w:tcPr>
          <w:p>
            <w:pPr>
              <w:jc w:val="center"/>
              <w:ind w:left="1"/>
              <w:spacing w:after="0" w:line="149" w:lineRule="exact"/>
              <w:rPr>
                <w:sz w:val="20"/>
                <w:szCs w:val="20"/>
                <w:color w:val="auto"/>
              </w:rPr>
            </w:pPr>
            <w:r>
              <w:rPr>
                <w:rFonts w:ascii="Arial" w:cs="Arial" w:eastAsia="Arial" w:hAnsi="Arial"/>
                <w:sz w:val="14"/>
                <w:szCs w:val="14"/>
                <w:b w:val="1"/>
                <w:bCs w:val="1"/>
                <w:color w:val="3F3F3F"/>
                <w:w w:val="95"/>
              </w:rPr>
              <w:t>Units of</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00" w:type="dxa"/>
            <w:vAlign w:val="bottom"/>
            <w:tcBorders>
              <w:left w:val="single" w:sz="8" w:color="auto"/>
              <w:right w:val="single" w:sz="8" w:color="auto"/>
            </w:tcBorders>
            <w:shd w:val="clear" w:color="auto" w:fill="BFBFBF"/>
          </w:tcPr>
          <w:p>
            <w:pPr>
              <w:spacing w:after="0"/>
              <w:rPr>
                <w:sz w:val="12"/>
                <w:szCs w:val="12"/>
                <w:color w:val="auto"/>
              </w:rPr>
            </w:pPr>
          </w:p>
        </w:tc>
        <w:tc>
          <w:tcPr>
            <w:tcW w:w="1120" w:type="dxa"/>
            <w:vAlign w:val="bottom"/>
            <w:tcBorders>
              <w:right w:val="single" w:sz="8" w:color="auto"/>
            </w:tcBorders>
            <w:shd w:val="clear" w:color="auto" w:fill="BFBFBF"/>
          </w:tcPr>
          <w:p>
            <w:pPr>
              <w:spacing w:after="0"/>
              <w:rPr>
                <w:sz w:val="12"/>
                <w:szCs w:val="12"/>
                <w:color w:val="auto"/>
              </w:rPr>
            </w:pPr>
          </w:p>
        </w:tc>
        <w:tc>
          <w:tcPr>
            <w:tcW w:w="1080" w:type="dxa"/>
            <w:vAlign w:val="bottom"/>
            <w:tcBorders>
              <w:right w:val="single" w:sz="8" w:color="auto"/>
            </w:tcBorders>
            <w:shd w:val="clear" w:color="auto" w:fill="BFBFBF"/>
          </w:tcPr>
          <w:p>
            <w:pPr>
              <w:jc w:val="center"/>
              <w:spacing w:after="0" w:line="149" w:lineRule="exact"/>
              <w:rPr>
                <w:sz w:val="20"/>
                <w:szCs w:val="20"/>
                <w:color w:val="auto"/>
              </w:rPr>
            </w:pPr>
            <w:r>
              <w:rPr>
                <w:rFonts w:ascii="Arial" w:cs="Arial" w:eastAsia="Arial" w:hAnsi="Arial"/>
                <w:sz w:val="14"/>
                <w:szCs w:val="14"/>
                <w:b w:val="1"/>
                <w:bCs w:val="1"/>
                <w:color w:val="3F3F3F"/>
                <w:w w:val="88"/>
              </w:rPr>
              <w:t>Unexercised</w:t>
            </w:r>
          </w:p>
        </w:tc>
        <w:tc>
          <w:tcPr>
            <w:tcW w:w="1200" w:type="dxa"/>
            <w:vAlign w:val="bottom"/>
            <w:tcBorders>
              <w:right w:val="single" w:sz="8" w:color="auto"/>
            </w:tcBorders>
            <w:shd w:val="clear" w:color="auto" w:fill="BFBFBF"/>
          </w:tcPr>
          <w:p>
            <w:pPr>
              <w:jc w:val="center"/>
              <w:ind w:right="4"/>
              <w:spacing w:after="0" w:line="149" w:lineRule="exact"/>
              <w:rPr>
                <w:sz w:val="20"/>
                <w:szCs w:val="20"/>
                <w:color w:val="auto"/>
              </w:rPr>
            </w:pPr>
            <w:r>
              <w:rPr>
                <w:rFonts w:ascii="Arial" w:cs="Arial" w:eastAsia="Arial" w:hAnsi="Arial"/>
                <w:sz w:val="14"/>
                <w:szCs w:val="14"/>
                <w:b w:val="1"/>
                <w:bCs w:val="1"/>
                <w:color w:val="3F3F3F"/>
                <w:w w:val="91"/>
              </w:rPr>
              <w:t>Unexercised</w:t>
            </w:r>
          </w:p>
        </w:tc>
        <w:tc>
          <w:tcPr>
            <w:tcW w:w="840" w:type="dxa"/>
            <w:vAlign w:val="bottom"/>
            <w:tcBorders>
              <w:right w:val="single" w:sz="8" w:color="auto"/>
            </w:tcBorders>
            <w:vMerge w:val="continue"/>
            <w:shd w:val="clear" w:color="auto" w:fill="BFBFBF"/>
          </w:tcPr>
          <w:p>
            <w:pPr>
              <w:spacing w:after="0"/>
              <w:rPr>
                <w:sz w:val="12"/>
                <w:szCs w:val="12"/>
                <w:color w:val="auto"/>
              </w:rPr>
            </w:pPr>
          </w:p>
        </w:tc>
        <w:tc>
          <w:tcPr>
            <w:tcW w:w="1060" w:type="dxa"/>
            <w:vAlign w:val="bottom"/>
            <w:tcBorders>
              <w:right w:val="single" w:sz="8" w:color="auto"/>
            </w:tcBorders>
            <w:vMerge w:val="restart"/>
            <w:shd w:val="clear" w:color="auto" w:fill="BFBFBF"/>
          </w:tcPr>
          <w:p>
            <w:pPr>
              <w:jc w:val="center"/>
              <w:spacing w:after="0"/>
              <w:rPr>
                <w:sz w:val="20"/>
                <w:szCs w:val="20"/>
                <w:color w:val="auto"/>
              </w:rPr>
            </w:pPr>
            <w:r>
              <w:rPr>
                <w:rFonts w:ascii="Arial" w:cs="Arial" w:eastAsia="Arial" w:hAnsi="Arial"/>
                <w:sz w:val="14"/>
                <w:szCs w:val="14"/>
                <w:b w:val="1"/>
                <w:bCs w:val="1"/>
                <w:color w:val="3F3F3F"/>
                <w:w w:val="97"/>
              </w:rPr>
              <w:t>Option</w:t>
            </w:r>
          </w:p>
        </w:tc>
        <w:tc>
          <w:tcPr>
            <w:tcW w:w="1000" w:type="dxa"/>
            <w:vAlign w:val="bottom"/>
            <w:tcBorders>
              <w:right w:val="single" w:sz="8" w:color="auto"/>
            </w:tcBorders>
            <w:shd w:val="clear" w:color="auto" w:fill="BFBFBF"/>
          </w:tcPr>
          <w:p>
            <w:pPr>
              <w:jc w:val="center"/>
              <w:spacing w:after="0" w:line="149" w:lineRule="exact"/>
              <w:rPr>
                <w:sz w:val="20"/>
                <w:szCs w:val="20"/>
                <w:color w:val="auto"/>
              </w:rPr>
            </w:pPr>
            <w:r>
              <w:rPr>
                <w:rFonts w:ascii="Arial" w:cs="Arial" w:eastAsia="Arial" w:hAnsi="Arial"/>
                <w:sz w:val="14"/>
                <w:szCs w:val="14"/>
                <w:b w:val="1"/>
                <w:bCs w:val="1"/>
                <w:color w:val="3F3F3F"/>
              </w:rPr>
              <w:t>That</w:t>
            </w:r>
          </w:p>
        </w:tc>
        <w:tc>
          <w:tcPr>
            <w:tcW w:w="860" w:type="dxa"/>
            <w:vAlign w:val="bottom"/>
            <w:shd w:val="clear" w:color="auto" w:fill="BFBFBF"/>
          </w:tcPr>
          <w:p>
            <w:pPr>
              <w:jc w:val="center"/>
              <w:ind w:left="41"/>
              <w:spacing w:after="0" w:line="149" w:lineRule="exact"/>
              <w:rPr>
                <w:sz w:val="20"/>
                <w:szCs w:val="20"/>
                <w:color w:val="auto"/>
              </w:rPr>
            </w:pPr>
            <w:r>
              <w:rPr>
                <w:rFonts w:ascii="Arial" w:cs="Arial" w:eastAsia="Arial" w:hAnsi="Arial"/>
                <w:sz w:val="14"/>
                <w:szCs w:val="14"/>
                <w:b w:val="1"/>
                <w:bCs w:val="1"/>
                <w:color w:val="3F3F3F"/>
                <w:w w:val="92"/>
              </w:rPr>
              <w:t>Stock That</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00" w:type="dxa"/>
            <w:vAlign w:val="bottom"/>
            <w:tcBorders>
              <w:left w:val="single" w:sz="8" w:color="auto"/>
              <w:right w:val="single" w:sz="8" w:color="auto"/>
            </w:tcBorders>
            <w:shd w:val="clear" w:color="auto" w:fill="BFBFBF"/>
          </w:tcPr>
          <w:p>
            <w:pPr>
              <w:spacing w:after="0"/>
              <w:rPr>
                <w:sz w:val="12"/>
                <w:szCs w:val="12"/>
                <w:color w:val="auto"/>
              </w:rPr>
            </w:pPr>
          </w:p>
        </w:tc>
        <w:tc>
          <w:tcPr>
            <w:tcW w:w="1120" w:type="dxa"/>
            <w:vAlign w:val="bottom"/>
            <w:tcBorders>
              <w:right w:val="single" w:sz="8" w:color="auto"/>
            </w:tcBorders>
            <w:shd w:val="clear" w:color="auto" w:fill="BFBFBF"/>
          </w:tcPr>
          <w:p>
            <w:pPr>
              <w:spacing w:after="0"/>
              <w:rPr>
                <w:sz w:val="12"/>
                <w:szCs w:val="12"/>
                <w:color w:val="auto"/>
              </w:rPr>
            </w:pPr>
          </w:p>
        </w:tc>
        <w:tc>
          <w:tcPr>
            <w:tcW w:w="1080" w:type="dxa"/>
            <w:vAlign w:val="bottom"/>
            <w:tcBorders>
              <w:right w:val="single" w:sz="8" w:color="auto"/>
            </w:tcBorders>
            <w:shd w:val="clear" w:color="auto" w:fill="BFBFBF"/>
          </w:tcPr>
          <w:p>
            <w:pPr>
              <w:jc w:val="center"/>
              <w:spacing w:after="0" w:line="149" w:lineRule="exact"/>
              <w:rPr>
                <w:sz w:val="20"/>
                <w:szCs w:val="20"/>
                <w:color w:val="auto"/>
              </w:rPr>
            </w:pPr>
            <w:r>
              <w:rPr>
                <w:rFonts w:ascii="Arial" w:cs="Arial" w:eastAsia="Arial" w:hAnsi="Arial"/>
                <w:sz w:val="14"/>
                <w:szCs w:val="14"/>
                <w:b w:val="1"/>
                <w:bCs w:val="1"/>
                <w:color w:val="3F3F3F"/>
                <w:w w:val="94"/>
              </w:rPr>
              <w:t>Options</w:t>
            </w:r>
          </w:p>
        </w:tc>
        <w:tc>
          <w:tcPr>
            <w:tcW w:w="1200" w:type="dxa"/>
            <w:vAlign w:val="bottom"/>
            <w:tcBorders>
              <w:right w:val="single" w:sz="8" w:color="auto"/>
            </w:tcBorders>
            <w:shd w:val="clear" w:color="auto" w:fill="BFBFBF"/>
          </w:tcPr>
          <w:p>
            <w:pPr>
              <w:jc w:val="center"/>
              <w:ind w:right="4"/>
              <w:spacing w:after="0" w:line="149" w:lineRule="exact"/>
              <w:rPr>
                <w:sz w:val="20"/>
                <w:szCs w:val="20"/>
                <w:color w:val="auto"/>
              </w:rPr>
            </w:pPr>
            <w:r>
              <w:rPr>
                <w:rFonts w:ascii="Arial" w:cs="Arial" w:eastAsia="Arial" w:hAnsi="Arial"/>
                <w:sz w:val="14"/>
                <w:szCs w:val="14"/>
                <w:b w:val="1"/>
                <w:bCs w:val="1"/>
                <w:color w:val="3F3F3F"/>
                <w:w w:val="90"/>
              </w:rPr>
              <w:t>Options</w:t>
            </w:r>
          </w:p>
        </w:tc>
        <w:tc>
          <w:tcPr>
            <w:tcW w:w="840" w:type="dxa"/>
            <w:vAlign w:val="bottom"/>
            <w:tcBorders>
              <w:right w:val="single" w:sz="8" w:color="auto"/>
            </w:tcBorders>
            <w:shd w:val="clear" w:color="auto" w:fill="BFBFBF"/>
          </w:tcPr>
          <w:p>
            <w:pPr>
              <w:jc w:val="center"/>
              <w:spacing w:after="0" w:line="149" w:lineRule="exact"/>
              <w:rPr>
                <w:sz w:val="20"/>
                <w:szCs w:val="20"/>
                <w:color w:val="auto"/>
              </w:rPr>
            </w:pPr>
            <w:r>
              <w:rPr>
                <w:rFonts w:ascii="Arial" w:cs="Arial" w:eastAsia="Arial" w:hAnsi="Arial"/>
                <w:sz w:val="14"/>
                <w:szCs w:val="14"/>
                <w:b w:val="1"/>
                <w:bCs w:val="1"/>
                <w:color w:val="3F3F3F"/>
                <w:w w:val="90"/>
              </w:rPr>
              <w:t>Exercise</w:t>
            </w:r>
          </w:p>
        </w:tc>
        <w:tc>
          <w:tcPr>
            <w:tcW w:w="1060" w:type="dxa"/>
            <w:vAlign w:val="bottom"/>
            <w:tcBorders>
              <w:right w:val="single" w:sz="8" w:color="auto"/>
            </w:tcBorders>
            <w:vMerge w:val="continue"/>
            <w:shd w:val="clear" w:color="auto" w:fill="BFBFBF"/>
          </w:tcPr>
          <w:p>
            <w:pPr>
              <w:spacing w:after="0"/>
              <w:rPr>
                <w:sz w:val="12"/>
                <w:szCs w:val="12"/>
                <w:color w:val="auto"/>
              </w:rPr>
            </w:pPr>
          </w:p>
        </w:tc>
        <w:tc>
          <w:tcPr>
            <w:tcW w:w="1000" w:type="dxa"/>
            <w:vAlign w:val="bottom"/>
            <w:tcBorders>
              <w:right w:val="single" w:sz="8" w:color="auto"/>
            </w:tcBorders>
            <w:shd w:val="clear" w:color="auto" w:fill="BFBFBF"/>
          </w:tcPr>
          <w:p>
            <w:pPr>
              <w:jc w:val="center"/>
              <w:spacing w:after="0" w:line="149" w:lineRule="exact"/>
              <w:rPr>
                <w:sz w:val="20"/>
                <w:szCs w:val="20"/>
                <w:color w:val="auto"/>
              </w:rPr>
            </w:pPr>
            <w:r>
              <w:rPr>
                <w:rFonts w:ascii="Arial" w:cs="Arial" w:eastAsia="Arial" w:hAnsi="Arial"/>
                <w:sz w:val="14"/>
                <w:szCs w:val="14"/>
                <w:b w:val="1"/>
                <w:bCs w:val="1"/>
                <w:color w:val="3F3F3F"/>
                <w:w w:val="95"/>
              </w:rPr>
              <w:t>Have Not</w:t>
            </w:r>
          </w:p>
        </w:tc>
        <w:tc>
          <w:tcPr>
            <w:tcW w:w="860" w:type="dxa"/>
            <w:vAlign w:val="bottom"/>
            <w:shd w:val="clear" w:color="auto" w:fill="BFBFBF"/>
          </w:tcPr>
          <w:p>
            <w:pPr>
              <w:jc w:val="center"/>
              <w:ind w:left="1"/>
              <w:spacing w:after="0" w:line="149" w:lineRule="exact"/>
              <w:rPr>
                <w:sz w:val="20"/>
                <w:szCs w:val="20"/>
                <w:color w:val="auto"/>
              </w:rPr>
            </w:pPr>
            <w:r>
              <w:rPr>
                <w:rFonts w:ascii="Arial" w:cs="Arial" w:eastAsia="Arial" w:hAnsi="Arial"/>
                <w:sz w:val="14"/>
                <w:szCs w:val="14"/>
                <w:b w:val="1"/>
                <w:bCs w:val="1"/>
                <w:color w:val="3F3F3F"/>
                <w:w w:val="95"/>
              </w:rPr>
              <w:t>Have Not</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00" w:type="dxa"/>
            <w:vAlign w:val="bottom"/>
            <w:tcBorders>
              <w:left w:val="single" w:sz="8" w:color="auto"/>
              <w:right w:val="single" w:sz="8" w:color="auto"/>
            </w:tcBorders>
            <w:vMerge w:val="restart"/>
            <w:shd w:val="clear" w:color="auto" w:fill="BFBFBF"/>
          </w:tcPr>
          <w:p>
            <w:pPr>
              <w:ind w:left="700"/>
              <w:spacing w:after="0"/>
              <w:rPr>
                <w:sz w:val="20"/>
                <w:szCs w:val="20"/>
                <w:color w:val="auto"/>
              </w:rPr>
            </w:pPr>
            <w:r>
              <w:rPr>
                <w:rFonts w:ascii="Arial" w:cs="Arial" w:eastAsia="Arial" w:hAnsi="Arial"/>
                <w:sz w:val="14"/>
                <w:szCs w:val="14"/>
                <w:b w:val="1"/>
                <w:bCs w:val="1"/>
                <w:color w:val="3F3F3F"/>
              </w:rPr>
              <w:t>Name</w:t>
            </w:r>
          </w:p>
        </w:tc>
        <w:tc>
          <w:tcPr>
            <w:tcW w:w="1120" w:type="dxa"/>
            <w:vAlign w:val="bottom"/>
            <w:tcBorders>
              <w:right w:val="single" w:sz="8" w:color="auto"/>
            </w:tcBorders>
            <w:vMerge w:val="restart"/>
            <w:shd w:val="clear" w:color="auto" w:fill="BFBFBF"/>
          </w:tcPr>
          <w:p>
            <w:pPr>
              <w:jc w:val="center"/>
              <w:spacing w:after="0"/>
              <w:rPr>
                <w:sz w:val="20"/>
                <w:szCs w:val="20"/>
                <w:color w:val="auto"/>
              </w:rPr>
            </w:pPr>
            <w:r>
              <w:rPr>
                <w:rFonts w:ascii="Arial" w:cs="Arial" w:eastAsia="Arial" w:hAnsi="Arial"/>
                <w:sz w:val="14"/>
                <w:szCs w:val="14"/>
                <w:b w:val="1"/>
                <w:bCs w:val="1"/>
                <w:color w:val="3F3F3F"/>
                <w:w w:val="97"/>
              </w:rPr>
              <w:t>Grant Date</w:t>
            </w:r>
          </w:p>
        </w:tc>
        <w:tc>
          <w:tcPr>
            <w:tcW w:w="1080" w:type="dxa"/>
            <w:vAlign w:val="bottom"/>
            <w:tcBorders>
              <w:right w:val="single" w:sz="8" w:color="auto"/>
            </w:tcBorders>
            <w:shd w:val="clear" w:color="auto" w:fill="BFBFBF"/>
          </w:tcPr>
          <w:p>
            <w:pPr>
              <w:jc w:val="center"/>
              <w:spacing w:after="0" w:line="149" w:lineRule="exact"/>
              <w:rPr>
                <w:sz w:val="20"/>
                <w:szCs w:val="20"/>
                <w:color w:val="auto"/>
              </w:rPr>
            </w:pPr>
            <w:r>
              <w:rPr>
                <w:rFonts w:ascii="Arial" w:cs="Arial" w:eastAsia="Arial" w:hAnsi="Arial"/>
                <w:sz w:val="14"/>
                <w:szCs w:val="14"/>
                <w:b w:val="1"/>
                <w:bCs w:val="1"/>
                <w:color w:val="3F3F3F"/>
                <w:w w:val="89"/>
              </w:rPr>
              <w:t>Exercisable</w:t>
            </w:r>
          </w:p>
        </w:tc>
        <w:tc>
          <w:tcPr>
            <w:tcW w:w="1200" w:type="dxa"/>
            <w:vAlign w:val="bottom"/>
            <w:tcBorders>
              <w:right w:val="single" w:sz="8" w:color="auto"/>
            </w:tcBorders>
            <w:shd w:val="clear" w:color="auto" w:fill="BFBFBF"/>
          </w:tcPr>
          <w:p>
            <w:pPr>
              <w:jc w:val="center"/>
              <w:spacing w:after="0" w:line="149" w:lineRule="exact"/>
              <w:rPr>
                <w:sz w:val="20"/>
                <w:szCs w:val="20"/>
                <w:color w:val="auto"/>
              </w:rPr>
            </w:pPr>
            <w:r>
              <w:rPr>
                <w:rFonts w:ascii="Arial" w:cs="Arial" w:eastAsia="Arial" w:hAnsi="Arial"/>
                <w:sz w:val="14"/>
                <w:szCs w:val="14"/>
                <w:b w:val="1"/>
                <w:bCs w:val="1"/>
                <w:color w:val="3F3F3F"/>
                <w:w w:val="90"/>
              </w:rPr>
              <w:t>Unexercisable</w:t>
            </w:r>
          </w:p>
        </w:tc>
        <w:tc>
          <w:tcPr>
            <w:tcW w:w="840" w:type="dxa"/>
            <w:vAlign w:val="bottom"/>
            <w:tcBorders>
              <w:right w:val="single" w:sz="8" w:color="auto"/>
            </w:tcBorders>
            <w:shd w:val="clear" w:color="auto" w:fill="BFBFBF"/>
          </w:tcPr>
          <w:p>
            <w:pPr>
              <w:jc w:val="center"/>
              <w:ind w:right="1"/>
              <w:spacing w:after="0" w:line="149" w:lineRule="exact"/>
              <w:rPr>
                <w:sz w:val="20"/>
                <w:szCs w:val="20"/>
                <w:color w:val="auto"/>
              </w:rPr>
            </w:pPr>
            <w:r>
              <w:rPr>
                <w:rFonts w:ascii="Arial" w:cs="Arial" w:eastAsia="Arial" w:hAnsi="Arial"/>
                <w:sz w:val="14"/>
                <w:szCs w:val="14"/>
                <w:b w:val="1"/>
                <w:bCs w:val="1"/>
                <w:color w:val="3F3F3F"/>
                <w:w w:val="93"/>
              </w:rPr>
              <w:t>Price</w:t>
            </w:r>
          </w:p>
        </w:tc>
        <w:tc>
          <w:tcPr>
            <w:tcW w:w="1060" w:type="dxa"/>
            <w:vAlign w:val="bottom"/>
            <w:tcBorders>
              <w:right w:val="single" w:sz="8" w:color="auto"/>
            </w:tcBorders>
            <w:shd w:val="clear" w:color="auto" w:fill="BFBFBF"/>
          </w:tcPr>
          <w:p>
            <w:pPr>
              <w:jc w:val="center"/>
              <w:spacing w:after="0" w:line="149" w:lineRule="exact"/>
              <w:rPr>
                <w:sz w:val="20"/>
                <w:szCs w:val="20"/>
                <w:color w:val="auto"/>
              </w:rPr>
            </w:pPr>
            <w:r>
              <w:rPr>
                <w:rFonts w:ascii="Arial" w:cs="Arial" w:eastAsia="Arial" w:hAnsi="Arial"/>
                <w:sz w:val="14"/>
                <w:szCs w:val="14"/>
                <w:b w:val="1"/>
                <w:bCs w:val="1"/>
                <w:color w:val="3F3F3F"/>
                <w:w w:val="99"/>
              </w:rPr>
              <w:t>Expiration</w:t>
            </w:r>
          </w:p>
        </w:tc>
        <w:tc>
          <w:tcPr>
            <w:tcW w:w="1000" w:type="dxa"/>
            <w:vAlign w:val="bottom"/>
            <w:tcBorders>
              <w:right w:val="single" w:sz="8" w:color="auto"/>
            </w:tcBorders>
            <w:shd w:val="clear" w:color="auto" w:fill="BFBFBF"/>
          </w:tcPr>
          <w:p>
            <w:pPr>
              <w:jc w:val="center"/>
              <w:ind w:right="2"/>
              <w:spacing w:after="0" w:line="149" w:lineRule="exact"/>
              <w:rPr>
                <w:sz w:val="20"/>
                <w:szCs w:val="20"/>
                <w:color w:val="auto"/>
              </w:rPr>
            </w:pPr>
            <w:r>
              <w:rPr>
                <w:rFonts w:ascii="Arial" w:cs="Arial" w:eastAsia="Arial" w:hAnsi="Arial"/>
                <w:sz w:val="14"/>
                <w:szCs w:val="14"/>
                <w:b w:val="1"/>
                <w:bCs w:val="1"/>
                <w:color w:val="3F3F3F"/>
                <w:w w:val="87"/>
              </w:rPr>
              <w:t>Vested</w:t>
            </w:r>
          </w:p>
        </w:tc>
        <w:tc>
          <w:tcPr>
            <w:tcW w:w="860" w:type="dxa"/>
            <w:vAlign w:val="bottom"/>
            <w:shd w:val="clear" w:color="auto" w:fill="BFBFBF"/>
          </w:tcPr>
          <w:p>
            <w:pPr>
              <w:jc w:val="center"/>
              <w:ind w:left="1"/>
              <w:spacing w:after="0" w:line="149" w:lineRule="exact"/>
              <w:rPr>
                <w:sz w:val="20"/>
                <w:szCs w:val="20"/>
                <w:color w:val="auto"/>
              </w:rPr>
            </w:pPr>
            <w:r>
              <w:rPr>
                <w:rFonts w:ascii="Arial" w:cs="Arial" w:eastAsia="Arial" w:hAnsi="Arial"/>
                <w:sz w:val="14"/>
                <w:szCs w:val="14"/>
                <w:b w:val="1"/>
                <w:bCs w:val="1"/>
                <w:color w:val="3F3F3F"/>
                <w:w w:val="91"/>
              </w:rPr>
              <w:t>Vested</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900" w:type="dxa"/>
            <w:vAlign w:val="bottom"/>
            <w:tcBorders>
              <w:left w:val="single" w:sz="8" w:color="auto"/>
              <w:bottom w:val="single" w:sz="8" w:color="BFBFBF"/>
              <w:right w:val="single" w:sz="8" w:color="auto"/>
            </w:tcBorders>
            <w:vMerge w:val="continue"/>
            <w:shd w:val="clear" w:color="auto" w:fill="BFBFBF"/>
          </w:tcPr>
          <w:p>
            <w:pPr>
              <w:spacing w:after="0"/>
              <w:rPr>
                <w:sz w:val="18"/>
                <w:szCs w:val="18"/>
                <w:color w:val="auto"/>
              </w:rPr>
            </w:pPr>
          </w:p>
        </w:tc>
        <w:tc>
          <w:tcPr>
            <w:tcW w:w="1120" w:type="dxa"/>
            <w:vAlign w:val="bottom"/>
            <w:tcBorders>
              <w:bottom w:val="single" w:sz="8" w:color="BFBFBF"/>
              <w:right w:val="single" w:sz="8" w:color="auto"/>
            </w:tcBorders>
            <w:vMerge w:val="continue"/>
            <w:shd w:val="clear" w:color="auto" w:fill="BFBFBF"/>
          </w:tcPr>
          <w:p>
            <w:pPr>
              <w:spacing w:after="0"/>
              <w:rPr>
                <w:sz w:val="18"/>
                <w:szCs w:val="18"/>
                <w:color w:val="auto"/>
              </w:rPr>
            </w:pPr>
          </w:p>
        </w:tc>
        <w:tc>
          <w:tcPr>
            <w:tcW w:w="1080" w:type="dxa"/>
            <w:vAlign w:val="bottom"/>
            <w:tcBorders>
              <w:bottom w:val="single" w:sz="8" w:color="BFBFBF"/>
              <w:right w:val="single" w:sz="8" w:color="auto"/>
            </w:tcBorders>
            <w:shd w:val="clear" w:color="auto" w:fill="BFBFBF"/>
          </w:tcPr>
          <w:p>
            <w:pPr>
              <w:jc w:val="center"/>
              <w:spacing w:after="0"/>
              <w:rPr>
                <w:sz w:val="20"/>
                <w:szCs w:val="20"/>
                <w:color w:val="auto"/>
              </w:rPr>
            </w:pPr>
            <w:r>
              <w:rPr>
                <w:rFonts w:ascii="Arial" w:cs="Arial" w:eastAsia="Arial" w:hAnsi="Arial"/>
                <w:sz w:val="14"/>
                <w:szCs w:val="14"/>
                <w:b w:val="1"/>
                <w:bCs w:val="1"/>
                <w:color w:val="3F3F3F"/>
                <w:w w:val="93"/>
              </w:rPr>
              <w:t>(#)</w:t>
            </w:r>
          </w:p>
        </w:tc>
        <w:tc>
          <w:tcPr>
            <w:tcW w:w="1200" w:type="dxa"/>
            <w:vAlign w:val="bottom"/>
            <w:tcBorders>
              <w:bottom w:val="single" w:sz="8" w:color="BFBFBF"/>
              <w:right w:val="single" w:sz="8" w:color="auto"/>
            </w:tcBorders>
            <w:shd w:val="clear" w:color="auto" w:fill="BFBFBF"/>
          </w:tcPr>
          <w:p>
            <w:pPr>
              <w:jc w:val="center"/>
              <w:spacing w:after="0"/>
              <w:rPr>
                <w:sz w:val="20"/>
                <w:szCs w:val="20"/>
                <w:color w:val="auto"/>
              </w:rPr>
            </w:pPr>
            <w:r>
              <w:rPr>
                <w:rFonts w:ascii="Arial" w:cs="Arial" w:eastAsia="Arial" w:hAnsi="Arial"/>
                <w:sz w:val="14"/>
                <w:szCs w:val="14"/>
                <w:b w:val="1"/>
                <w:bCs w:val="1"/>
                <w:color w:val="3F3F3F"/>
                <w:w w:val="93"/>
              </w:rPr>
              <w:t>(#)</w:t>
            </w:r>
          </w:p>
        </w:tc>
        <w:tc>
          <w:tcPr>
            <w:tcW w:w="840" w:type="dxa"/>
            <w:vAlign w:val="bottom"/>
            <w:tcBorders>
              <w:bottom w:val="single" w:sz="8" w:color="BFBFBF"/>
              <w:right w:val="single" w:sz="8" w:color="auto"/>
            </w:tcBorders>
            <w:shd w:val="clear" w:color="auto" w:fill="BFBFBF"/>
          </w:tcPr>
          <w:p>
            <w:pPr>
              <w:jc w:val="center"/>
              <w:spacing w:after="0"/>
              <w:rPr>
                <w:sz w:val="20"/>
                <w:szCs w:val="20"/>
                <w:color w:val="auto"/>
              </w:rPr>
            </w:pPr>
            <w:r>
              <w:rPr>
                <w:rFonts w:ascii="Arial" w:cs="Arial" w:eastAsia="Arial" w:hAnsi="Arial"/>
                <w:sz w:val="14"/>
                <w:szCs w:val="14"/>
                <w:b w:val="1"/>
                <w:bCs w:val="1"/>
                <w:color w:val="3F3F3F"/>
                <w:w w:val="93"/>
              </w:rPr>
              <w:t>($)</w:t>
            </w:r>
          </w:p>
        </w:tc>
        <w:tc>
          <w:tcPr>
            <w:tcW w:w="1060" w:type="dxa"/>
            <w:vAlign w:val="bottom"/>
            <w:tcBorders>
              <w:bottom w:val="single" w:sz="8" w:color="BFBFBF"/>
              <w:right w:val="single" w:sz="8" w:color="auto"/>
            </w:tcBorders>
            <w:shd w:val="clear" w:color="auto" w:fill="BFBFBF"/>
          </w:tcPr>
          <w:p>
            <w:pPr>
              <w:jc w:val="center"/>
              <w:spacing w:after="0"/>
              <w:rPr>
                <w:sz w:val="20"/>
                <w:szCs w:val="20"/>
                <w:color w:val="auto"/>
              </w:rPr>
            </w:pPr>
            <w:r>
              <w:rPr>
                <w:rFonts w:ascii="Arial" w:cs="Arial" w:eastAsia="Arial" w:hAnsi="Arial"/>
                <w:sz w:val="14"/>
                <w:szCs w:val="14"/>
                <w:b w:val="1"/>
                <w:bCs w:val="1"/>
                <w:color w:val="3F3F3F"/>
                <w:w w:val="92"/>
              </w:rPr>
              <w:t>Date</w:t>
            </w:r>
          </w:p>
        </w:tc>
        <w:tc>
          <w:tcPr>
            <w:tcW w:w="1000" w:type="dxa"/>
            <w:vAlign w:val="bottom"/>
            <w:tcBorders>
              <w:bottom w:val="single" w:sz="8" w:color="BFBFBF"/>
              <w:right w:val="single" w:sz="8" w:color="auto"/>
            </w:tcBorders>
            <w:shd w:val="clear" w:color="auto" w:fill="BFBFBF"/>
          </w:tcPr>
          <w:p>
            <w:pPr>
              <w:jc w:val="center"/>
              <w:spacing w:after="0"/>
              <w:rPr>
                <w:sz w:val="20"/>
                <w:szCs w:val="20"/>
                <w:color w:val="auto"/>
              </w:rPr>
            </w:pPr>
            <w:r>
              <w:rPr>
                <w:rFonts w:ascii="Arial" w:cs="Arial" w:eastAsia="Arial" w:hAnsi="Arial"/>
                <w:sz w:val="14"/>
                <w:szCs w:val="14"/>
                <w:b w:val="1"/>
                <w:bCs w:val="1"/>
                <w:color w:val="3F3F3F"/>
                <w:w w:val="94"/>
              </w:rPr>
              <w:t>(#) (2)</w:t>
            </w:r>
          </w:p>
        </w:tc>
        <w:tc>
          <w:tcPr>
            <w:tcW w:w="860" w:type="dxa"/>
            <w:vAlign w:val="bottom"/>
            <w:tcBorders>
              <w:bottom w:val="single" w:sz="8" w:color="BFBFBF"/>
            </w:tcBorders>
            <w:shd w:val="clear" w:color="auto" w:fill="BFBFBF"/>
          </w:tcPr>
          <w:p>
            <w:pPr>
              <w:jc w:val="center"/>
              <w:ind w:left="41"/>
              <w:spacing w:after="0"/>
              <w:rPr>
                <w:sz w:val="20"/>
                <w:szCs w:val="20"/>
                <w:color w:val="auto"/>
              </w:rPr>
            </w:pPr>
            <w:r>
              <w:rPr>
                <w:rFonts w:ascii="Arial" w:cs="Arial" w:eastAsia="Arial" w:hAnsi="Arial"/>
                <w:sz w:val="14"/>
                <w:szCs w:val="14"/>
                <w:b w:val="1"/>
                <w:bCs w:val="1"/>
                <w:color w:val="3F3F3F"/>
              </w:rPr>
              <w:t>($)</w:t>
            </w:r>
          </w:p>
        </w:tc>
        <w:tc>
          <w:tcPr>
            <w:tcW w:w="20" w:type="dxa"/>
            <w:vAlign w:val="bottom"/>
            <w:tcBorders>
              <w:bottom w:val="single" w:sz="8" w:color="auto"/>
            </w:tcBorders>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190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6"/>
                <w:szCs w:val="16"/>
                <w:color w:val="3F3F3F"/>
              </w:rPr>
              <w:t>Carl H. Lindner</w:t>
            </w:r>
          </w:p>
        </w:tc>
        <w:tc>
          <w:tcPr>
            <w:tcW w:w="11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3F3F3F"/>
                <w:w w:val="92"/>
              </w:rPr>
              <w:t>02/21/2013</w:t>
            </w:r>
          </w:p>
        </w:tc>
        <w:tc>
          <w:tcPr>
            <w:tcW w:w="1080" w:type="dxa"/>
            <w:vAlign w:val="bottom"/>
            <w:tcBorders>
              <w:top w:val="single" w:sz="8" w:color="auto"/>
              <w:right w:val="single" w:sz="8" w:color="auto"/>
            </w:tcBorders>
          </w:tcPr>
          <w:p>
            <w:pPr>
              <w:jc w:val="right"/>
              <w:ind w:right="262"/>
              <w:spacing w:after="0"/>
              <w:rPr>
                <w:sz w:val="20"/>
                <w:szCs w:val="20"/>
                <w:color w:val="auto"/>
              </w:rPr>
            </w:pPr>
            <w:r>
              <w:rPr>
                <w:rFonts w:ascii="Arial" w:cs="Arial" w:eastAsia="Arial" w:hAnsi="Arial"/>
                <w:sz w:val="16"/>
                <w:szCs w:val="16"/>
                <w:color w:val="3F3F3F"/>
              </w:rPr>
              <w:t>50,000</w:t>
            </w:r>
          </w:p>
        </w:tc>
        <w:tc>
          <w:tcPr>
            <w:tcW w:w="1200" w:type="dxa"/>
            <w:vAlign w:val="bottom"/>
            <w:tcBorders>
              <w:top w:val="single" w:sz="8" w:color="auto"/>
              <w:right w:val="single" w:sz="8" w:color="auto"/>
            </w:tcBorders>
          </w:tcPr>
          <w:p>
            <w:pPr>
              <w:spacing w:after="0"/>
              <w:rPr>
                <w:sz w:val="20"/>
                <w:szCs w:val="20"/>
                <w:color w:val="auto"/>
              </w:rPr>
            </w:pPr>
          </w:p>
        </w:tc>
        <w:tc>
          <w:tcPr>
            <w:tcW w:w="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3F3F3F"/>
                <w:w w:val="89"/>
              </w:rPr>
              <w:t>44.01</w:t>
            </w:r>
          </w:p>
        </w:tc>
        <w:tc>
          <w:tcPr>
            <w:tcW w:w="10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3F3F3F"/>
                <w:w w:val="92"/>
              </w:rPr>
              <w:t>02/21/2023</w:t>
            </w:r>
          </w:p>
        </w:tc>
        <w:tc>
          <w:tcPr>
            <w:tcW w:w="1000" w:type="dxa"/>
            <w:vAlign w:val="bottom"/>
            <w:tcBorders>
              <w:top w:val="single" w:sz="8" w:color="auto"/>
              <w:right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1900" w:type="dxa"/>
            <w:vAlign w:val="bottom"/>
            <w:tcBorders>
              <w:left w:val="single" w:sz="8" w:color="auto"/>
              <w:right w:val="single" w:sz="8" w:color="auto"/>
            </w:tcBorders>
          </w:tcPr>
          <w:p>
            <w:pPr>
              <w:spacing w:after="0"/>
              <w:rPr>
                <w:sz w:val="24"/>
                <w:szCs w:val="24"/>
                <w:color w:val="auto"/>
              </w:rPr>
            </w:pP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3F3F3F"/>
                <w:w w:val="92"/>
              </w:rPr>
              <w:t>02/24/2014</w:t>
            </w:r>
          </w:p>
        </w:tc>
        <w:tc>
          <w:tcPr>
            <w:tcW w:w="1080" w:type="dxa"/>
            <w:vAlign w:val="bottom"/>
            <w:tcBorders>
              <w:right w:val="single" w:sz="8" w:color="auto"/>
            </w:tcBorders>
          </w:tcPr>
          <w:p>
            <w:pPr>
              <w:jc w:val="right"/>
              <w:ind w:right="262"/>
              <w:spacing w:after="0"/>
              <w:rPr>
                <w:sz w:val="20"/>
                <w:szCs w:val="20"/>
                <w:color w:val="auto"/>
              </w:rPr>
            </w:pPr>
            <w:r>
              <w:rPr>
                <w:rFonts w:ascii="Arial" w:cs="Arial" w:eastAsia="Arial" w:hAnsi="Arial"/>
                <w:sz w:val="16"/>
                <w:szCs w:val="16"/>
                <w:color w:val="3F3F3F"/>
              </w:rPr>
              <w:t>50,000</w:t>
            </w:r>
          </w:p>
        </w:tc>
        <w:tc>
          <w:tcPr>
            <w:tcW w:w="120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3F3F3F"/>
                <w:w w:val="89"/>
              </w:rPr>
              <w:t>56.44</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3F3F3F"/>
                <w:w w:val="92"/>
              </w:rPr>
              <w:t>02/24/2024</w:t>
            </w:r>
          </w:p>
        </w:tc>
        <w:tc>
          <w:tcPr>
            <w:tcW w:w="1000" w:type="dxa"/>
            <w:vAlign w:val="bottom"/>
            <w:tcBorders>
              <w:right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900" w:type="dxa"/>
            <w:vAlign w:val="bottom"/>
            <w:tcBorders>
              <w:left w:val="single" w:sz="8" w:color="auto"/>
              <w:right w:val="single" w:sz="8" w:color="auto"/>
            </w:tcBorders>
          </w:tcPr>
          <w:p>
            <w:pPr>
              <w:spacing w:after="0"/>
              <w:rPr>
                <w:sz w:val="24"/>
                <w:szCs w:val="24"/>
                <w:color w:val="auto"/>
              </w:rPr>
            </w:pP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3F3F3F"/>
                <w:w w:val="92"/>
              </w:rPr>
              <w:t>02/23/2015</w:t>
            </w:r>
          </w:p>
        </w:tc>
        <w:tc>
          <w:tcPr>
            <w:tcW w:w="1080" w:type="dxa"/>
            <w:vAlign w:val="bottom"/>
            <w:tcBorders>
              <w:right w:val="single" w:sz="8" w:color="auto"/>
            </w:tcBorders>
          </w:tcPr>
          <w:p>
            <w:pPr>
              <w:jc w:val="right"/>
              <w:ind w:right="262"/>
              <w:spacing w:after="0"/>
              <w:rPr>
                <w:sz w:val="20"/>
                <w:szCs w:val="20"/>
                <w:color w:val="auto"/>
              </w:rPr>
            </w:pPr>
            <w:r>
              <w:rPr>
                <w:rFonts w:ascii="Arial" w:cs="Arial" w:eastAsia="Arial" w:hAnsi="Arial"/>
                <w:sz w:val="16"/>
                <w:szCs w:val="16"/>
                <w:color w:val="3F3F3F"/>
              </w:rPr>
              <w:t>40,000</w:t>
            </w:r>
          </w:p>
        </w:tc>
        <w:tc>
          <w:tcPr>
            <w:tcW w:w="1200" w:type="dxa"/>
            <w:vAlign w:val="bottom"/>
            <w:tcBorders>
              <w:right w:val="single" w:sz="8" w:color="auto"/>
            </w:tcBorders>
          </w:tcPr>
          <w:p>
            <w:pPr>
              <w:jc w:val="right"/>
              <w:ind w:right="324"/>
              <w:spacing w:after="0"/>
              <w:rPr>
                <w:sz w:val="20"/>
                <w:szCs w:val="20"/>
                <w:color w:val="auto"/>
              </w:rPr>
            </w:pPr>
            <w:r>
              <w:rPr>
                <w:rFonts w:ascii="Arial" w:cs="Arial" w:eastAsia="Arial" w:hAnsi="Arial"/>
                <w:sz w:val="16"/>
                <w:szCs w:val="16"/>
                <w:color w:val="3F3F3F"/>
              </w:rPr>
              <w:t>10,000</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3F3F3F"/>
                <w:w w:val="89"/>
              </w:rPr>
              <w:t>63.15</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3F3F3F"/>
                <w:w w:val="92"/>
              </w:rPr>
              <w:t>02/23/2025</w:t>
            </w:r>
          </w:p>
        </w:tc>
        <w:tc>
          <w:tcPr>
            <w:tcW w:w="1000" w:type="dxa"/>
            <w:vAlign w:val="bottom"/>
            <w:tcBorders>
              <w:right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900" w:type="dxa"/>
            <w:vAlign w:val="bottom"/>
            <w:tcBorders>
              <w:left w:val="single" w:sz="8" w:color="auto"/>
              <w:right w:val="single" w:sz="8" w:color="auto"/>
            </w:tcBorders>
          </w:tcPr>
          <w:p>
            <w:pPr>
              <w:spacing w:after="0"/>
              <w:rPr>
                <w:sz w:val="24"/>
                <w:szCs w:val="24"/>
                <w:color w:val="auto"/>
              </w:rPr>
            </w:pP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3F3F3F"/>
                <w:w w:val="92"/>
              </w:rPr>
              <w:t>02/23/2016</w:t>
            </w:r>
          </w:p>
        </w:tc>
        <w:tc>
          <w:tcPr>
            <w:tcW w:w="10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1000" w:type="dxa"/>
            <w:vAlign w:val="bottom"/>
            <w:tcBorders>
              <w:right w:val="single" w:sz="8" w:color="auto"/>
            </w:tcBorders>
          </w:tcPr>
          <w:p>
            <w:pPr>
              <w:jc w:val="right"/>
              <w:ind w:right="202"/>
              <w:spacing w:after="0"/>
              <w:rPr>
                <w:sz w:val="20"/>
                <w:szCs w:val="20"/>
                <w:color w:val="auto"/>
              </w:rPr>
            </w:pPr>
            <w:r>
              <w:rPr>
                <w:rFonts w:ascii="Arial" w:cs="Arial" w:eastAsia="Arial" w:hAnsi="Arial"/>
                <w:sz w:val="16"/>
                <w:szCs w:val="16"/>
                <w:color w:val="3F3F3F"/>
              </w:rPr>
              <w:t>22,400</w:t>
            </w:r>
          </w:p>
        </w:tc>
        <w:tc>
          <w:tcPr>
            <w:tcW w:w="860" w:type="dxa"/>
            <w:vAlign w:val="bottom"/>
          </w:tcPr>
          <w:p>
            <w:pPr>
              <w:jc w:val="right"/>
              <w:spacing w:after="0"/>
              <w:rPr>
                <w:sz w:val="20"/>
                <w:szCs w:val="20"/>
                <w:color w:val="auto"/>
              </w:rPr>
            </w:pPr>
            <w:r>
              <w:rPr>
                <w:rFonts w:ascii="Arial" w:cs="Arial" w:eastAsia="Arial" w:hAnsi="Arial"/>
                <w:sz w:val="16"/>
                <w:szCs w:val="16"/>
                <w:color w:val="3F3F3F"/>
              </w:rPr>
              <w:t>2,456,160</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900" w:type="dxa"/>
            <w:vAlign w:val="bottom"/>
            <w:tcBorders>
              <w:left w:val="single" w:sz="8" w:color="auto"/>
              <w:right w:val="single" w:sz="8" w:color="auto"/>
            </w:tcBorders>
          </w:tcPr>
          <w:p>
            <w:pPr>
              <w:spacing w:after="0"/>
              <w:rPr>
                <w:sz w:val="24"/>
                <w:szCs w:val="24"/>
                <w:color w:val="auto"/>
              </w:rPr>
            </w:pP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3F3F3F"/>
                <w:w w:val="92"/>
              </w:rPr>
              <w:t>02/22/2017</w:t>
            </w:r>
          </w:p>
        </w:tc>
        <w:tc>
          <w:tcPr>
            <w:tcW w:w="10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1000" w:type="dxa"/>
            <w:vAlign w:val="bottom"/>
            <w:tcBorders>
              <w:right w:val="single" w:sz="8" w:color="auto"/>
            </w:tcBorders>
          </w:tcPr>
          <w:p>
            <w:pPr>
              <w:jc w:val="right"/>
              <w:ind w:right="202"/>
              <w:spacing w:after="0"/>
              <w:rPr>
                <w:sz w:val="20"/>
                <w:szCs w:val="20"/>
                <w:color w:val="auto"/>
              </w:rPr>
            </w:pPr>
            <w:r>
              <w:rPr>
                <w:rFonts w:ascii="Arial" w:cs="Arial" w:eastAsia="Arial" w:hAnsi="Arial"/>
                <w:sz w:val="16"/>
                <w:szCs w:val="16"/>
                <w:color w:val="3F3F3F"/>
              </w:rPr>
              <w:t>15,885</w:t>
            </w:r>
          </w:p>
        </w:tc>
        <w:tc>
          <w:tcPr>
            <w:tcW w:w="860" w:type="dxa"/>
            <w:vAlign w:val="bottom"/>
          </w:tcPr>
          <w:p>
            <w:pPr>
              <w:jc w:val="right"/>
              <w:spacing w:after="0"/>
              <w:rPr>
                <w:sz w:val="20"/>
                <w:szCs w:val="20"/>
                <w:color w:val="auto"/>
              </w:rPr>
            </w:pPr>
            <w:r>
              <w:rPr>
                <w:rFonts w:ascii="Arial" w:cs="Arial" w:eastAsia="Arial" w:hAnsi="Arial"/>
                <w:sz w:val="16"/>
                <w:szCs w:val="16"/>
                <w:color w:val="3F3F3F"/>
              </w:rPr>
              <w:t>1,741,790</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900" w:type="dxa"/>
            <w:vAlign w:val="bottom"/>
            <w:tcBorders>
              <w:left w:val="single" w:sz="8" w:color="auto"/>
              <w:right w:val="single" w:sz="8" w:color="auto"/>
            </w:tcBorders>
          </w:tcPr>
          <w:p>
            <w:pPr>
              <w:spacing w:after="0"/>
              <w:rPr>
                <w:sz w:val="24"/>
                <w:szCs w:val="24"/>
                <w:color w:val="auto"/>
              </w:rPr>
            </w:pP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3F3F3F"/>
                <w:w w:val="92"/>
              </w:rPr>
              <w:t>02/21/2018</w:t>
            </w:r>
          </w:p>
        </w:tc>
        <w:tc>
          <w:tcPr>
            <w:tcW w:w="10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1000" w:type="dxa"/>
            <w:vAlign w:val="bottom"/>
            <w:tcBorders>
              <w:right w:val="single" w:sz="8" w:color="auto"/>
            </w:tcBorders>
          </w:tcPr>
          <w:p>
            <w:pPr>
              <w:jc w:val="right"/>
              <w:ind w:right="202"/>
              <w:spacing w:after="0"/>
              <w:rPr>
                <w:sz w:val="20"/>
                <w:szCs w:val="20"/>
                <w:color w:val="auto"/>
              </w:rPr>
            </w:pPr>
            <w:r>
              <w:rPr>
                <w:rFonts w:ascii="Arial" w:cs="Arial" w:eastAsia="Arial" w:hAnsi="Arial"/>
                <w:sz w:val="16"/>
                <w:szCs w:val="16"/>
                <w:color w:val="3F3F3F"/>
              </w:rPr>
              <w:t>13,295</w:t>
            </w:r>
          </w:p>
        </w:tc>
        <w:tc>
          <w:tcPr>
            <w:tcW w:w="860" w:type="dxa"/>
            <w:vAlign w:val="bottom"/>
          </w:tcPr>
          <w:p>
            <w:pPr>
              <w:jc w:val="right"/>
              <w:spacing w:after="0"/>
              <w:rPr>
                <w:sz w:val="20"/>
                <w:szCs w:val="20"/>
                <w:color w:val="auto"/>
              </w:rPr>
            </w:pPr>
            <w:r>
              <w:rPr>
                <w:rFonts w:ascii="Arial" w:cs="Arial" w:eastAsia="Arial" w:hAnsi="Arial"/>
                <w:sz w:val="16"/>
                <w:szCs w:val="16"/>
                <w:color w:val="3F3F3F"/>
              </w:rPr>
              <w:t>1,457,797</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900" w:type="dxa"/>
            <w:vAlign w:val="bottom"/>
            <w:tcBorders>
              <w:left w:val="single" w:sz="8" w:color="auto"/>
              <w:right w:val="single" w:sz="8" w:color="auto"/>
            </w:tcBorders>
          </w:tcPr>
          <w:p>
            <w:pPr>
              <w:spacing w:after="0"/>
              <w:rPr>
                <w:sz w:val="24"/>
                <w:szCs w:val="24"/>
                <w:color w:val="auto"/>
              </w:rPr>
            </w:pP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3F3F3F"/>
                <w:w w:val="92"/>
              </w:rPr>
              <w:t>02/26/2019</w:t>
            </w:r>
          </w:p>
        </w:tc>
        <w:tc>
          <w:tcPr>
            <w:tcW w:w="10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1000" w:type="dxa"/>
            <w:vAlign w:val="bottom"/>
            <w:tcBorders>
              <w:right w:val="single" w:sz="8" w:color="auto"/>
            </w:tcBorders>
          </w:tcPr>
          <w:p>
            <w:pPr>
              <w:jc w:val="right"/>
              <w:ind w:right="222"/>
              <w:spacing w:after="0"/>
              <w:rPr>
                <w:sz w:val="20"/>
                <w:szCs w:val="20"/>
                <w:color w:val="auto"/>
              </w:rPr>
            </w:pPr>
            <w:r>
              <w:rPr>
                <w:rFonts w:ascii="Arial" w:cs="Arial" w:eastAsia="Arial" w:hAnsi="Arial"/>
                <w:sz w:val="16"/>
                <w:szCs w:val="16"/>
                <w:color w:val="3F3F3F"/>
              </w:rPr>
              <w:t>15,110</w:t>
            </w:r>
          </w:p>
        </w:tc>
        <w:tc>
          <w:tcPr>
            <w:tcW w:w="860" w:type="dxa"/>
            <w:vAlign w:val="bottom"/>
          </w:tcPr>
          <w:p>
            <w:pPr>
              <w:jc w:val="right"/>
              <w:spacing w:after="0"/>
              <w:rPr>
                <w:sz w:val="20"/>
                <w:szCs w:val="20"/>
                <w:color w:val="auto"/>
              </w:rPr>
            </w:pPr>
            <w:r>
              <w:rPr>
                <w:rFonts w:ascii="Arial" w:cs="Arial" w:eastAsia="Arial" w:hAnsi="Arial"/>
                <w:sz w:val="16"/>
                <w:szCs w:val="16"/>
                <w:color w:val="3F3F3F"/>
              </w:rPr>
              <w:t>1,656,812</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1900" w:type="dxa"/>
            <w:vAlign w:val="bottom"/>
            <w:tcBorders>
              <w:left w:val="single" w:sz="8" w:color="auto"/>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08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840" w:type="dxa"/>
            <w:vAlign w:val="bottom"/>
            <w:tcBorders>
              <w:bottom w:val="single" w:sz="8" w:color="auto"/>
              <w:right w:val="single" w:sz="8" w:color="auto"/>
            </w:tcBorders>
          </w:tcPr>
          <w:p>
            <w:pPr>
              <w:spacing w:after="0"/>
              <w:rPr>
                <w:sz w:val="4"/>
                <w:szCs w:val="4"/>
                <w:color w:val="auto"/>
              </w:rPr>
            </w:pPr>
          </w:p>
        </w:tc>
        <w:tc>
          <w:tcPr>
            <w:tcW w:w="1060" w:type="dxa"/>
            <w:vAlign w:val="bottom"/>
            <w:tcBorders>
              <w:bottom w:val="single" w:sz="8" w:color="auto"/>
              <w:right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shd w:val="clear" w:color="auto" w:fill="000000"/>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9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6"/>
                <w:szCs w:val="16"/>
                <w:color w:val="3F3F3F"/>
              </w:rPr>
              <w:t>S. Craig Lindner</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3F3F3F"/>
                <w:w w:val="92"/>
              </w:rPr>
              <w:t>02/21/2013</w:t>
            </w:r>
          </w:p>
        </w:tc>
        <w:tc>
          <w:tcPr>
            <w:tcW w:w="1080" w:type="dxa"/>
            <w:vAlign w:val="bottom"/>
            <w:tcBorders>
              <w:right w:val="single" w:sz="8" w:color="auto"/>
            </w:tcBorders>
          </w:tcPr>
          <w:p>
            <w:pPr>
              <w:jc w:val="right"/>
              <w:ind w:right="262"/>
              <w:spacing w:after="0"/>
              <w:rPr>
                <w:sz w:val="20"/>
                <w:szCs w:val="20"/>
                <w:color w:val="auto"/>
              </w:rPr>
            </w:pPr>
            <w:r>
              <w:rPr>
                <w:rFonts w:ascii="Arial" w:cs="Arial" w:eastAsia="Arial" w:hAnsi="Arial"/>
                <w:sz w:val="16"/>
                <w:szCs w:val="16"/>
                <w:color w:val="3F3F3F"/>
              </w:rPr>
              <w:t>50,000</w:t>
            </w:r>
          </w:p>
        </w:tc>
        <w:tc>
          <w:tcPr>
            <w:tcW w:w="1200" w:type="dxa"/>
            <w:vAlign w:val="bottom"/>
            <w:tcBorders>
              <w:right w:val="single" w:sz="8" w:color="auto"/>
            </w:tcBorders>
          </w:tcPr>
          <w:p>
            <w:pPr>
              <w:spacing w:after="0"/>
              <w:rPr>
                <w:sz w:val="20"/>
                <w:szCs w:val="20"/>
                <w:color w:val="auto"/>
              </w:rPr>
            </w:pP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3F3F3F"/>
                <w:w w:val="89"/>
              </w:rPr>
              <w:t>44.01</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3F3F3F"/>
                <w:w w:val="92"/>
              </w:rPr>
              <w:t>02/21/2023</w:t>
            </w:r>
          </w:p>
        </w:tc>
        <w:tc>
          <w:tcPr>
            <w:tcW w:w="1000" w:type="dxa"/>
            <w:vAlign w:val="bottom"/>
            <w:tcBorders>
              <w:right w:val="single" w:sz="8" w:color="auto"/>
            </w:tcBorders>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1900" w:type="dxa"/>
            <w:vAlign w:val="bottom"/>
            <w:tcBorders>
              <w:left w:val="single" w:sz="8" w:color="auto"/>
              <w:right w:val="single" w:sz="8" w:color="auto"/>
            </w:tcBorders>
          </w:tcPr>
          <w:p>
            <w:pPr>
              <w:spacing w:after="0"/>
              <w:rPr>
                <w:sz w:val="24"/>
                <w:szCs w:val="24"/>
                <w:color w:val="auto"/>
              </w:rPr>
            </w:pP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3F3F3F"/>
                <w:w w:val="92"/>
              </w:rPr>
              <w:t>02/24/2014</w:t>
            </w:r>
          </w:p>
        </w:tc>
        <w:tc>
          <w:tcPr>
            <w:tcW w:w="1080" w:type="dxa"/>
            <w:vAlign w:val="bottom"/>
            <w:tcBorders>
              <w:right w:val="single" w:sz="8" w:color="auto"/>
            </w:tcBorders>
          </w:tcPr>
          <w:p>
            <w:pPr>
              <w:jc w:val="right"/>
              <w:ind w:right="262"/>
              <w:spacing w:after="0"/>
              <w:rPr>
                <w:sz w:val="20"/>
                <w:szCs w:val="20"/>
                <w:color w:val="auto"/>
              </w:rPr>
            </w:pPr>
            <w:r>
              <w:rPr>
                <w:rFonts w:ascii="Arial" w:cs="Arial" w:eastAsia="Arial" w:hAnsi="Arial"/>
                <w:sz w:val="16"/>
                <w:szCs w:val="16"/>
                <w:color w:val="3F3F3F"/>
              </w:rPr>
              <w:t>50,000</w:t>
            </w:r>
          </w:p>
        </w:tc>
        <w:tc>
          <w:tcPr>
            <w:tcW w:w="120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3F3F3F"/>
                <w:w w:val="89"/>
              </w:rPr>
              <w:t>56.44</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3F3F3F"/>
                <w:w w:val="92"/>
              </w:rPr>
              <w:t>02/24/2024</w:t>
            </w:r>
          </w:p>
        </w:tc>
        <w:tc>
          <w:tcPr>
            <w:tcW w:w="1000" w:type="dxa"/>
            <w:vAlign w:val="bottom"/>
            <w:tcBorders>
              <w:right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900" w:type="dxa"/>
            <w:vAlign w:val="bottom"/>
            <w:tcBorders>
              <w:left w:val="single" w:sz="8" w:color="auto"/>
              <w:right w:val="single" w:sz="8" w:color="auto"/>
            </w:tcBorders>
          </w:tcPr>
          <w:p>
            <w:pPr>
              <w:spacing w:after="0"/>
              <w:rPr>
                <w:sz w:val="24"/>
                <w:szCs w:val="24"/>
                <w:color w:val="auto"/>
              </w:rPr>
            </w:pP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3F3F3F"/>
                <w:w w:val="92"/>
              </w:rPr>
              <w:t>02/23/2015</w:t>
            </w:r>
          </w:p>
        </w:tc>
        <w:tc>
          <w:tcPr>
            <w:tcW w:w="1080" w:type="dxa"/>
            <w:vAlign w:val="bottom"/>
            <w:tcBorders>
              <w:right w:val="single" w:sz="8" w:color="auto"/>
            </w:tcBorders>
          </w:tcPr>
          <w:p>
            <w:pPr>
              <w:jc w:val="right"/>
              <w:ind w:right="262"/>
              <w:spacing w:after="0"/>
              <w:rPr>
                <w:sz w:val="20"/>
                <w:szCs w:val="20"/>
                <w:color w:val="auto"/>
              </w:rPr>
            </w:pPr>
            <w:r>
              <w:rPr>
                <w:rFonts w:ascii="Arial" w:cs="Arial" w:eastAsia="Arial" w:hAnsi="Arial"/>
                <w:sz w:val="16"/>
                <w:szCs w:val="16"/>
                <w:color w:val="3F3F3F"/>
              </w:rPr>
              <w:t>40,000</w:t>
            </w:r>
          </w:p>
        </w:tc>
        <w:tc>
          <w:tcPr>
            <w:tcW w:w="1200" w:type="dxa"/>
            <w:vAlign w:val="bottom"/>
            <w:tcBorders>
              <w:right w:val="single" w:sz="8" w:color="auto"/>
            </w:tcBorders>
          </w:tcPr>
          <w:p>
            <w:pPr>
              <w:jc w:val="right"/>
              <w:ind w:right="324"/>
              <w:spacing w:after="0"/>
              <w:rPr>
                <w:sz w:val="20"/>
                <w:szCs w:val="20"/>
                <w:color w:val="auto"/>
              </w:rPr>
            </w:pPr>
            <w:r>
              <w:rPr>
                <w:rFonts w:ascii="Arial" w:cs="Arial" w:eastAsia="Arial" w:hAnsi="Arial"/>
                <w:sz w:val="16"/>
                <w:szCs w:val="16"/>
                <w:color w:val="3F3F3F"/>
              </w:rPr>
              <w:t>10,000</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3F3F3F"/>
                <w:w w:val="89"/>
              </w:rPr>
              <w:t>63.15</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3F3F3F"/>
                <w:w w:val="92"/>
              </w:rPr>
              <w:t>02/23/2025</w:t>
            </w:r>
          </w:p>
        </w:tc>
        <w:tc>
          <w:tcPr>
            <w:tcW w:w="1000" w:type="dxa"/>
            <w:vAlign w:val="bottom"/>
            <w:tcBorders>
              <w:right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900" w:type="dxa"/>
            <w:vAlign w:val="bottom"/>
            <w:tcBorders>
              <w:left w:val="single" w:sz="8" w:color="auto"/>
              <w:right w:val="single" w:sz="8" w:color="auto"/>
            </w:tcBorders>
          </w:tcPr>
          <w:p>
            <w:pPr>
              <w:spacing w:after="0"/>
              <w:rPr>
                <w:sz w:val="24"/>
                <w:szCs w:val="24"/>
                <w:color w:val="auto"/>
              </w:rPr>
            </w:pP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3F3F3F"/>
                <w:w w:val="92"/>
              </w:rPr>
              <w:t>02/23/2016</w:t>
            </w:r>
          </w:p>
        </w:tc>
        <w:tc>
          <w:tcPr>
            <w:tcW w:w="10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1000" w:type="dxa"/>
            <w:vAlign w:val="bottom"/>
            <w:tcBorders>
              <w:right w:val="single" w:sz="8" w:color="auto"/>
            </w:tcBorders>
          </w:tcPr>
          <w:p>
            <w:pPr>
              <w:jc w:val="right"/>
              <w:ind w:right="202"/>
              <w:spacing w:after="0"/>
              <w:rPr>
                <w:sz w:val="20"/>
                <w:szCs w:val="20"/>
                <w:color w:val="auto"/>
              </w:rPr>
            </w:pPr>
            <w:r>
              <w:rPr>
                <w:rFonts w:ascii="Arial" w:cs="Arial" w:eastAsia="Arial" w:hAnsi="Arial"/>
                <w:sz w:val="16"/>
                <w:szCs w:val="16"/>
                <w:color w:val="3F3F3F"/>
              </w:rPr>
              <w:t>22,400</w:t>
            </w:r>
          </w:p>
        </w:tc>
        <w:tc>
          <w:tcPr>
            <w:tcW w:w="860" w:type="dxa"/>
            <w:vAlign w:val="bottom"/>
          </w:tcPr>
          <w:p>
            <w:pPr>
              <w:jc w:val="right"/>
              <w:spacing w:after="0"/>
              <w:rPr>
                <w:sz w:val="20"/>
                <w:szCs w:val="20"/>
                <w:color w:val="auto"/>
              </w:rPr>
            </w:pPr>
            <w:r>
              <w:rPr>
                <w:rFonts w:ascii="Arial" w:cs="Arial" w:eastAsia="Arial" w:hAnsi="Arial"/>
                <w:sz w:val="16"/>
                <w:szCs w:val="16"/>
                <w:color w:val="3F3F3F"/>
              </w:rPr>
              <w:t>2,456,160</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900" w:type="dxa"/>
            <w:vAlign w:val="bottom"/>
            <w:tcBorders>
              <w:left w:val="single" w:sz="8" w:color="auto"/>
              <w:right w:val="single" w:sz="8" w:color="auto"/>
            </w:tcBorders>
          </w:tcPr>
          <w:p>
            <w:pPr>
              <w:spacing w:after="0"/>
              <w:rPr>
                <w:sz w:val="24"/>
                <w:szCs w:val="24"/>
                <w:color w:val="auto"/>
              </w:rPr>
            </w:pP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3F3F3F"/>
                <w:w w:val="92"/>
              </w:rPr>
              <w:t>02/22/2017</w:t>
            </w:r>
          </w:p>
        </w:tc>
        <w:tc>
          <w:tcPr>
            <w:tcW w:w="10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1000" w:type="dxa"/>
            <w:vAlign w:val="bottom"/>
            <w:tcBorders>
              <w:right w:val="single" w:sz="8" w:color="auto"/>
            </w:tcBorders>
          </w:tcPr>
          <w:p>
            <w:pPr>
              <w:jc w:val="right"/>
              <w:ind w:right="202"/>
              <w:spacing w:after="0"/>
              <w:rPr>
                <w:sz w:val="20"/>
                <w:szCs w:val="20"/>
                <w:color w:val="auto"/>
              </w:rPr>
            </w:pPr>
            <w:r>
              <w:rPr>
                <w:rFonts w:ascii="Arial" w:cs="Arial" w:eastAsia="Arial" w:hAnsi="Arial"/>
                <w:sz w:val="16"/>
                <w:szCs w:val="16"/>
                <w:color w:val="3F3F3F"/>
              </w:rPr>
              <w:t>15,885</w:t>
            </w:r>
          </w:p>
        </w:tc>
        <w:tc>
          <w:tcPr>
            <w:tcW w:w="860" w:type="dxa"/>
            <w:vAlign w:val="bottom"/>
          </w:tcPr>
          <w:p>
            <w:pPr>
              <w:jc w:val="right"/>
              <w:spacing w:after="0"/>
              <w:rPr>
                <w:sz w:val="20"/>
                <w:szCs w:val="20"/>
                <w:color w:val="auto"/>
              </w:rPr>
            </w:pPr>
            <w:r>
              <w:rPr>
                <w:rFonts w:ascii="Arial" w:cs="Arial" w:eastAsia="Arial" w:hAnsi="Arial"/>
                <w:sz w:val="16"/>
                <w:szCs w:val="16"/>
                <w:color w:val="3F3F3F"/>
              </w:rPr>
              <w:t>1,741,790</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900" w:type="dxa"/>
            <w:vAlign w:val="bottom"/>
            <w:tcBorders>
              <w:left w:val="single" w:sz="8" w:color="auto"/>
              <w:right w:val="single" w:sz="8" w:color="auto"/>
            </w:tcBorders>
          </w:tcPr>
          <w:p>
            <w:pPr>
              <w:spacing w:after="0"/>
              <w:rPr>
                <w:sz w:val="24"/>
                <w:szCs w:val="24"/>
                <w:color w:val="auto"/>
              </w:rPr>
            </w:pP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3F3F3F"/>
                <w:w w:val="92"/>
              </w:rPr>
              <w:t>02/21/2018</w:t>
            </w:r>
          </w:p>
        </w:tc>
        <w:tc>
          <w:tcPr>
            <w:tcW w:w="10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1000" w:type="dxa"/>
            <w:vAlign w:val="bottom"/>
            <w:tcBorders>
              <w:right w:val="single" w:sz="8" w:color="auto"/>
            </w:tcBorders>
          </w:tcPr>
          <w:p>
            <w:pPr>
              <w:jc w:val="right"/>
              <w:ind w:right="202"/>
              <w:spacing w:after="0"/>
              <w:rPr>
                <w:sz w:val="20"/>
                <w:szCs w:val="20"/>
                <w:color w:val="auto"/>
              </w:rPr>
            </w:pPr>
            <w:r>
              <w:rPr>
                <w:rFonts w:ascii="Arial" w:cs="Arial" w:eastAsia="Arial" w:hAnsi="Arial"/>
                <w:sz w:val="16"/>
                <w:szCs w:val="16"/>
                <w:color w:val="3F3F3F"/>
              </w:rPr>
              <w:t>13,295</w:t>
            </w:r>
          </w:p>
        </w:tc>
        <w:tc>
          <w:tcPr>
            <w:tcW w:w="860" w:type="dxa"/>
            <w:vAlign w:val="bottom"/>
          </w:tcPr>
          <w:p>
            <w:pPr>
              <w:jc w:val="right"/>
              <w:spacing w:after="0"/>
              <w:rPr>
                <w:sz w:val="20"/>
                <w:szCs w:val="20"/>
                <w:color w:val="auto"/>
              </w:rPr>
            </w:pPr>
            <w:r>
              <w:rPr>
                <w:rFonts w:ascii="Arial" w:cs="Arial" w:eastAsia="Arial" w:hAnsi="Arial"/>
                <w:sz w:val="16"/>
                <w:szCs w:val="16"/>
                <w:color w:val="3F3F3F"/>
              </w:rPr>
              <w:t>1,457,797</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900" w:type="dxa"/>
            <w:vAlign w:val="bottom"/>
            <w:tcBorders>
              <w:left w:val="single" w:sz="8" w:color="auto"/>
              <w:right w:val="single" w:sz="8" w:color="auto"/>
            </w:tcBorders>
          </w:tcPr>
          <w:p>
            <w:pPr>
              <w:spacing w:after="0"/>
              <w:rPr>
                <w:sz w:val="24"/>
                <w:szCs w:val="24"/>
                <w:color w:val="auto"/>
              </w:rPr>
            </w:pP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3F3F3F"/>
                <w:w w:val="92"/>
              </w:rPr>
              <w:t>02/26/2019</w:t>
            </w:r>
          </w:p>
        </w:tc>
        <w:tc>
          <w:tcPr>
            <w:tcW w:w="10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1000" w:type="dxa"/>
            <w:vAlign w:val="bottom"/>
            <w:tcBorders>
              <w:right w:val="single" w:sz="8" w:color="auto"/>
            </w:tcBorders>
          </w:tcPr>
          <w:p>
            <w:pPr>
              <w:jc w:val="right"/>
              <w:ind w:right="222"/>
              <w:spacing w:after="0"/>
              <w:rPr>
                <w:sz w:val="20"/>
                <w:szCs w:val="20"/>
                <w:color w:val="auto"/>
              </w:rPr>
            </w:pPr>
            <w:r>
              <w:rPr>
                <w:rFonts w:ascii="Arial" w:cs="Arial" w:eastAsia="Arial" w:hAnsi="Arial"/>
                <w:sz w:val="16"/>
                <w:szCs w:val="16"/>
                <w:color w:val="3F3F3F"/>
              </w:rPr>
              <w:t>15,110</w:t>
            </w:r>
          </w:p>
        </w:tc>
        <w:tc>
          <w:tcPr>
            <w:tcW w:w="860" w:type="dxa"/>
            <w:vAlign w:val="bottom"/>
          </w:tcPr>
          <w:p>
            <w:pPr>
              <w:jc w:val="right"/>
              <w:spacing w:after="0"/>
              <w:rPr>
                <w:sz w:val="20"/>
                <w:szCs w:val="20"/>
                <w:color w:val="auto"/>
              </w:rPr>
            </w:pPr>
            <w:r>
              <w:rPr>
                <w:rFonts w:ascii="Arial" w:cs="Arial" w:eastAsia="Arial" w:hAnsi="Arial"/>
                <w:sz w:val="16"/>
                <w:szCs w:val="16"/>
                <w:color w:val="3F3F3F"/>
              </w:rPr>
              <w:t>1,656,812</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47"/>
        </w:trPr>
        <w:tc>
          <w:tcPr>
            <w:tcW w:w="1900" w:type="dxa"/>
            <w:vAlign w:val="bottom"/>
            <w:tcBorders>
              <w:left w:val="single" w:sz="8" w:color="auto"/>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08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840" w:type="dxa"/>
            <w:vAlign w:val="bottom"/>
            <w:tcBorders>
              <w:bottom w:val="single" w:sz="8" w:color="auto"/>
              <w:right w:val="single" w:sz="8" w:color="auto"/>
            </w:tcBorders>
          </w:tcPr>
          <w:p>
            <w:pPr>
              <w:spacing w:after="0"/>
              <w:rPr>
                <w:sz w:val="4"/>
                <w:szCs w:val="4"/>
                <w:color w:val="auto"/>
              </w:rPr>
            </w:pPr>
          </w:p>
        </w:tc>
        <w:tc>
          <w:tcPr>
            <w:tcW w:w="1060" w:type="dxa"/>
            <w:vAlign w:val="bottom"/>
            <w:tcBorders>
              <w:bottom w:val="single" w:sz="8" w:color="auto"/>
              <w:right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shd w:val="clear" w:color="auto" w:fill="000000"/>
          </w:tcPr>
          <w:p>
            <w:pPr>
              <w:spacing w:after="0"/>
              <w:rPr>
                <w:sz w:val="4"/>
                <w:szCs w:val="4"/>
                <w:color w:val="auto"/>
              </w:rPr>
            </w:pPr>
          </w:p>
        </w:tc>
        <w:tc>
          <w:tcPr>
            <w:tcW w:w="0" w:type="dxa"/>
            <w:vAlign w:val="bottom"/>
          </w:tcPr>
          <w:p>
            <w:pPr>
              <w:spacing w:after="0"/>
              <w:rPr>
                <w:sz w:val="1"/>
                <w:szCs w:val="1"/>
                <w:color w:val="auto"/>
              </w:rPr>
            </w:pPr>
          </w:p>
        </w:tc>
      </w:tr>
      <w:tr>
        <w:trPr>
          <w:trHeight w:val="227"/>
        </w:trPr>
        <w:tc>
          <w:tcPr>
            <w:tcW w:w="19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6"/>
                <w:szCs w:val="16"/>
                <w:color w:val="3F3F3F"/>
              </w:rPr>
              <w:t>Joseph E. (Jeff)</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3F3F3F"/>
                <w:w w:val="92"/>
              </w:rPr>
              <w:t>02/23/2015</w:t>
            </w:r>
          </w:p>
        </w:tc>
        <w:tc>
          <w:tcPr>
            <w:tcW w:w="1080" w:type="dxa"/>
            <w:vAlign w:val="bottom"/>
            <w:tcBorders>
              <w:right w:val="single" w:sz="8" w:color="auto"/>
            </w:tcBorders>
          </w:tcPr>
          <w:p>
            <w:pPr>
              <w:spacing w:after="0"/>
              <w:rPr>
                <w:sz w:val="19"/>
                <w:szCs w:val="19"/>
                <w:color w:val="auto"/>
              </w:rPr>
            </w:pPr>
          </w:p>
        </w:tc>
        <w:tc>
          <w:tcPr>
            <w:tcW w:w="1200" w:type="dxa"/>
            <w:vAlign w:val="bottom"/>
            <w:tcBorders>
              <w:right w:val="single" w:sz="8" w:color="auto"/>
            </w:tcBorders>
          </w:tcPr>
          <w:p>
            <w:pPr>
              <w:jc w:val="right"/>
              <w:ind w:right="324"/>
              <w:spacing w:after="0"/>
              <w:rPr>
                <w:sz w:val="20"/>
                <w:szCs w:val="20"/>
                <w:color w:val="auto"/>
              </w:rPr>
            </w:pPr>
            <w:r>
              <w:rPr>
                <w:rFonts w:ascii="Arial" w:cs="Arial" w:eastAsia="Arial" w:hAnsi="Arial"/>
                <w:sz w:val="16"/>
                <w:szCs w:val="16"/>
                <w:color w:val="3F3F3F"/>
              </w:rPr>
              <w:t>5,000</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3F3F3F"/>
                <w:w w:val="89"/>
              </w:rPr>
              <w:t>63.15</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3F3F3F"/>
                <w:w w:val="92"/>
              </w:rPr>
              <w:t>02/23/2025</w:t>
            </w:r>
          </w:p>
        </w:tc>
        <w:tc>
          <w:tcPr>
            <w:tcW w:w="1000" w:type="dxa"/>
            <w:vAlign w:val="bottom"/>
            <w:tcBorders>
              <w:right w:val="single" w:sz="8" w:color="auto"/>
            </w:tcBorders>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900" w:type="dxa"/>
            <w:vAlign w:val="bottom"/>
            <w:tcBorders>
              <w:left w:val="single" w:sz="8" w:color="auto"/>
              <w:right w:val="single" w:sz="8" w:color="auto"/>
            </w:tcBorders>
          </w:tcPr>
          <w:p>
            <w:pPr>
              <w:ind w:left="260"/>
              <w:spacing w:after="0"/>
              <w:rPr>
                <w:sz w:val="20"/>
                <w:szCs w:val="20"/>
                <w:color w:val="auto"/>
              </w:rPr>
            </w:pPr>
            <w:r>
              <w:rPr>
                <w:rFonts w:ascii="Arial" w:cs="Arial" w:eastAsia="Arial" w:hAnsi="Arial"/>
                <w:sz w:val="16"/>
                <w:szCs w:val="16"/>
                <w:color w:val="3F3F3F"/>
              </w:rPr>
              <w:t>Consolino</w:t>
            </w: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3F3F3F"/>
                <w:w w:val="92"/>
              </w:rPr>
              <w:t>02/23/2016</w:t>
            </w:r>
          </w:p>
        </w:tc>
        <w:tc>
          <w:tcPr>
            <w:tcW w:w="1080" w:type="dxa"/>
            <w:vAlign w:val="bottom"/>
            <w:tcBorders>
              <w:right w:val="single" w:sz="8" w:color="auto"/>
            </w:tcBorders>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vMerge w:val="restart"/>
          </w:tcPr>
          <w:p>
            <w:pPr>
              <w:jc w:val="right"/>
              <w:ind w:right="222"/>
              <w:spacing w:after="0"/>
              <w:rPr>
                <w:sz w:val="20"/>
                <w:szCs w:val="20"/>
                <w:color w:val="auto"/>
              </w:rPr>
            </w:pPr>
            <w:r>
              <w:rPr>
                <w:rFonts w:ascii="Arial" w:cs="Arial" w:eastAsia="Arial" w:hAnsi="Arial"/>
                <w:sz w:val="16"/>
                <w:szCs w:val="16"/>
                <w:color w:val="3F3F3F"/>
              </w:rPr>
              <w:t>11,200</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3F3F3F"/>
              </w:rPr>
              <w:t>1,228,080</w:t>
            </w:r>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900" w:type="dxa"/>
            <w:vAlign w:val="bottom"/>
            <w:tcBorders>
              <w:left w:val="single" w:sz="8" w:color="auto"/>
              <w:right w:val="single" w:sz="8" w:color="auto"/>
            </w:tcBorders>
          </w:tcPr>
          <w:p>
            <w:pPr>
              <w:spacing w:after="0"/>
              <w:rPr>
                <w:sz w:val="7"/>
                <w:szCs w:val="7"/>
                <w:color w:val="auto"/>
              </w:rPr>
            </w:pPr>
          </w:p>
        </w:tc>
        <w:tc>
          <w:tcPr>
            <w:tcW w:w="1120" w:type="dxa"/>
            <w:vAlign w:val="bottom"/>
            <w:tcBorders>
              <w:right w:val="single" w:sz="8" w:color="auto"/>
            </w:tcBorders>
            <w:vMerge w:val="continue"/>
          </w:tcPr>
          <w:p>
            <w:pPr>
              <w:spacing w:after="0"/>
              <w:rPr>
                <w:sz w:val="7"/>
                <w:szCs w:val="7"/>
                <w:color w:val="auto"/>
              </w:rPr>
            </w:pPr>
          </w:p>
        </w:tc>
        <w:tc>
          <w:tcPr>
            <w:tcW w:w="1080" w:type="dxa"/>
            <w:vAlign w:val="bottom"/>
            <w:tcBorders>
              <w:right w:val="single" w:sz="8" w:color="auto"/>
            </w:tcBorders>
          </w:tcPr>
          <w:p>
            <w:pPr>
              <w:spacing w:after="0"/>
              <w:rPr>
                <w:sz w:val="7"/>
                <w:szCs w:val="7"/>
                <w:color w:val="auto"/>
              </w:rPr>
            </w:pPr>
          </w:p>
        </w:tc>
        <w:tc>
          <w:tcPr>
            <w:tcW w:w="1200" w:type="dxa"/>
            <w:vAlign w:val="bottom"/>
            <w:tcBorders>
              <w:right w:val="single" w:sz="8" w:color="auto"/>
            </w:tcBorders>
          </w:tcPr>
          <w:p>
            <w:pPr>
              <w:spacing w:after="0"/>
              <w:rPr>
                <w:sz w:val="7"/>
                <w:szCs w:val="7"/>
                <w:color w:val="auto"/>
              </w:rPr>
            </w:pPr>
          </w:p>
        </w:tc>
        <w:tc>
          <w:tcPr>
            <w:tcW w:w="840" w:type="dxa"/>
            <w:vAlign w:val="bottom"/>
            <w:tcBorders>
              <w:right w:val="single" w:sz="8" w:color="auto"/>
            </w:tcBorders>
          </w:tcPr>
          <w:p>
            <w:pPr>
              <w:spacing w:after="0"/>
              <w:rPr>
                <w:sz w:val="7"/>
                <w:szCs w:val="7"/>
                <w:color w:val="auto"/>
              </w:rPr>
            </w:pPr>
          </w:p>
        </w:tc>
        <w:tc>
          <w:tcPr>
            <w:tcW w:w="1060" w:type="dxa"/>
            <w:vAlign w:val="bottom"/>
            <w:tcBorders>
              <w:right w:val="single" w:sz="8" w:color="auto"/>
            </w:tcBorders>
          </w:tcPr>
          <w:p>
            <w:pPr>
              <w:spacing w:after="0"/>
              <w:rPr>
                <w:sz w:val="7"/>
                <w:szCs w:val="7"/>
                <w:color w:val="auto"/>
              </w:rPr>
            </w:pPr>
          </w:p>
        </w:tc>
        <w:tc>
          <w:tcPr>
            <w:tcW w:w="1000" w:type="dxa"/>
            <w:vAlign w:val="bottom"/>
            <w:tcBorders>
              <w:right w:val="single" w:sz="8" w:color="auto"/>
            </w:tcBorders>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2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283"/>
        </w:trPr>
        <w:tc>
          <w:tcPr>
            <w:tcW w:w="1900" w:type="dxa"/>
            <w:vAlign w:val="bottom"/>
            <w:tcBorders>
              <w:left w:val="single" w:sz="8" w:color="auto"/>
              <w:right w:val="single" w:sz="8" w:color="auto"/>
            </w:tcBorders>
          </w:tcPr>
          <w:p>
            <w:pPr>
              <w:spacing w:after="0"/>
              <w:rPr>
                <w:sz w:val="24"/>
                <w:szCs w:val="24"/>
                <w:color w:val="auto"/>
              </w:rPr>
            </w:pP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3F3F3F"/>
                <w:w w:val="92"/>
              </w:rPr>
              <w:t>02/22/2017</w:t>
            </w:r>
          </w:p>
        </w:tc>
        <w:tc>
          <w:tcPr>
            <w:tcW w:w="10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1000" w:type="dxa"/>
            <w:vAlign w:val="bottom"/>
            <w:tcBorders>
              <w:right w:val="single" w:sz="8" w:color="auto"/>
            </w:tcBorders>
          </w:tcPr>
          <w:p>
            <w:pPr>
              <w:jc w:val="right"/>
              <w:ind w:right="202"/>
              <w:spacing w:after="0"/>
              <w:rPr>
                <w:sz w:val="20"/>
                <w:szCs w:val="20"/>
                <w:color w:val="auto"/>
              </w:rPr>
            </w:pPr>
            <w:r>
              <w:rPr>
                <w:rFonts w:ascii="Arial" w:cs="Arial" w:eastAsia="Arial" w:hAnsi="Arial"/>
                <w:sz w:val="16"/>
                <w:szCs w:val="16"/>
                <w:color w:val="3F3F3F"/>
              </w:rPr>
              <w:t>8,475</w:t>
            </w:r>
          </w:p>
        </w:tc>
        <w:tc>
          <w:tcPr>
            <w:tcW w:w="860" w:type="dxa"/>
            <w:vAlign w:val="bottom"/>
          </w:tcPr>
          <w:p>
            <w:pPr>
              <w:jc w:val="right"/>
              <w:spacing w:after="0"/>
              <w:rPr>
                <w:sz w:val="20"/>
                <w:szCs w:val="20"/>
                <w:color w:val="auto"/>
              </w:rPr>
            </w:pPr>
            <w:r>
              <w:rPr>
                <w:rFonts w:ascii="Arial" w:cs="Arial" w:eastAsia="Arial" w:hAnsi="Arial"/>
                <w:sz w:val="16"/>
                <w:szCs w:val="16"/>
                <w:color w:val="3F3F3F"/>
              </w:rPr>
              <w:t>929,284</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900" w:type="dxa"/>
            <w:vAlign w:val="bottom"/>
            <w:tcBorders>
              <w:left w:val="single" w:sz="8" w:color="auto"/>
              <w:right w:val="single" w:sz="8" w:color="auto"/>
            </w:tcBorders>
          </w:tcPr>
          <w:p>
            <w:pPr>
              <w:spacing w:after="0"/>
              <w:rPr>
                <w:sz w:val="24"/>
                <w:szCs w:val="24"/>
                <w:color w:val="auto"/>
              </w:rPr>
            </w:pP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3F3F3F"/>
                <w:w w:val="92"/>
              </w:rPr>
              <w:t>02/21/2018</w:t>
            </w:r>
          </w:p>
        </w:tc>
        <w:tc>
          <w:tcPr>
            <w:tcW w:w="10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1000" w:type="dxa"/>
            <w:vAlign w:val="bottom"/>
            <w:tcBorders>
              <w:right w:val="single" w:sz="8" w:color="auto"/>
            </w:tcBorders>
          </w:tcPr>
          <w:p>
            <w:pPr>
              <w:jc w:val="right"/>
              <w:ind w:right="202"/>
              <w:spacing w:after="0"/>
              <w:rPr>
                <w:sz w:val="20"/>
                <w:szCs w:val="20"/>
                <w:color w:val="auto"/>
              </w:rPr>
            </w:pPr>
            <w:r>
              <w:rPr>
                <w:rFonts w:ascii="Arial" w:cs="Arial" w:eastAsia="Arial" w:hAnsi="Arial"/>
                <w:sz w:val="16"/>
                <w:szCs w:val="16"/>
                <w:color w:val="3F3F3F"/>
              </w:rPr>
              <w:t>7,090</w:t>
            </w:r>
          </w:p>
        </w:tc>
        <w:tc>
          <w:tcPr>
            <w:tcW w:w="860" w:type="dxa"/>
            <w:vAlign w:val="bottom"/>
          </w:tcPr>
          <w:p>
            <w:pPr>
              <w:jc w:val="right"/>
              <w:spacing w:after="0"/>
              <w:rPr>
                <w:sz w:val="20"/>
                <w:szCs w:val="20"/>
                <w:color w:val="auto"/>
              </w:rPr>
            </w:pPr>
            <w:r>
              <w:rPr>
                <w:rFonts w:ascii="Arial" w:cs="Arial" w:eastAsia="Arial" w:hAnsi="Arial"/>
                <w:sz w:val="16"/>
                <w:szCs w:val="16"/>
                <w:color w:val="3F3F3F"/>
              </w:rPr>
              <w:t>777,419</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900" w:type="dxa"/>
            <w:vAlign w:val="bottom"/>
            <w:tcBorders>
              <w:left w:val="single" w:sz="8" w:color="auto"/>
              <w:right w:val="single" w:sz="8" w:color="auto"/>
            </w:tcBorders>
          </w:tcPr>
          <w:p>
            <w:pPr>
              <w:spacing w:after="0"/>
              <w:rPr>
                <w:sz w:val="24"/>
                <w:szCs w:val="24"/>
                <w:color w:val="auto"/>
              </w:rPr>
            </w:pP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3F3F3F"/>
                <w:w w:val="92"/>
              </w:rPr>
              <w:t>02/26/2019</w:t>
            </w:r>
          </w:p>
        </w:tc>
        <w:tc>
          <w:tcPr>
            <w:tcW w:w="10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1000" w:type="dxa"/>
            <w:vAlign w:val="bottom"/>
            <w:tcBorders>
              <w:right w:val="single" w:sz="8" w:color="auto"/>
            </w:tcBorders>
          </w:tcPr>
          <w:p>
            <w:pPr>
              <w:jc w:val="right"/>
              <w:ind w:right="202"/>
              <w:spacing w:after="0"/>
              <w:rPr>
                <w:sz w:val="20"/>
                <w:szCs w:val="20"/>
                <w:color w:val="auto"/>
              </w:rPr>
            </w:pPr>
            <w:r>
              <w:rPr>
                <w:rFonts w:ascii="Arial" w:cs="Arial" w:eastAsia="Arial" w:hAnsi="Arial"/>
                <w:sz w:val="16"/>
                <w:szCs w:val="16"/>
                <w:color w:val="3F3F3F"/>
              </w:rPr>
              <w:t>8,060</w:t>
            </w:r>
          </w:p>
        </w:tc>
        <w:tc>
          <w:tcPr>
            <w:tcW w:w="860" w:type="dxa"/>
            <w:vAlign w:val="bottom"/>
          </w:tcPr>
          <w:p>
            <w:pPr>
              <w:jc w:val="right"/>
              <w:spacing w:after="0"/>
              <w:rPr>
                <w:sz w:val="20"/>
                <w:szCs w:val="20"/>
                <w:color w:val="auto"/>
              </w:rPr>
            </w:pPr>
            <w:r>
              <w:rPr>
                <w:rFonts w:ascii="Arial" w:cs="Arial" w:eastAsia="Arial" w:hAnsi="Arial"/>
                <w:sz w:val="16"/>
                <w:szCs w:val="16"/>
                <w:color w:val="3F3F3F"/>
              </w:rPr>
              <w:t>883,779</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47"/>
        </w:trPr>
        <w:tc>
          <w:tcPr>
            <w:tcW w:w="1900" w:type="dxa"/>
            <w:vAlign w:val="bottom"/>
            <w:tcBorders>
              <w:left w:val="single" w:sz="8" w:color="auto"/>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08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840" w:type="dxa"/>
            <w:vAlign w:val="bottom"/>
            <w:tcBorders>
              <w:bottom w:val="single" w:sz="8" w:color="auto"/>
              <w:right w:val="single" w:sz="8" w:color="auto"/>
            </w:tcBorders>
          </w:tcPr>
          <w:p>
            <w:pPr>
              <w:spacing w:after="0"/>
              <w:rPr>
                <w:sz w:val="4"/>
                <w:szCs w:val="4"/>
                <w:color w:val="auto"/>
              </w:rPr>
            </w:pPr>
          </w:p>
        </w:tc>
        <w:tc>
          <w:tcPr>
            <w:tcW w:w="1060" w:type="dxa"/>
            <w:vAlign w:val="bottom"/>
            <w:tcBorders>
              <w:bottom w:val="single" w:sz="8" w:color="auto"/>
              <w:right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shd w:val="clear" w:color="auto" w:fill="000000"/>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9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6"/>
                <w:szCs w:val="16"/>
                <w:color w:val="3F3F3F"/>
              </w:rPr>
              <w:t>John B. Berding</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3F3F3F"/>
                <w:w w:val="92"/>
              </w:rPr>
              <w:t>02/23/2012</w:t>
            </w:r>
          </w:p>
        </w:tc>
        <w:tc>
          <w:tcPr>
            <w:tcW w:w="1080" w:type="dxa"/>
            <w:vAlign w:val="bottom"/>
            <w:tcBorders>
              <w:right w:val="single" w:sz="8" w:color="auto"/>
            </w:tcBorders>
          </w:tcPr>
          <w:p>
            <w:pPr>
              <w:jc w:val="right"/>
              <w:ind w:right="262"/>
              <w:spacing w:after="0"/>
              <w:rPr>
                <w:sz w:val="20"/>
                <w:szCs w:val="20"/>
                <w:color w:val="auto"/>
              </w:rPr>
            </w:pPr>
            <w:r>
              <w:rPr>
                <w:rFonts w:ascii="Arial" w:cs="Arial" w:eastAsia="Arial" w:hAnsi="Arial"/>
                <w:sz w:val="16"/>
                <w:szCs w:val="16"/>
                <w:color w:val="3F3F3F"/>
              </w:rPr>
              <w:t>27,377</w:t>
            </w:r>
          </w:p>
        </w:tc>
        <w:tc>
          <w:tcPr>
            <w:tcW w:w="1200" w:type="dxa"/>
            <w:vAlign w:val="bottom"/>
            <w:tcBorders>
              <w:right w:val="single" w:sz="8" w:color="auto"/>
            </w:tcBorders>
          </w:tcPr>
          <w:p>
            <w:pPr>
              <w:spacing w:after="0"/>
              <w:rPr>
                <w:sz w:val="20"/>
                <w:szCs w:val="20"/>
                <w:color w:val="auto"/>
              </w:rPr>
            </w:pP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3F3F3F"/>
                <w:w w:val="84"/>
              </w:rPr>
              <w:t>38.11</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3F3F3F"/>
                <w:w w:val="92"/>
              </w:rPr>
              <w:t>02/23/2022</w:t>
            </w:r>
          </w:p>
        </w:tc>
        <w:tc>
          <w:tcPr>
            <w:tcW w:w="1000" w:type="dxa"/>
            <w:vAlign w:val="bottom"/>
            <w:tcBorders>
              <w:right w:val="single" w:sz="8" w:color="auto"/>
            </w:tcBorders>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1900" w:type="dxa"/>
            <w:vAlign w:val="bottom"/>
            <w:tcBorders>
              <w:left w:val="single" w:sz="8" w:color="auto"/>
              <w:right w:val="single" w:sz="8" w:color="auto"/>
            </w:tcBorders>
          </w:tcPr>
          <w:p>
            <w:pPr>
              <w:spacing w:after="0"/>
              <w:rPr>
                <w:sz w:val="24"/>
                <w:szCs w:val="24"/>
                <w:color w:val="auto"/>
              </w:rPr>
            </w:pP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3F3F3F"/>
                <w:w w:val="92"/>
              </w:rPr>
              <w:t>02/21/2013</w:t>
            </w:r>
          </w:p>
        </w:tc>
        <w:tc>
          <w:tcPr>
            <w:tcW w:w="1080" w:type="dxa"/>
            <w:vAlign w:val="bottom"/>
            <w:tcBorders>
              <w:right w:val="single" w:sz="8" w:color="auto"/>
            </w:tcBorders>
          </w:tcPr>
          <w:p>
            <w:pPr>
              <w:jc w:val="right"/>
              <w:ind w:right="262"/>
              <w:spacing w:after="0"/>
              <w:rPr>
                <w:sz w:val="20"/>
                <w:szCs w:val="20"/>
                <w:color w:val="auto"/>
              </w:rPr>
            </w:pPr>
            <w:r>
              <w:rPr>
                <w:rFonts w:ascii="Arial" w:cs="Arial" w:eastAsia="Arial" w:hAnsi="Arial"/>
                <w:sz w:val="16"/>
                <w:szCs w:val="16"/>
                <w:color w:val="3F3F3F"/>
              </w:rPr>
              <w:t>27,728</w:t>
            </w:r>
          </w:p>
        </w:tc>
        <w:tc>
          <w:tcPr>
            <w:tcW w:w="120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3F3F3F"/>
                <w:w w:val="89"/>
              </w:rPr>
              <w:t>44.01</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3F3F3F"/>
                <w:w w:val="92"/>
              </w:rPr>
              <w:t>02/21/2023</w:t>
            </w:r>
          </w:p>
        </w:tc>
        <w:tc>
          <w:tcPr>
            <w:tcW w:w="1000" w:type="dxa"/>
            <w:vAlign w:val="bottom"/>
            <w:tcBorders>
              <w:right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900" w:type="dxa"/>
            <w:vAlign w:val="bottom"/>
            <w:tcBorders>
              <w:left w:val="single" w:sz="8" w:color="auto"/>
              <w:right w:val="single" w:sz="8" w:color="auto"/>
            </w:tcBorders>
          </w:tcPr>
          <w:p>
            <w:pPr>
              <w:spacing w:after="0"/>
              <w:rPr>
                <w:sz w:val="24"/>
                <w:szCs w:val="24"/>
                <w:color w:val="auto"/>
              </w:rPr>
            </w:pP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3F3F3F"/>
                <w:w w:val="92"/>
              </w:rPr>
              <w:t>02/24/2014</w:t>
            </w:r>
          </w:p>
        </w:tc>
        <w:tc>
          <w:tcPr>
            <w:tcW w:w="1080" w:type="dxa"/>
            <w:vAlign w:val="bottom"/>
            <w:tcBorders>
              <w:right w:val="single" w:sz="8" w:color="auto"/>
            </w:tcBorders>
          </w:tcPr>
          <w:p>
            <w:pPr>
              <w:jc w:val="right"/>
              <w:ind w:right="262"/>
              <w:spacing w:after="0"/>
              <w:rPr>
                <w:sz w:val="20"/>
                <w:szCs w:val="20"/>
                <w:color w:val="auto"/>
              </w:rPr>
            </w:pPr>
            <w:r>
              <w:rPr>
                <w:rFonts w:ascii="Arial" w:cs="Arial" w:eastAsia="Arial" w:hAnsi="Arial"/>
                <w:sz w:val="16"/>
                <w:szCs w:val="16"/>
                <w:color w:val="3F3F3F"/>
              </w:rPr>
              <w:t>28,229</w:t>
            </w:r>
          </w:p>
        </w:tc>
        <w:tc>
          <w:tcPr>
            <w:tcW w:w="120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3F3F3F"/>
                <w:w w:val="89"/>
              </w:rPr>
              <w:t>56.44</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3F3F3F"/>
                <w:w w:val="92"/>
              </w:rPr>
              <w:t>02/24/2024</w:t>
            </w:r>
          </w:p>
        </w:tc>
        <w:tc>
          <w:tcPr>
            <w:tcW w:w="1000" w:type="dxa"/>
            <w:vAlign w:val="bottom"/>
            <w:tcBorders>
              <w:right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900" w:type="dxa"/>
            <w:vAlign w:val="bottom"/>
            <w:tcBorders>
              <w:left w:val="single" w:sz="8" w:color="auto"/>
              <w:right w:val="single" w:sz="8" w:color="auto"/>
            </w:tcBorders>
          </w:tcPr>
          <w:p>
            <w:pPr>
              <w:spacing w:after="0"/>
              <w:rPr>
                <w:sz w:val="24"/>
                <w:szCs w:val="24"/>
                <w:color w:val="auto"/>
              </w:rPr>
            </w:pP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3F3F3F"/>
                <w:w w:val="92"/>
              </w:rPr>
              <w:t>02/23/2015</w:t>
            </w:r>
          </w:p>
        </w:tc>
        <w:tc>
          <w:tcPr>
            <w:tcW w:w="1080" w:type="dxa"/>
            <w:vAlign w:val="bottom"/>
            <w:tcBorders>
              <w:right w:val="single" w:sz="8" w:color="auto"/>
            </w:tcBorders>
          </w:tcPr>
          <w:p>
            <w:pPr>
              <w:jc w:val="right"/>
              <w:ind w:right="262"/>
              <w:spacing w:after="0"/>
              <w:rPr>
                <w:sz w:val="20"/>
                <w:szCs w:val="20"/>
                <w:color w:val="auto"/>
              </w:rPr>
            </w:pPr>
            <w:r>
              <w:rPr>
                <w:rFonts w:ascii="Arial" w:cs="Arial" w:eastAsia="Arial" w:hAnsi="Arial"/>
                <w:sz w:val="16"/>
                <w:szCs w:val="16"/>
                <w:color w:val="3F3F3F"/>
              </w:rPr>
              <w:t>24,000</w:t>
            </w:r>
          </w:p>
        </w:tc>
        <w:tc>
          <w:tcPr>
            <w:tcW w:w="1200" w:type="dxa"/>
            <w:vAlign w:val="bottom"/>
            <w:tcBorders>
              <w:right w:val="single" w:sz="8" w:color="auto"/>
            </w:tcBorders>
          </w:tcPr>
          <w:p>
            <w:pPr>
              <w:jc w:val="right"/>
              <w:ind w:right="324"/>
              <w:spacing w:after="0"/>
              <w:rPr>
                <w:sz w:val="20"/>
                <w:szCs w:val="20"/>
                <w:color w:val="auto"/>
              </w:rPr>
            </w:pPr>
            <w:r>
              <w:rPr>
                <w:rFonts w:ascii="Arial" w:cs="Arial" w:eastAsia="Arial" w:hAnsi="Arial"/>
                <w:sz w:val="16"/>
                <w:szCs w:val="16"/>
                <w:color w:val="3F3F3F"/>
              </w:rPr>
              <w:t>6,000</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3F3F3F"/>
                <w:w w:val="89"/>
              </w:rPr>
              <w:t>63.15</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3F3F3F"/>
                <w:w w:val="92"/>
              </w:rPr>
              <w:t>02/23/2025</w:t>
            </w:r>
          </w:p>
        </w:tc>
        <w:tc>
          <w:tcPr>
            <w:tcW w:w="1000" w:type="dxa"/>
            <w:vAlign w:val="bottom"/>
            <w:tcBorders>
              <w:right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900" w:type="dxa"/>
            <w:vAlign w:val="bottom"/>
            <w:tcBorders>
              <w:left w:val="single" w:sz="8" w:color="auto"/>
              <w:right w:val="single" w:sz="8" w:color="auto"/>
            </w:tcBorders>
          </w:tcPr>
          <w:p>
            <w:pPr>
              <w:spacing w:after="0"/>
              <w:rPr>
                <w:sz w:val="24"/>
                <w:szCs w:val="24"/>
                <w:color w:val="auto"/>
              </w:rPr>
            </w:pP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3F3F3F"/>
                <w:w w:val="92"/>
              </w:rPr>
              <w:t>02/23/2016</w:t>
            </w:r>
          </w:p>
        </w:tc>
        <w:tc>
          <w:tcPr>
            <w:tcW w:w="10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1000" w:type="dxa"/>
            <w:vAlign w:val="bottom"/>
            <w:tcBorders>
              <w:right w:val="single" w:sz="8" w:color="auto"/>
            </w:tcBorders>
          </w:tcPr>
          <w:p>
            <w:pPr>
              <w:jc w:val="right"/>
              <w:ind w:right="202"/>
              <w:spacing w:after="0"/>
              <w:rPr>
                <w:sz w:val="20"/>
                <w:szCs w:val="20"/>
                <w:color w:val="auto"/>
              </w:rPr>
            </w:pPr>
            <w:r>
              <w:rPr>
                <w:rFonts w:ascii="Arial" w:cs="Arial" w:eastAsia="Arial" w:hAnsi="Arial"/>
                <w:sz w:val="16"/>
                <w:szCs w:val="16"/>
                <w:color w:val="3F3F3F"/>
              </w:rPr>
              <w:t>13,440</w:t>
            </w:r>
          </w:p>
        </w:tc>
        <w:tc>
          <w:tcPr>
            <w:tcW w:w="860" w:type="dxa"/>
            <w:vAlign w:val="bottom"/>
          </w:tcPr>
          <w:p>
            <w:pPr>
              <w:jc w:val="right"/>
              <w:spacing w:after="0"/>
              <w:rPr>
                <w:sz w:val="20"/>
                <w:szCs w:val="20"/>
                <w:color w:val="auto"/>
              </w:rPr>
            </w:pPr>
            <w:r>
              <w:rPr>
                <w:rFonts w:ascii="Arial" w:cs="Arial" w:eastAsia="Arial" w:hAnsi="Arial"/>
                <w:sz w:val="16"/>
                <w:szCs w:val="16"/>
                <w:color w:val="3F3F3F"/>
              </w:rPr>
              <w:t>1,473,696</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900" w:type="dxa"/>
            <w:vAlign w:val="bottom"/>
            <w:tcBorders>
              <w:left w:val="single" w:sz="8" w:color="auto"/>
              <w:right w:val="single" w:sz="8" w:color="auto"/>
            </w:tcBorders>
          </w:tcPr>
          <w:p>
            <w:pPr>
              <w:spacing w:after="0"/>
              <w:rPr>
                <w:sz w:val="24"/>
                <w:szCs w:val="24"/>
                <w:color w:val="auto"/>
              </w:rPr>
            </w:pP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3F3F3F"/>
                <w:w w:val="92"/>
              </w:rPr>
              <w:t>02/22/2017</w:t>
            </w:r>
          </w:p>
        </w:tc>
        <w:tc>
          <w:tcPr>
            <w:tcW w:w="10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1000" w:type="dxa"/>
            <w:vAlign w:val="bottom"/>
            <w:tcBorders>
              <w:right w:val="single" w:sz="8" w:color="auto"/>
            </w:tcBorders>
          </w:tcPr>
          <w:p>
            <w:pPr>
              <w:jc w:val="right"/>
              <w:ind w:right="202"/>
              <w:spacing w:after="0"/>
              <w:rPr>
                <w:sz w:val="20"/>
                <w:szCs w:val="20"/>
                <w:color w:val="auto"/>
              </w:rPr>
            </w:pPr>
            <w:r>
              <w:rPr>
                <w:rFonts w:ascii="Arial" w:cs="Arial" w:eastAsia="Arial" w:hAnsi="Arial"/>
                <w:sz w:val="16"/>
                <w:szCs w:val="16"/>
                <w:color w:val="3F3F3F"/>
              </w:rPr>
              <w:t>9,530</w:t>
            </w:r>
          </w:p>
        </w:tc>
        <w:tc>
          <w:tcPr>
            <w:tcW w:w="860" w:type="dxa"/>
            <w:vAlign w:val="bottom"/>
          </w:tcPr>
          <w:p>
            <w:pPr>
              <w:jc w:val="right"/>
              <w:spacing w:after="0"/>
              <w:rPr>
                <w:sz w:val="20"/>
                <w:szCs w:val="20"/>
                <w:color w:val="auto"/>
              </w:rPr>
            </w:pPr>
            <w:r>
              <w:rPr>
                <w:rFonts w:ascii="Arial" w:cs="Arial" w:eastAsia="Arial" w:hAnsi="Arial"/>
                <w:sz w:val="16"/>
                <w:szCs w:val="16"/>
                <w:color w:val="3F3F3F"/>
              </w:rPr>
              <w:t>1,044,965</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900" w:type="dxa"/>
            <w:vAlign w:val="bottom"/>
            <w:tcBorders>
              <w:left w:val="single" w:sz="8" w:color="auto"/>
              <w:right w:val="single" w:sz="8" w:color="auto"/>
            </w:tcBorders>
          </w:tcPr>
          <w:p>
            <w:pPr>
              <w:spacing w:after="0"/>
              <w:rPr>
                <w:sz w:val="24"/>
                <w:szCs w:val="24"/>
                <w:color w:val="auto"/>
              </w:rPr>
            </w:pP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3F3F3F"/>
                <w:w w:val="92"/>
              </w:rPr>
              <w:t>02/21/2018</w:t>
            </w:r>
          </w:p>
        </w:tc>
        <w:tc>
          <w:tcPr>
            <w:tcW w:w="10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1000" w:type="dxa"/>
            <w:vAlign w:val="bottom"/>
            <w:tcBorders>
              <w:right w:val="single" w:sz="8" w:color="auto"/>
            </w:tcBorders>
          </w:tcPr>
          <w:p>
            <w:pPr>
              <w:jc w:val="right"/>
              <w:ind w:right="202"/>
              <w:spacing w:after="0"/>
              <w:rPr>
                <w:sz w:val="20"/>
                <w:szCs w:val="20"/>
                <w:color w:val="auto"/>
              </w:rPr>
            </w:pPr>
            <w:r>
              <w:rPr>
                <w:rFonts w:ascii="Arial" w:cs="Arial" w:eastAsia="Arial" w:hAnsi="Arial"/>
                <w:sz w:val="16"/>
                <w:szCs w:val="16"/>
                <w:color w:val="3F3F3F"/>
              </w:rPr>
              <w:t>8,420</w:t>
            </w:r>
          </w:p>
        </w:tc>
        <w:tc>
          <w:tcPr>
            <w:tcW w:w="860" w:type="dxa"/>
            <w:vAlign w:val="bottom"/>
          </w:tcPr>
          <w:p>
            <w:pPr>
              <w:jc w:val="right"/>
              <w:spacing w:after="0"/>
              <w:rPr>
                <w:sz w:val="20"/>
                <w:szCs w:val="20"/>
                <w:color w:val="auto"/>
              </w:rPr>
            </w:pPr>
            <w:r>
              <w:rPr>
                <w:rFonts w:ascii="Arial" w:cs="Arial" w:eastAsia="Arial" w:hAnsi="Arial"/>
                <w:sz w:val="16"/>
                <w:szCs w:val="16"/>
                <w:color w:val="3F3F3F"/>
              </w:rPr>
              <w:t>923,253</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900" w:type="dxa"/>
            <w:vAlign w:val="bottom"/>
            <w:tcBorders>
              <w:left w:val="single" w:sz="8" w:color="auto"/>
              <w:right w:val="single" w:sz="8" w:color="auto"/>
            </w:tcBorders>
          </w:tcPr>
          <w:p>
            <w:pPr>
              <w:spacing w:after="0"/>
              <w:rPr>
                <w:sz w:val="24"/>
                <w:szCs w:val="24"/>
                <w:color w:val="auto"/>
              </w:rPr>
            </w:pP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3F3F3F"/>
                <w:w w:val="92"/>
              </w:rPr>
              <w:t>02/26/2019</w:t>
            </w:r>
          </w:p>
        </w:tc>
        <w:tc>
          <w:tcPr>
            <w:tcW w:w="10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1000" w:type="dxa"/>
            <w:vAlign w:val="bottom"/>
            <w:tcBorders>
              <w:right w:val="single" w:sz="8" w:color="auto"/>
            </w:tcBorders>
          </w:tcPr>
          <w:p>
            <w:pPr>
              <w:jc w:val="right"/>
              <w:ind w:right="202"/>
              <w:spacing w:after="0"/>
              <w:rPr>
                <w:sz w:val="20"/>
                <w:szCs w:val="20"/>
                <w:color w:val="auto"/>
              </w:rPr>
            </w:pPr>
            <w:r>
              <w:rPr>
                <w:rFonts w:ascii="Arial" w:cs="Arial" w:eastAsia="Arial" w:hAnsi="Arial"/>
                <w:sz w:val="16"/>
                <w:szCs w:val="16"/>
                <w:color w:val="3F3F3F"/>
              </w:rPr>
              <w:t>9,570</w:t>
            </w:r>
          </w:p>
        </w:tc>
        <w:tc>
          <w:tcPr>
            <w:tcW w:w="860" w:type="dxa"/>
            <w:vAlign w:val="bottom"/>
          </w:tcPr>
          <w:p>
            <w:pPr>
              <w:jc w:val="right"/>
              <w:spacing w:after="0"/>
              <w:rPr>
                <w:sz w:val="20"/>
                <w:szCs w:val="20"/>
                <w:color w:val="auto"/>
              </w:rPr>
            </w:pPr>
            <w:r>
              <w:rPr>
                <w:rFonts w:ascii="Arial" w:cs="Arial" w:eastAsia="Arial" w:hAnsi="Arial"/>
                <w:sz w:val="16"/>
                <w:szCs w:val="16"/>
                <w:color w:val="3F3F3F"/>
              </w:rPr>
              <w:t>1,049,351</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47"/>
        </w:trPr>
        <w:tc>
          <w:tcPr>
            <w:tcW w:w="1900" w:type="dxa"/>
            <w:vAlign w:val="bottom"/>
            <w:tcBorders>
              <w:left w:val="single" w:sz="8" w:color="auto"/>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08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840" w:type="dxa"/>
            <w:vAlign w:val="bottom"/>
            <w:tcBorders>
              <w:bottom w:val="single" w:sz="8" w:color="auto"/>
              <w:right w:val="single" w:sz="8" w:color="auto"/>
            </w:tcBorders>
          </w:tcPr>
          <w:p>
            <w:pPr>
              <w:spacing w:after="0"/>
              <w:rPr>
                <w:sz w:val="4"/>
                <w:szCs w:val="4"/>
                <w:color w:val="auto"/>
              </w:rPr>
            </w:pPr>
          </w:p>
        </w:tc>
        <w:tc>
          <w:tcPr>
            <w:tcW w:w="1060" w:type="dxa"/>
            <w:vAlign w:val="bottom"/>
            <w:tcBorders>
              <w:bottom w:val="single" w:sz="8" w:color="auto"/>
              <w:right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shd w:val="clear" w:color="auto" w:fill="000000"/>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9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6"/>
                <w:szCs w:val="16"/>
                <w:color w:val="3F3F3F"/>
              </w:rPr>
              <w:t>Michelle A. Gillis</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3F3F3F"/>
                <w:w w:val="89"/>
              </w:rPr>
              <w:t>02/16/2011</w:t>
            </w:r>
          </w:p>
        </w:tc>
        <w:tc>
          <w:tcPr>
            <w:tcW w:w="1080" w:type="dxa"/>
            <w:vAlign w:val="bottom"/>
            <w:tcBorders>
              <w:right w:val="single" w:sz="8" w:color="auto"/>
            </w:tcBorders>
          </w:tcPr>
          <w:p>
            <w:pPr>
              <w:jc w:val="right"/>
              <w:ind w:right="262"/>
              <w:spacing w:after="0"/>
              <w:rPr>
                <w:sz w:val="20"/>
                <w:szCs w:val="20"/>
                <w:color w:val="auto"/>
              </w:rPr>
            </w:pPr>
            <w:r>
              <w:rPr>
                <w:rFonts w:ascii="Arial" w:cs="Arial" w:eastAsia="Arial" w:hAnsi="Arial"/>
                <w:sz w:val="16"/>
                <w:szCs w:val="16"/>
                <w:color w:val="3F3F3F"/>
              </w:rPr>
              <w:t>5,240</w:t>
            </w:r>
          </w:p>
        </w:tc>
        <w:tc>
          <w:tcPr>
            <w:tcW w:w="1200" w:type="dxa"/>
            <w:vAlign w:val="bottom"/>
            <w:tcBorders>
              <w:right w:val="single" w:sz="8" w:color="auto"/>
            </w:tcBorders>
          </w:tcPr>
          <w:p>
            <w:pPr>
              <w:spacing w:after="0"/>
              <w:rPr>
                <w:sz w:val="20"/>
                <w:szCs w:val="20"/>
                <w:color w:val="auto"/>
              </w:rPr>
            </w:pP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3F3F3F"/>
                <w:w w:val="89"/>
              </w:rPr>
              <w:t>34.34</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3F3F3F"/>
                <w:w w:val="92"/>
              </w:rPr>
              <w:t>02/16/2021</w:t>
            </w:r>
          </w:p>
        </w:tc>
        <w:tc>
          <w:tcPr>
            <w:tcW w:w="1000" w:type="dxa"/>
            <w:vAlign w:val="bottom"/>
            <w:tcBorders>
              <w:right w:val="single" w:sz="8" w:color="auto"/>
            </w:tcBorders>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1900" w:type="dxa"/>
            <w:vAlign w:val="bottom"/>
            <w:tcBorders>
              <w:left w:val="single" w:sz="8" w:color="auto"/>
              <w:right w:val="single" w:sz="8" w:color="auto"/>
            </w:tcBorders>
          </w:tcPr>
          <w:p>
            <w:pPr>
              <w:spacing w:after="0"/>
              <w:rPr>
                <w:sz w:val="24"/>
                <w:szCs w:val="24"/>
                <w:color w:val="auto"/>
              </w:rPr>
            </w:pP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3F3F3F"/>
                <w:w w:val="92"/>
              </w:rPr>
              <w:t>02/23/2012</w:t>
            </w:r>
          </w:p>
        </w:tc>
        <w:tc>
          <w:tcPr>
            <w:tcW w:w="1080" w:type="dxa"/>
            <w:vAlign w:val="bottom"/>
            <w:tcBorders>
              <w:right w:val="single" w:sz="8" w:color="auto"/>
            </w:tcBorders>
          </w:tcPr>
          <w:p>
            <w:pPr>
              <w:jc w:val="right"/>
              <w:ind w:right="262"/>
              <w:spacing w:after="0"/>
              <w:rPr>
                <w:sz w:val="20"/>
                <w:szCs w:val="20"/>
                <w:color w:val="auto"/>
              </w:rPr>
            </w:pPr>
            <w:r>
              <w:rPr>
                <w:rFonts w:ascii="Arial" w:cs="Arial" w:eastAsia="Arial" w:hAnsi="Arial"/>
                <w:sz w:val="16"/>
                <w:szCs w:val="16"/>
                <w:color w:val="3F3F3F"/>
              </w:rPr>
              <w:t>3,861</w:t>
            </w:r>
          </w:p>
        </w:tc>
        <w:tc>
          <w:tcPr>
            <w:tcW w:w="120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3F3F3F"/>
                <w:w w:val="84"/>
              </w:rPr>
              <w:t>38.11</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3F3F3F"/>
                <w:w w:val="92"/>
              </w:rPr>
              <w:t>02/23/2022</w:t>
            </w:r>
          </w:p>
        </w:tc>
        <w:tc>
          <w:tcPr>
            <w:tcW w:w="1000" w:type="dxa"/>
            <w:vAlign w:val="bottom"/>
            <w:tcBorders>
              <w:right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900" w:type="dxa"/>
            <w:vAlign w:val="bottom"/>
            <w:tcBorders>
              <w:left w:val="single" w:sz="8" w:color="auto"/>
              <w:right w:val="single" w:sz="8" w:color="auto"/>
            </w:tcBorders>
          </w:tcPr>
          <w:p>
            <w:pPr>
              <w:spacing w:after="0"/>
              <w:rPr>
                <w:sz w:val="24"/>
                <w:szCs w:val="24"/>
                <w:color w:val="auto"/>
              </w:rPr>
            </w:pP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3F3F3F"/>
                <w:w w:val="92"/>
              </w:rPr>
              <w:t>03/12/2012</w:t>
            </w:r>
          </w:p>
        </w:tc>
        <w:tc>
          <w:tcPr>
            <w:tcW w:w="1080" w:type="dxa"/>
            <w:vAlign w:val="bottom"/>
            <w:tcBorders>
              <w:right w:val="single" w:sz="8" w:color="auto"/>
            </w:tcBorders>
          </w:tcPr>
          <w:p>
            <w:pPr>
              <w:jc w:val="right"/>
              <w:ind w:right="262"/>
              <w:spacing w:after="0"/>
              <w:rPr>
                <w:sz w:val="20"/>
                <w:szCs w:val="20"/>
                <w:color w:val="auto"/>
              </w:rPr>
            </w:pPr>
            <w:r>
              <w:rPr>
                <w:rFonts w:ascii="Arial" w:cs="Arial" w:eastAsia="Arial" w:hAnsi="Arial"/>
                <w:sz w:val="16"/>
                <w:szCs w:val="16"/>
                <w:color w:val="3F3F3F"/>
              </w:rPr>
              <w:t>947</w:t>
            </w:r>
          </w:p>
        </w:tc>
        <w:tc>
          <w:tcPr>
            <w:tcW w:w="120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3F3F3F"/>
                <w:w w:val="89"/>
              </w:rPr>
              <w:t>37.60</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3F3F3F"/>
                <w:w w:val="92"/>
              </w:rPr>
              <w:t>03/12/2022</w:t>
            </w:r>
          </w:p>
        </w:tc>
        <w:tc>
          <w:tcPr>
            <w:tcW w:w="1000" w:type="dxa"/>
            <w:vAlign w:val="bottom"/>
            <w:tcBorders>
              <w:right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900" w:type="dxa"/>
            <w:vAlign w:val="bottom"/>
            <w:tcBorders>
              <w:left w:val="single" w:sz="8" w:color="auto"/>
              <w:right w:val="single" w:sz="8" w:color="auto"/>
            </w:tcBorders>
          </w:tcPr>
          <w:p>
            <w:pPr>
              <w:spacing w:after="0"/>
              <w:rPr>
                <w:sz w:val="24"/>
                <w:szCs w:val="24"/>
                <w:color w:val="auto"/>
              </w:rPr>
            </w:pP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3F3F3F"/>
                <w:w w:val="92"/>
              </w:rPr>
              <w:t>02/21/2013</w:t>
            </w:r>
          </w:p>
        </w:tc>
        <w:tc>
          <w:tcPr>
            <w:tcW w:w="1080" w:type="dxa"/>
            <w:vAlign w:val="bottom"/>
            <w:tcBorders>
              <w:right w:val="single" w:sz="8" w:color="auto"/>
            </w:tcBorders>
          </w:tcPr>
          <w:p>
            <w:pPr>
              <w:jc w:val="right"/>
              <w:ind w:right="262"/>
              <w:spacing w:after="0"/>
              <w:rPr>
                <w:sz w:val="20"/>
                <w:szCs w:val="20"/>
                <w:color w:val="auto"/>
              </w:rPr>
            </w:pPr>
            <w:r>
              <w:rPr>
                <w:rFonts w:ascii="Arial" w:cs="Arial" w:eastAsia="Arial" w:hAnsi="Arial"/>
                <w:sz w:val="16"/>
                <w:szCs w:val="16"/>
                <w:color w:val="3F3F3F"/>
              </w:rPr>
              <w:t>9,000</w:t>
            </w:r>
          </w:p>
        </w:tc>
        <w:tc>
          <w:tcPr>
            <w:tcW w:w="120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3F3F3F"/>
                <w:w w:val="89"/>
              </w:rPr>
              <w:t>44.01</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3F3F3F"/>
                <w:w w:val="92"/>
              </w:rPr>
              <w:t>02/21/2023</w:t>
            </w:r>
          </w:p>
        </w:tc>
        <w:tc>
          <w:tcPr>
            <w:tcW w:w="1000" w:type="dxa"/>
            <w:vAlign w:val="bottom"/>
            <w:tcBorders>
              <w:right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900" w:type="dxa"/>
            <w:vAlign w:val="bottom"/>
            <w:tcBorders>
              <w:left w:val="single" w:sz="8" w:color="auto"/>
              <w:right w:val="single" w:sz="8" w:color="auto"/>
            </w:tcBorders>
          </w:tcPr>
          <w:p>
            <w:pPr>
              <w:spacing w:after="0"/>
              <w:rPr>
                <w:sz w:val="24"/>
                <w:szCs w:val="24"/>
                <w:color w:val="auto"/>
              </w:rPr>
            </w:pP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3F3F3F"/>
                <w:w w:val="92"/>
              </w:rPr>
              <w:t>02/24/2014</w:t>
            </w:r>
          </w:p>
        </w:tc>
        <w:tc>
          <w:tcPr>
            <w:tcW w:w="1080" w:type="dxa"/>
            <w:vAlign w:val="bottom"/>
            <w:tcBorders>
              <w:right w:val="single" w:sz="8" w:color="auto"/>
            </w:tcBorders>
          </w:tcPr>
          <w:p>
            <w:pPr>
              <w:jc w:val="right"/>
              <w:ind w:right="262"/>
              <w:spacing w:after="0"/>
              <w:rPr>
                <w:sz w:val="20"/>
                <w:szCs w:val="20"/>
                <w:color w:val="auto"/>
              </w:rPr>
            </w:pPr>
            <w:r>
              <w:rPr>
                <w:rFonts w:ascii="Arial" w:cs="Arial" w:eastAsia="Arial" w:hAnsi="Arial"/>
                <w:sz w:val="16"/>
                <w:szCs w:val="16"/>
                <w:color w:val="3F3F3F"/>
              </w:rPr>
              <w:t>10,000</w:t>
            </w:r>
          </w:p>
        </w:tc>
        <w:tc>
          <w:tcPr>
            <w:tcW w:w="120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3F3F3F"/>
                <w:w w:val="89"/>
              </w:rPr>
              <w:t>56.44</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3F3F3F"/>
                <w:w w:val="92"/>
              </w:rPr>
              <w:t>02/24/2024</w:t>
            </w:r>
          </w:p>
        </w:tc>
        <w:tc>
          <w:tcPr>
            <w:tcW w:w="1000" w:type="dxa"/>
            <w:vAlign w:val="bottom"/>
            <w:tcBorders>
              <w:right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900" w:type="dxa"/>
            <w:vAlign w:val="bottom"/>
            <w:tcBorders>
              <w:left w:val="single" w:sz="8" w:color="auto"/>
              <w:right w:val="single" w:sz="8" w:color="auto"/>
            </w:tcBorders>
          </w:tcPr>
          <w:p>
            <w:pPr>
              <w:spacing w:after="0"/>
              <w:rPr>
                <w:sz w:val="24"/>
                <w:szCs w:val="24"/>
                <w:color w:val="auto"/>
              </w:rPr>
            </w:pP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3F3F3F"/>
                <w:w w:val="92"/>
              </w:rPr>
              <w:t>02/23/2015</w:t>
            </w:r>
          </w:p>
        </w:tc>
        <w:tc>
          <w:tcPr>
            <w:tcW w:w="1080" w:type="dxa"/>
            <w:vAlign w:val="bottom"/>
            <w:tcBorders>
              <w:right w:val="single" w:sz="8" w:color="auto"/>
            </w:tcBorders>
          </w:tcPr>
          <w:p>
            <w:pPr>
              <w:jc w:val="right"/>
              <w:ind w:right="262"/>
              <w:spacing w:after="0"/>
              <w:rPr>
                <w:sz w:val="20"/>
                <w:szCs w:val="20"/>
                <w:color w:val="auto"/>
              </w:rPr>
            </w:pPr>
            <w:r>
              <w:rPr>
                <w:rFonts w:ascii="Arial" w:cs="Arial" w:eastAsia="Arial" w:hAnsi="Arial"/>
                <w:sz w:val="16"/>
                <w:szCs w:val="16"/>
                <w:color w:val="3F3F3F"/>
              </w:rPr>
              <w:t>8,000</w:t>
            </w:r>
          </w:p>
        </w:tc>
        <w:tc>
          <w:tcPr>
            <w:tcW w:w="1200" w:type="dxa"/>
            <w:vAlign w:val="bottom"/>
            <w:tcBorders>
              <w:right w:val="single" w:sz="8" w:color="auto"/>
            </w:tcBorders>
          </w:tcPr>
          <w:p>
            <w:pPr>
              <w:jc w:val="right"/>
              <w:ind w:right="324"/>
              <w:spacing w:after="0"/>
              <w:rPr>
                <w:sz w:val="20"/>
                <w:szCs w:val="20"/>
                <w:color w:val="auto"/>
              </w:rPr>
            </w:pPr>
            <w:r>
              <w:rPr>
                <w:rFonts w:ascii="Arial" w:cs="Arial" w:eastAsia="Arial" w:hAnsi="Arial"/>
                <w:sz w:val="16"/>
                <w:szCs w:val="16"/>
                <w:color w:val="3F3F3F"/>
              </w:rPr>
              <w:t>2,000</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3F3F3F"/>
                <w:w w:val="89"/>
              </w:rPr>
              <w:t>63.15</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3F3F3F"/>
                <w:w w:val="92"/>
              </w:rPr>
              <w:t>02/23/2025</w:t>
            </w:r>
          </w:p>
        </w:tc>
        <w:tc>
          <w:tcPr>
            <w:tcW w:w="1000" w:type="dxa"/>
            <w:vAlign w:val="bottom"/>
            <w:tcBorders>
              <w:right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900" w:type="dxa"/>
            <w:vAlign w:val="bottom"/>
            <w:tcBorders>
              <w:left w:val="single" w:sz="8" w:color="auto"/>
              <w:right w:val="single" w:sz="8" w:color="auto"/>
            </w:tcBorders>
          </w:tcPr>
          <w:p>
            <w:pPr>
              <w:spacing w:after="0"/>
              <w:rPr>
                <w:sz w:val="24"/>
                <w:szCs w:val="24"/>
                <w:color w:val="auto"/>
              </w:rPr>
            </w:pP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3F3F3F"/>
                <w:w w:val="92"/>
              </w:rPr>
              <w:t>02/23/2016</w:t>
            </w:r>
          </w:p>
        </w:tc>
        <w:tc>
          <w:tcPr>
            <w:tcW w:w="10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1000" w:type="dxa"/>
            <w:vAlign w:val="bottom"/>
            <w:tcBorders>
              <w:right w:val="single" w:sz="8" w:color="auto"/>
            </w:tcBorders>
          </w:tcPr>
          <w:p>
            <w:pPr>
              <w:jc w:val="right"/>
              <w:ind w:right="202"/>
              <w:spacing w:after="0"/>
              <w:rPr>
                <w:sz w:val="20"/>
                <w:szCs w:val="20"/>
                <w:color w:val="auto"/>
              </w:rPr>
            </w:pPr>
            <w:r>
              <w:rPr>
                <w:rFonts w:ascii="Arial" w:cs="Arial" w:eastAsia="Arial" w:hAnsi="Arial"/>
                <w:sz w:val="16"/>
                <w:szCs w:val="16"/>
                <w:color w:val="3F3F3F"/>
              </w:rPr>
              <w:t>4,480</w:t>
            </w:r>
          </w:p>
        </w:tc>
        <w:tc>
          <w:tcPr>
            <w:tcW w:w="860" w:type="dxa"/>
            <w:vAlign w:val="bottom"/>
          </w:tcPr>
          <w:p>
            <w:pPr>
              <w:jc w:val="right"/>
              <w:spacing w:after="0"/>
              <w:rPr>
                <w:sz w:val="20"/>
                <w:szCs w:val="20"/>
                <w:color w:val="auto"/>
              </w:rPr>
            </w:pPr>
            <w:r>
              <w:rPr>
                <w:rFonts w:ascii="Arial" w:cs="Arial" w:eastAsia="Arial" w:hAnsi="Arial"/>
                <w:sz w:val="16"/>
                <w:szCs w:val="16"/>
                <w:color w:val="3F3F3F"/>
              </w:rPr>
              <w:t>491,232</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900" w:type="dxa"/>
            <w:vAlign w:val="bottom"/>
            <w:tcBorders>
              <w:left w:val="single" w:sz="8" w:color="auto"/>
              <w:right w:val="single" w:sz="8" w:color="auto"/>
            </w:tcBorders>
          </w:tcPr>
          <w:p>
            <w:pPr>
              <w:spacing w:after="0"/>
              <w:rPr>
                <w:sz w:val="24"/>
                <w:szCs w:val="24"/>
                <w:color w:val="auto"/>
              </w:rPr>
            </w:pP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3F3F3F"/>
                <w:w w:val="92"/>
              </w:rPr>
              <w:t>02/22/2017</w:t>
            </w:r>
          </w:p>
        </w:tc>
        <w:tc>
          <w:tcPr>
            <w:tcW w:w="10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1000" w:type="dxa"/>
            <w:vAlign w:val="bottom"/>
            <w:tcBorders>
              <w:right w:val="single" w:sz="8" w:color="auto"/>
            </w:tcBorders>
          </w:tcPr>
          <w:p>
            <w:pPr>
              <w:jc w:val="right"/>
              <w:ind w:right="202"/>
              <w:spacing w:after="0"/>
              <w:rPr>
                <w:sz w:val="20"/>
                <w:szCs w:val="20"/>
                <w:color w:val="auto"/>
              </w:rPr>
            </w:pPr>
            <w:r>
              <w:rPr>
                <w:rFonts w:ascii="Arial" w:cs="Arial" w:eastAsia="Arial" w:hAnsi="Arial"/>
                <w:sz w:val="16"/>
                <w:szCs w:val="16"/>
                <w:color w:val="3F3F3F"/>
              </w:rPr>
              <w:t>3,180</w:t>
            </w:r>
          </w:p>
        </w:tc>
        <w:tc>
          <w:tcPr>
            <w:tcW w:w="860" w:type="dxa"/>
            <w:vAlign w:val="bottom"/>
          </w:tcPr>
          <w:p>
            <w:pPr>
              <w:jc w:val="right"/>
              <w:spacing w:after="0"/>
              <w:rPr>
                <w:sz w:val="20"/>
                <w:szCs w:val="20"/>
                <w:color w:val="auto"/>
              </w:rPr>
            </w:pPr>
            <w:r>
              <w:rPr>
                <w:rFonts w:ascii="Arial" w:cs="Arial" w:eastAsia="Arial" w:hAnsi="Arial"/>
                <w:sz w:val="16"/>
                <w:szCs w:val="16"/>
                <w:color w:val="3F3F3F"/>
              </w:rPr>
              <w:t>348,687</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900" w:type="dxa"/>
            <w:vAlign w:val="bottom"/>
            <w:tcBorders>
              <w:left w:val="single" w:sz="8" w:color="auto"/>
              <w:right w:val="single" w:sz="8" w:color="auto"/>
            </w:tcBorders>
          </w:tcPr>
          <w:p>
            <w:pPr>
              <w:spacing w:after="0"/>
              <w:rPr>
                <w:sz w:val="24"/>
                <w:szCs w:val="24"/>
                <w:color w:val="auto"/>
              </w:rPr>
            </w:pP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3F3F3F"/>
                <w:w w:val="92"/>
              </w:rPr>
              <w:t>02/21/2018</w:t>
            </w:r>
          </w:p>
        </w:tc>
        <w:tc>
          <w:tcPr>
            <w:tcW w:w="10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1000" w:type="dxa"/>
            <w:vAlign w:val="bottom"/>
            <w:tcBorders>
              <w:right w:val="single" w:sz="8" w:color="auto"/>
            </w:tcBorders>
          </w:tcPr>
          <w:p>
            <w:pPr>
              <w:jc w:val="right"/>
              <w:ind w:right="202"/>
              <w:spacing w:after="0"/>
              <w:rPr>
                <w:sz w:val="20"/>
                <w:szCs w:val="20"/>
                <w:color w:val="auto"/>
              </w:rPr>
            </w:pPr>
            <w:r>
              <w:rPr>
                <w:rFonts w:ascii="Arial" w:cs="Arial" w:eastAsia="Arial" w:hAnsi="Arial"/>
                <w:sz w:val="16"/>
                <w:szCs w:val="16"/>
                <w:color w:val="3F3F3F"/>
              </w:rPr>
              <w:t>2,840</w:t>
            </w:r>
          </w:p>
        </w:tc>
        <w:tc>
          <w:tcPr>
            <w:tcW w:w="860" w:type="dxa"/>
            <w:vAlign w:val="bottom"/>
          </w:tcPr>
          <w:p>
            <w:pPr>
              <w:jc w:val="right"/>
              <w:spacing w:after="0"/>
              <w:rPr>
                <w:sz w:val="20"/>
                <w:szCs w:val="20"/>
                <w:color w:val="auto"/>
              </w:rPr>
            </w:pPr>
            <w:r>
              <w:rPr>
                <w:rFonts w:ascii="Arial" w:cs="Arial" w:eastAsia="Arial" w:hAnsi="Arial"/>
                <w:sz w:val="16"/>
                <w:szCs w:val="16"/>
                <w:color w:val="3F3F3F"/>
              </w:rPr>
              <w:t>311,406</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900" w:type="dxa"/>
            <w:vAlign w:val="bottom"/>
            <w:tcBorders>
              <w:left w:val="single" w:sz="8" w:color="auto"/>
              <w:right w:val="single" w:sz="8" w:color="auto"/>
            </w:tcBorders>
          </w:tcPr>
          <w:p>
            <w:pPr>
              <w:spacing w:after="0"/>
              <w:rPr>
                <w:sz w:val="24"/>
                <w:szCs w:val="24"/>
                <w:color w:val="auto"/>
              </w:rPr>
            </w:pP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3F3F3F"/>
                <w:w w:val="92"/>
              </w:rPr>
              <w:t>02/26/2019</w:t>
            </w:r>
          </w:p>
        </w:tc>
        <w:tc>
          <w:tcPr>
            <w:tcW w:w="10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1000" w:type="dxa"/>
            <w:vAlign w:val="bottom"/>
            <w:tcBorders>
              <w:right w:val="single" w:sz="8" w:color="auto"/>
            </w:tcBorders>
          </w:tcPr>
          <w:p>
            <w:pPr>
              <w:jc w:val="right"/>
              <w:ind w:right="202"/>
              <w:spacing w:after="0"/>
              <w:rPr>
                <w:sz w:val="20"/>
                <w:szCs w:val="20"/>
                <w:color w:val="auto"/>
              </w:rPr>
            </w:pPr>
            <w:r>
              <w:rPr>
                <w:rFonts w:ascii="Arial" w:cs="Arial" w:eastAsia="Arial" w:hAnsi="Arial"/>
                <w:sz w:val="16"/>
                <w:szCs w:val="16"/>
                <w:color w:val="3F3F3F"/>
              </w:rPr>
              <w:t>3,225</w:t>
            </w:r>
          </w:p>
        </w:tc>
        <w:tc>
          <w:tcPr>
            <w:tcW w:w="860" w:type="dxa"/>
            <w:vAlign w:val="bottom"/>
          </w:tcPr>
          <w:p>
            <w:pPr>
              <w:jc w:val="right"/>
              <w:spacing w:after="0"/>
              <w:rPr>
                <w:sz w:val="20"/>
                <w:szCs w:val="20"/>
                <w:color w:val="auto"/>
              </w:rPr>
            </w:pPr>
            <w:r>
              <w:rPr>
                <w:rFonts w:ascii="Arial" w:cs="Arial" w:eastAsia="Arial" w:hAnsi="Arial"/>
                <w:sz w:val="16"/>
                <w:szCs w:val="16"/>
                <w:color w:val="3F3F3F"/>
              </w:rPr>
              <w:t>353,621</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1900" w:type="dxa"/>
            <w:vAlign w:val="bottom"/>
            <w:tcBorders>
              <w:left w:val="single" w:sz="8" w:color="auto"/>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08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840" w:type="dxa"/>
            <w:vAlign w:val="bottom"/>
            <w:tcBorders>
              <w:bottom w:val="single" w:sz="8" w:color="auto"/>
              <w:right w:val="single" w:sz="8" w:color="auto"/>
            </w:tcBorders>
          </w:tcPr>
          <w:p>
            <w:pPr>
              <w:spacing w:after="0"/>
              <w:rPr>
                <w:sz w:val="4"/>
                <w:szCs w:val="4"/>
                <w:color w:val="auto"/>
              </w:rPr>
            </w:pPr>
          </w:p>
        </w:tc>
        <w:tc>
          <w:tcPr>
            <w:tcW w:w="1060" w:type="dxa"/>
            <w:vAlign w:val="bottom"/>
            <w:tcBorders>
              <w:bottom w:val="single" w:sz="8" w:color="auto"/>
              <w:right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shd w:val="clear" w:color="auto" w:fill="000000"/>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19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6"/>
                <w:szCs w:val="16"/>
                <w:color w:val="3F3F3F"/>
              </w:rPr>
              <w:t>Vito C. Peraino</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3F3F3F"/>
                <w:w w:val="92"/>
              </w:rPr>
              <w:t>02/23/2015</w:t>
            </w:r>
          </w:p>
        </w:tc>
        <w:tc>
          <w:tcPr>
            <w:tcW w:w="1080" w:type="dxa"/>
            <w:vAlign w:val="bottom"/>
            <w:tcBorders>
              <w:right w:val="single" w:sz="8" w:color="auto"/>
            </w:tcBorders>
          </w:tcPr>
          <w:p>
            <w:pPr>
              <w:spacing w:after="0"/>
              <w:rPr>
                <w:sz w:val="20"/>
                <w:szCs w:val="20"/>
                <w:color w:val="auto"/>
              </w:rPr>
            </w:pPr>
          </w:p>
        </w:tc>
        <w:tc>
          <w:tcPr>
            <w:tcW w:w="1200" w:type="dxa"/>
            <w:vAlign w:val="bottom"/>
            <w:tcBorders>
              <w:right w:val="single" w:sz="8" w:color="auto"/>
            </w:tcBorders>
          </w:tcPr>
          <w:p>
            <w:pPr>
              <w:jc w:val="right"/>
              <w:ind w:right="324"/>
              <w:spacing w:after="0"/>
              <w:rPr>
                <w:sz w:val="20"/>
                <w:szCs w:val="20"/>
                <w:color w:val="auto"/>
              </w:rPr>
            </w:pPr>
            <w:r>
              <w:rPr>
                <w:rFonts w:ascii="Arial" w:cs="Arial" w:eastAsia="Arial" w:hAnsi="Arial"/>
                <w:sz w:val="16"/>
                <w:szCs w:val="16"/>
                <w:color w:val="3F3F3F"/>
              </w:rPr>
              <w:t>4,000</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3F3F3F"/>
                <w:w w:val="89"/>
              </w:rPr>
              <w:t>63.15</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3F3F3F"/>
                <w:w w:val="92"/>
              </w:rPr>
              <w:t>02/23/2025</w:t>
            </w:r>
          </w:p>
        </w:tc>
        <w:tc>
          <w:tcPr>
            <w:tcW w:w="1000" w:type="dxa"/>
            <w:vAlign w:val="bottom"/>
            <w:tcBorders>
              <w:right w:val="single" w:sz="8" w:color="auto"/>
            </w:tcBorders>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1900" w:type="dxa"/>
            <w:vAlign w:val="bottom"/>
            <w:tcBorders>
              <w:left w:val="single" w:sz="8" w:color="auto"/>
              <w:right w:val="single" w:sz="8" w:color="auto"/>
            </w:tcBorders>
          </w:tcPr>
          <w:p>
            <w:pPr>
              <w:spacing w:after="0"/>
              <w:rPr>
                <w:sz w:val="4"/>
                <w:szCs w:val="4"/>
                <w:color w:val="auto"/>
              </w:rPr>
            </w:pP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3F3F3F"/>
                <w:w w:val="92"/>
              </w:rPr>
              <w:t>02/23/2016</w:t>
            </w:r>
          </w:p>
        </w:tc>
        <w:tc>
          <w:tcPr>
            <w:tcW w:w="1080" w:type="dxa"/>
            <w:vAlign w:val="bottom"/>
            <w:tcBorders>
              <w:right w:val="single" w:sz="8" w:color="auto"/>
            </w:tcBorders>
          </w:tcPr>
          <w:p>
            <w:pPr>
              <w:spacing w:after="0"/>
              <w:rPr>
                <w:sz w:val="4"/>
                <w:szCs w:val="4"/>
                <w:color w:val="auto"/>
              </w:rPr>
            </w:pPr>
          </w:p>
        </w:tc>
        <w:tc>
          <w:tcPr>
            <w:tcW w:w="1200" w:type="dxa"/>
            <w:vAlign w:val="bottom"/>
            <w:tcBorders>
              <w:right w:val="single" w:sz="8" w:color="auto"/>
            </w:tcBorders>
          </w:tcPr>
          <w:p>
            <w:pPr>
              <w:spacing w:after="0"/>
              <w:rPr>
                <w:sz w:val="4"/>
                <w:szCs w:val="4"/>
                <w:color w:val="auto"/>
              </w:rPr>
            </w:pPr>
          </w:p>
        </w:tc>
        <w:tc>
          <w:tcPr>
            <w:tcW w:w="840" w:type="dxa"/>
            <w:vAlign w:val="bottom"/>
            <w:tcBorders>
              <w:right w:val="single" w:sz="8" w:color="auto"/>
            </w:tcBorders>
          </w:tcPr>
          <w:p>
            <w:pPr>
              <w:spacing w:after="0"/>
              <w:rPr>
                <w:sz w:val="4"/>
                <w:szCs w:val="4"/>
                <w:color w:val="auto"/>
              </w:rPr>
            </w:pPr>
          </w:p>
        </w:tc>
        <w:tc>
          <w:tcPr>
            <w:tcW w:w="1060" w:type="dxa"/>
            <w:vAlign w:val="bottom"/>
            <w:tcBorders>
              <w:right w:val="single" w:sz="8" w:color="auto"/>
            </w:tcBorders>
          </w:tcPr>
          <w:p>
            <w:pPr>
              <w:spacing w:after="0"/>
              <w:rPr>
                <w:sz w:val="4"/>
                <w:szCs w:val="4"/>
                <w:color w:val="auto"/>
              </w:rPr>
            </w:pPr>
          </w:p>
        </w:tc>
        <w:tc>
          <w:tcPr>
            <w:tcW w:w="1000" w:type="dxa"/>
            <w:vAlign w:val="bottom"/>
            <w:tcBorders>
              <w:right w:val="single" w:sz="8" w:color="auto"/>
            </w:tcBorders>
            <w:vMerge w:val="restart"/>
          </w:tcPr>
          <w:p>
            <w:pPr>
              <w:jc w:val="right"/>
              <w:ind w:right="202"/>
              <w:spacing w:after="0"/>
              <w:rPr>
                <w:sz w:val="20"/>
                <w:szCs w:val="20"/>
                <w:color w:val="auto"/>
              </w:rPr>
            </w:pPr>
            <w:r>
              <w:rPr>
                <w:rFonts w:ascii="Arial" w:cs="Arial" w:eastAsia="Arial" w:hAnsi="Arial"/>
                <w:sz w:val="16"/>
                <w:szCs w:val="16"/>
                <w:color w:val="3F3F3F"/>
              </w:rPr>
              <w:t>8,960</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3F3F3F"/>
              </w:rPr>
              <w:t>982,464</w:t>
            </w: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900" w:type="dxa"/>
            <w:vAlign w:val="bottom"/>
            <w:tcBorders>
              <w:left w:val="single" w:sz="8" w:color="auto"/>
              <w:right w:val="single" w:sz="8" w:color="auto"/>
            </w:tcBorders>
          </w:tcPr>
          <w:p>
            <w:pPr>
              <w:spacing w:after="0"/>
              <w:rPr>
                <w:sz w:val="20"/>
                <w:szCs w:val="20"/>
                <w:color w:val="auto"/>
              </w:rPr>
            </w:pPr>
          </w:p>
        </w:tc>
        <w:tc>
          <w:tcPr>
            <w:tcW w:w="1120" w:type="dxa"/>
            <w:vAlign w:val="bottom"/>
            <w:tcBorders>
              <w:right w:val="single" w:sz="8" w:color="auto"/>
            </w:tcBorders>
            <w:vMerge w:val="continue"/>
          </w:tcPr>
          <w:p>
            <w:pPr>
              <w:spacing w:after="0"/>
              <w:rPr>
                <w:sz w:val="20"/>
                <w:szCs w:val="20"/>
                <w:color w:val="auto"/>
              </w:rPr>
            </w:pPr>
          </w:p>
        </w:tc>
        <w:tc>
          <w:tcPr>
            <w:tcW w:w="1080" w:type="dxa"/>
            <w:vAlign w:val="bottom"/>
            <w:tcBorders>
              <w:right w:val="single" w:sz="8" w:color="auto"/>
            </w:tcBorders>
          </w:tcPr>
          <w:p>
            <w:pPr>
              <w:spacing w:after="0"/>
              <w:rPr>
                <w:sz w:val="20"/>
                <w:szCs w:val="20"/>
                <w:color w:val="auto"/>
              </w:rPr>
            </w:pPr>
          </w:p>
        </w:tc>
        <w:tc>
          <w:tcPr>
            <w:tcW w:w="1200" w:type="dxa"/>
            <w:vAlign w:val="bottom"/>
            <w:tcBorders>
              <w:right w:val="single" w:sz="8" w:color="auto"/>
            </w:tcBorders>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1060" w:type="dxa"/>
            <w:vAlign w:val="bottom"/>
            <w:tcBorders>
              <w:right w:val="single" w:sz="8" w:color="auto"/>
            </w:tcBorders>
          </w:tcPr>
          <w:p>
            <w:pPr>
              <w:spacing w:after="0"/>
              <w:rPr>
                <w:sz w:val="20"/>
                <w:szCs w:val="20"/>
                <w:color w:val="auto"/>
              </w:rPr>
            </w:pPr>
          </w:p>
        </w:tc>
        <w:tc>
          <w:tcPr>
            <w:tcW w:w="1000" w:type="dxa"/>
            <w:vAlign w:val="bottom"/>
            <w:tcBorders>
              <w:right w:val="single" w:sz="8" w:color="auto"/>
            </w:tcBorders>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1900" w:type="dxa"/>
            <w:vAlign w:val="bottom"/>
            <w:tcBorders>
              <w:left w:val="single" w:sz="8" w:color="auto"/>
              <w:right w:val="single" w:sz="8" w:color="auto"/>
            </w:tcBorders>
          </w:tcPr>
          <w:p>
            <w:pPr>
              <w:spacing w:after="0"/>
              <w:rPr>
                <w:sz w:val="24"/>
                <w:szCs w:val="24"/>
                <w:color w:val="auto"/>
              </w:rPr>
            </w:pP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3F3F3F"/>
                <w:w w:val="92"/>
              </w:rPr>
              <w:t>02/22/2017</w:t>
            </w:r>
          </w:p>
        </w:tc>
        <w:tc>
          <w:tcPr>
            <w:tcW w:w="10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1000" w:type="dxa"/>
            <w:vAlign w:val="bottom"/>
            <w:tcBorders>
              <w:right w:val="single" w:sz="8" w:color="auto"/>
            </w:tcBorders>
          </w:tcPr>
          <w:p>
            <w:pPr>
              <w:jc w:val="right"/>
              <w:ind w:right="202"/>
              <w:spacing w:after="0"/>
              <w:rPr>
                <w:sz w:val="20"/>
                <w:szCs w:val="20"/>
                <w:color w:val="auto"/>
              </w:rPr>
            </w:pPr>
            <w:r>
              <w:rPr>
                <w:rFonts w:ascii="Arial" w:cs="Arial" w:eastAsia="Arial" w:hAnsi="Arial"/>
                <w:sz w:val="16"/>
                <w:szCs w:val="16"/>
                <w:color w:val="3F3F3F"/>
              </w:rPr>
              <w:t>6,355</w:t>
            </w:r>
          </w:p>
        </w:tc>
        <w:tc>
          <w:tcPr>
            <w:tcW w:w="860" w:type="dxa"/>
            <w:vAlign w:val="bottom"/>
          </w:tcPr>
          <w:p>
            <w:pPr>
              <w:jc w:val="right"/>
              <w:spacing w:after="0"/>
              <w:rPr>
                <w:sz w:val="20"/>
                <w:szCs w:val="20"/>
                <w:color w:val="auto"/>
              </w:rPr>
            </w:pPr>
            <w:r>
              <w:rPr>
                <w:rFonts w:ascii="Arial" w:cs="Arial" w:eastAsia="Arial" w:hAnsi="Arial"/>
                <w:sz w:val="16"/>
                <w:szCs w:val="16"/>
                <w:color w:val="3F3F3F"/>
              </w:rPr>
              <w:t>696,826</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900" w:type="dxa"/>
            <w:vAlign w:val="bottom"/>
            <w:tcBorders>
              <w:left w:val="single" w:sz="8" w:color="auto"/>
              <w:right w:val="single" w:sz="8" w:color="auto"/>
            </w:tcBorders>
          </w:tcPr>
          <w:p>
            <w:pPr>
              <w:spacing w:after="0"/>
              <w:rPr>
                <w:sz w:val="24"/>
                <w:szCs w:val="24"/>
                <w:color w:val="auto"/>
              </w:rPr>
            </w:pP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3F3F3F"/>
                <w:w w:val="92"/>
              </w:rPr>
              <w:t>02/21/2018</w:t>
            </w:r>
          </w:p>
        </w:tc>
        <w:tc>
          <w:tcPr>
            <w:tcW w:w="10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1000" w:type="dxa"/>
            <w:vAlign w:val="bottom"/>
            <w:tcBorders>
              <w:right w:val="single" w:sz="8" w:color="auto"/>
            </w:tcBorders>
          </w:tcPr>
          <w:p>
            <w:pPr>
              <w:jc w:val="right"/>
              <w:ind w:right="202"/>
              <w:spacing w:after="0"/>
              <w:rPr>
                <w:sz w:val="20"/>
                <w:szCs w:val="20"/>
                <w:color w:val="auto"/>
              </w:rPr>
            </w:pPr>
            <w:r>
              <w:rPr>
                <w:rFonts w:ascii="Arial" w:cs="Arial" w:eastAsia="Arial" w:hAnsi="Arial"/>
                <w:sz w:val="16"/>
                <w:szCs w:val="16"/>
                <w:color w:val="3F3F3F"/>
              </w:rPr>
              <w:t>5,320</w:t>
            </w:r>
          </w:p>
        </w:tc>
        <w:tc>
          <w:tcPr>
            <w:tcW w:w="860" w:type="dxa"/>
            <w:vAlign w:val="bottom"/>
          </w:tcPr>
          <w:p>
            <w:pPr>
              <w:jc w:val="right"/>
              <w:spacing w:after="0"/>
              <w:rPr>
                <w:sz w:val="20"/>
                <w:szCs w:val="20"/>
                <w:color w:val="auto"/>
              </w:rPr>
            </w:pPr>
            <w:r>
              <w:rPr>
                <w:rFonts w:ascii="Arial" w:cs="Arial" w:eastAsia="Arial" w:hAnsi="Arial"/>
                <w:sz w:val="16"/>
                <w:szCs w:val="16"/>
                <w:color w:val="3F3F3F"/>
              </w:rPr>
              <w:t>583,338</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900" w:type="dxa"/>
            <w:vAlign w:val="bottom"/>
            <w:tcBorders>
              <w:left w:val="single" w:sz="8" w:color="auto"/>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3F3F3F"/>
                <w:w w:val="92"/>
              </w:rPr>
              <w:t>02/26/2019</w:t>
            </w:r>
          </w:p>
        </w:tc>
        <w:tc>
          <w:tcPr>
            <w:tcW w:w="1080" w:type="dxa"/>
            <w:vAlign w:val="bottom"/>
            <w:tcBorders>
              <w:bottom w:val="single" w:sz="8" w:color="auto"/>
              <w:right w:val="single" w:sz="8" w:color="auto"/>
            </w:tcBorders>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right w:val="single" w:sz="8" w:color="auto"/>
            </w:tcBorders>
          </w:tcPr>
          <w:p>
            <w:pPr>
              <w:spacing w:after="0"/>
              <w:rPr>
                <w:sz w:val="24"/>
                <w:szCs w:val="24"/>
                <w:color w:val="auto"/>
              </w:rPr>
            </w:pPr>
          </w:p>
        </w:tc>
        <w:tc>
          <w:tcPr>
            <w:tcW w:w="1000" w:type="dxa"/>
            <w:vAlign w:val="bottom"/>
            <w:tcBorders>
              <w:bottom w:val="single" w:sz="8" w:color="auto"/>
              <w:right w:val="single" w:sz="8" w:color="auto"/>
            </w:tcBorders>
          </w:tcPr>
          <w:p>
            <w:pPr>
              <w:jc w:val="right"/>
              <w:ind w:right="202"/>
              <w:spacing w:after="0"/>
              <w:rPr>
                <w:sz w:val="20"/>
                <w:szCs w:val="20"/>
                <w:color w:val="auto"/>
              </w:rPr>
            </w:pPr>
            <w:r>
              <w:rPr>
                <w:rFonts w:ascii="Arial" w:cs="Arial" w:eastAsia="Arial" w:hAnsi="Arial"/>
                <w:sz w:val="16"/>
                <w:szCs w:val="16"/>
                <w:color w:val="3F3F3F"/>
              </w:rPr>
              <w:t>6,045</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3F3F3F"/>
              </w:rPr>
              <w:t>662,834</w:t>
            </w:r>
          </w:p>
        </w:tc>
        <w:tc>
          <w:tcPr>
            <w:tcW w:w="20" w:type="dxa"/>
            <w:vAlign w:val="bottom"/>
            <w:tcBorders>
              <w:bottom w:val="single" w:sz="8" w:color="auto"/>
            </w:tcBorders>
            <w:shd w:val="clear" w:color="auto" w:fill="000000"/>
          </w:tcPr>
          <w:p>
            <w:pPr>
              <w:spacing w:after="0"/>
              <w:rPr>
                <w:sz w:val="24"/>
                <w:szCs w:val="24"/>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sectPr>
          <w:pgSz w:w="11900" w:h="16950" w:orient="portrait"/>
          <w:cols w:equalWidth="0" w:num="1">
            <w:col w:w="10160"/>
          </w:cols>
          <w:pgMar w:left="320" w:top="265" w:right="1419" w:bottom="0" w:gutter="0" w:footer="0" w:header="0"/>
        </w:sectPr>
      </w:pPr>
    </w:p>
    <w:p>
      <w:pPr>
        <w:ind w:left="1440" w:right="60" w:hanging="352"/>
        <w:spacing w:after="0" w:line="290" w:lineRule="auto"/>
        <w:tabs>
          <w:tab w:leader="none" w:pos="1440" w:val="left"/>
        </w:tabs>
        <w:numPr>
          <w:ilvl w:val="0"/>
          <w:numId w:val="25"/>
        </w:numPr>
        <w:rPr>
          <w:rFonts w:ascii="Arial" w:cs="Arial" w:eastAsia="Arial" w:hAnsi="Arial"/>
          <w:sz w:val="13"/>
          <w:szCs w:val="13"/>
          <w:color w:val="3F3F3F"/>
        </w:rPr>
      </w:pPr>
      <w:r>
        <w:rPr>
          <w:rFonts w:ascii="Arial" w:cs="Arial" w:eastAsia="Arial" w:hAnsi="Arial"/>
          <w:sz w:val="13"/>
          <w:szCs w:val="13"/>
          <w:color w:val="3F3F3F"/>
        </w:rPr>
        <w:t>Represents employee stock options that become exercisable for 20% of the shares initially granted on the first anniversary of the date of grant, with an additional 20% becoming exercisable on each subsequent anniversary. They are generally exercisable for ten years. The options become fully</w:t>
      </w:r>
    </w:p>
    <w:p>
      <w:pPr>
        <w:sectPr>
          <w:pgSz w:w="11900" w:h="16950" w:orient="portrait"/>
          <w:cols w:equalWidth="0" w:num="1">
            <w:col w:w="10160"/>
          </w:cols>
          <w:pgMar w:left="320" w:top="265" w:right="1419" w:bottom="0" w:gutter="0" w:footer="0" w:header="0"/>
          <w:type w:val="continuous"/>
        </w:sectPr>
      </w:pPr>
    </w:p>
    <w:bookmarkStart w:id="46" w:name="page47"/>
    <w:bookmarkEnd w:id="46"/>
    <w:p>
      <w:pPr>
        <w:ind w:left="1320" w:right="1080"/>
        <w:spacing w:after="0" w:line="239" w:lineRule="auto"/>
        <w:rPr>
          <w:sz w:val="20"/>
          <w:szCs w:val="20"/>
          <w:color w:val="auto"/>
        </w:rPr>
      </w:pPr>
      <w:r>
        <w:rPr>
          <w:rFonts w:ascii="Arial" w:cs="Arial" w:eastAsia="Arial" w:hAnsi="Arial"/>
          <w:sz w:val="14"/>
          <w:szCs w:val="14"/>
          <w:color w:val="3F3F3F"/>
        </w:rPr>
        <w:t>exercisable in the event of death or disability or upon a change in control of the Company. The Company ceased granting stock options after the 2015 broad-based grant.</w:t>
      </w:r>
    </w:p>
    <w:p>
      <w:pPr>
        <w:spacing w:after="0" w:line="1" w:lineRule="exact"/>
        <w:rPr>
          <w:sz w:val="20"/>
          <w:szCs w:val="20"/>
          <w:color w:val="auto"/>
        </w:rPr>
      </w:pPr>
    </w:p>
    <w:p>
      <w:pPr>
        <w:ind w:left="1320" w:hanging="352"/>
        <w:spacing w:after="0"/>
        <w:tabs>
          <w:tab w:leader="none" w:pos="1320" w:val="left"/>
        </w:tabs>
        <w:numPr>
          <w:ilvl w:val="0"/>
          <w:numId w:val="26"/>
        </w:numPr>
        <w:rPr>
          <w:rFonts w:ascii="Arial" w:cs="Arial" w:eastAsia="Arial" w:hAnsi="Arial"/>
          <w:sz w:val="14"/>
          <w:szCs w:val="14"/>
          <w:color w:val="3F3F3F"/>
        </w:rPr>
      </w:pPr>
      <w:r>
        <w:rPr>
          <w:rFonts w:ascii="Arial" w:cs="Arial" w:eastAsia="Arial" w:hAnsi="Arial"/>
          <w:sz w:val="14"/>
          <w:szCs w:val="14"/>
          <w:color w:val="3F3F3F"/>
        </w:rPr>
        <w:t>Represents restricted shares which cliff-vest four years following the award grant date.</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040" w:type="dxa"/>
            <w:vAlign w:val="bottom"/>
          </w:tcPr>
          <w:p>
            <w:pPr>
              <w:ind w:left="1040"/>
              <w:spacing w:after="0"/>
              <w:rPr>
                <w:sz w:val="20"/>
                <w:szCs w:val="20"/>
                <w:color w:val="auto"/>
              </w:rPr>
            </w:pPr>
            <w:r>
              <w:rPr>
                <w:rFonts w:ascii="Arial" w:cs="Arial" w:eastAsia="Arial" w:hAnsi="Arial"/>
                <w:sz w:val="16"/>
                <w:szCs w:val="16"/>
                <w:color w:val="auto"/>
              </w:rPr>
              <w:t>2020 Proxy Statement | Executive Compensation</w:t>
            </w:r>
          </w:p>
        </w:tc>
        <w:tc>
          <w:tcPr>
            <w:tcW w:w="3980" w:type="dxa"/>
            <w:vAlign w:val="bottom"/>
          </w:tcPr>
          <w:p>
            <w:pPr>
              <w:jc w:val="right"/>
              <w:ind w:right="919"/>
              <w:spacing w:after="0"/>
              <w:rPr>
                <w:sz w:val="20"/>
                <w:szCs w:val="20"/>
                <w:color w:val="auto"/>
              </w:rPr>
            </w:pPr>
            <w:r>
              <w:rPr>
                <w:rFonts w:ascii="Arial" w:cs="Arial" w:eastAsia="Arial" w:hAnsi="Arial"/>
                <w:sz w:val="16"/>
                <w:szCs w:val="16"/>
                <w:color w:val="auto"/>
              </w:rPr>
              <w:t>39</w:t>
            </w:r>
          </w:p>
        </w:tc>
      </w:tr>
      <w:tr>
        <w:trPr>
          <w:trHeight w:val="202"/>
        </w:trPr>
        <w:tc>
          <w:tcPr>
            <w:tcW w:w="7040" w:type="dxa"/>
            <w:vAlign w:val="bottom"/>
            <w:tcBorders>
              <w:bottom w:val="single" w:sz="8" w:color="auto"/>
            </w:tcBorders>
          </w:tcPr>
          <w:p>
            <w:pPr>
              <w:spacing w:after="0"/>
              <w:rPr>
                <w:sz w:val="17"/>
                <w:szCs w:val="17"/>
                <w:color w:val="auto"/>
              </w:rPr>
            </w:pPr>
          </w:p>
        </w:tc>
        <w:tc>
          <w:tcPr>
            <w:tcW w:w="3980" w:type="dxa"/>
            <w:vAlign w:val="bottom"/>
            <w:tcBorders>
              <w:bottom w:val="single" w:sz="8" w:color="auto"/>
            </w:tcBorders>
          </w:tcPr>
          <w:p>
            <w:pPr>
              <w:spacing w:after="0"/>
              <w:rPr>
                <w:sz w:val="17"/>
                <w:szCs w:val="17"/>
                <w:color w:val="auto"/>
              </w:rPr>
            </w:pPr>
          </w:p>
        </w:tc>
      </w:tr>
    </w:tbl>
    <w:p>
      <w:pPr>
        <w:sectPr>
          <w:pgSz w:w="11900" w:h="16838" w:orient="portrait"/>
          <w:cols w:equalWidth="0" w:num="1">
            <w:col w:w="11020"/>
          </w:cols>
          <w:pgMar w:left="440" w:top="122" w:right="439" w:bottom="1440" w:gutter="0" w:footer="0" w:header="0"/>
        </w:sectPr>
      </w:pPr>
    </w:p>
    <w:bookmarkStart w:id="47" w:name="page48"/>
    <w:bookmarkEnd w:id="47"/>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6515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1080"/>
        <w:spacing w:after="0"/>
        <w:rPr>
          <w:sz w:val="20"/>
          <w:szCs w:val="20"/>
          <w:color w:val="auto"/>
        </w:rPr>
      </w:pPr>
      <w:r>
        <w:rPr>
          <w:rFonts w:ascii="Arial" w:cs="Arial" w:eastAsia="Arial" w:hAnsi="Arial"/>
          <w:sz w:val="20"/>
          <w:szCs w:val="20"/>
          <w:b w:val="1"/>
          <w:bCs w:val="1"/>
          <w:color w:val="3F3F3F"/>
        </w:rPr>
        <w:t>Option Exercises and Stock Vested</w:t>
      </w:r>
    </w:p>
    <w:p>
      <w:pPr>
        <w:spacing w:after="0" w:line="116" w:lineRule="exact"/>
        <w:rPr>
          <w:sz w:val="20"/>
          <w:szCs w:val="20"/>
          <w:color w:val="auto"/>
        </w:rPr>
      </w:pPr>
    </w:p>
    <w:p>
      <w:pPr>
        <w:ind w:left="1080" w:right="480"/>
        <w:spacing w:after="0" w:line="277" w:lineRule="auto"/>
        <w:rPr>
          <w:sz w:val="20"/>
          <w:szCs w:val="20"/>
          <w:color w:val="auto"/>
        </w:rPr>
      </w:pPr>
      <w:r>
        <w:rPr>
          <w:rFonts w:ascii="Arial" w:cs="Arial" w:eastAsia="Arial" w:hAnsi="Arial"/>
          <w:sz w:val="18"/>
          <w:szCs w:val="18"/>
          <w:color w:val="auto"/>
        </w:rPr>
        <w:t>The table below shows the number of Company common shares acquired during 2019 upon the exercise of options and restricted share awards which vested in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1839595</wp:posOffset>
            </wp:positionH>
            <wp:positionV relativeFrom="paragraph">
              <wp:posOffset>203200</wp:posOffset>
            </wp:positionV>
            <wp:extent cx="4612005" cy="168846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612005" cy="1688465"/>
                    </a:xfrm>
                    <a:prstGeom prst="rect">
                      <a:avLst/>
                    </a:prstGeom>
                    <a:noFill/>
                  </pic:spPr>
                </pic:pic>
              </a:graphicData>
            </a:graphic>
          </wp:anchor>
        </w:drawing>
      </w:r>
    </w:p>
    <w:p>
      <w:pPr>
        <w:sectPr>
          <w:pgSz w:w="11900" w:h="16838" w:orient="portrait"/>
          <w:cols w:equalWidth="0" w:num="1">
            <w:col w:w="10160"/>
          </w:cols>
          <w:pgMar w:left="320" w:top="265" w:right="1419" w:bottom="637" w:gutter="0" w:footer="0" w:header="0"/>
        </w:sectPr>
      </w:pPr>
    </w:p>
    <w:p>
      <w:pPr>
        <w:spacing w:after="0" w:line="200" w:lineRule="exact"/>
        <w:rPr>
          <w:sz w:val="20"/>
          <w:szCs w:val="20"/>
          <w:color w:val="auto"/>
        </w:rPr>
      </w:pPr>
    </w:p>
    <w:p>
      <w:pPr>
        <w:spacing w:after="0" w:line="259" w:lineRule="exact"/>
        <w:rPr>
          <w:sz w:val="20"/>
          <w:szCs w:val="20"/>
          <w:color w:val="auto"/>
        </w:rPr>
      </w:pPr>
    </w:p>
    <w:p>
      <w:pPr>
        <w:ind w:left="4240"/>
        <w:spacing w:after="0"/>
        <w:rPr>
          <w:sz w:val="20"/>
          <w:szCs w:val="20"/>
          <w:color w:val="auto"/>
        </w:rPr>
      </w:pPr>
      <w:r>
        <w:rPr>
          <w:rFonts w:ascii="Arial" w:cs="Arial" w:eastAsia="Arial" w:hAnsi="Arial"/>
          <w:sz w:val="13"/>
          <w:szCs w:val="13"/>
          <w:b w:val="1"/>
          <w:bCs w:val="1"/>
          <w:color w:val="auto"/>
        </w:rPr>
        <w:t>Option Awards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Stock Awards</w:t>
      </w:r>
    </w:p>
    <w:p>
      <w:pPr>
        <w:spacing w:after="0" w:line="148" w:lineRule="exact"/>
        <w:rPr>
          <w:sz w:val="20"/>
          <w:szCs w:val="20"/>
          <w:color w:val="auto"/>
        </w:rPr>
      </w:pPr>
    </w:p>
    <w:p>
      <w:pPr>
        <w:sectPr>
          <w:pgSz w:w="11900" w:h="16838" w:orient="portrait"/>
          <w:cols w:equalWidth="0" w:num="2">
            <w:col w:w="7200" w:space="720"/>
            <w:col w:w="2240"/>
          </w:cols>
          <w:pgMar w:left="320" w:top="265" w:right="1419" w:bottom="637" w:gutter="0" w:footer="0" w:header="0"/>
          <w:type w:val="continuous"/>
        </w:sectPr>
      </w:pPr>
    </w:p>
    <w:tbl>
      <w:tblPr>
        <w:tblLayout w:type="fixed"/>
        <w:tblInd w:w="1090" w:type="dxa"/>
        <w:tblCellMar>
          <w:top w:w="0" w:type="dxa"/>
          <w:left w:w="0" w:type="dxa"/>
          <w:bottom w:w="0" w:type="dxa"/>
          <w:right w:w="0" w:type="dxa"/>
        </w:tblCellMar>
      </w:tblPr>
      <w:tr>
        <w:trPr>
          <w:trHeight w:val="247"/>
        </w:trPr>
        <w:tc>
          <w:tcPr>
            <w:tcW w:w="1840" w:type="dxa"/>
            <w:vAlign w:val="bottom"/>
            <w:tcBorders>
              <w:top w:val="single" w:sz="8" w:color="auto"/>
              <w:left w:val="single" w:sz="8" w:color="auto"/>
              <w:right w:val="single" w:sz="8" w:color="auto"/>
            </w:tcBorders>
            <w:shd w:val="clear" w:color="auto" w:fill="BFBFBF"/>
          </w:tcPr>
          <w:p>
            <w:pPr>
              <w:spacing w:after="0"/>
              <w:rPr>
                <w:sz w:val="21"/>
                <w:szCs w:val="21"/>
                <w:color w:val="auto"/>
              </w:rPr>
            </w:pPr>
          </w:p>
        </w:tc>
        <w:tc>
          <w:tcPr>
            <w:tcW w:w="1800" w:type="dxa"/>
            <w:vAlign w:val="bottom"/>
            <w:tcBorders>
              <w:top w:val="single" w:sz="8" w:color="auto"/>
              <w:right w:val="single" w:sz="8" w:color="auto"/>
            </w:tcBorders>
            <w:shd w:val="clear" w:color="auto" w:fill="BFBFBF"/>
          </w:tcPr>
          <w:p>
            <w:pPr>
              <w:jc w:val="right"/>
              <w:ind w:right="308"/>
              <w:spacing w:after="0"/>
              <w:rPr>
                <w:sz w:val="20"/>
                <w:szCs w:val="20"/>
                <w:color w:val="auto"/>
              </w:rPr>
            </w:pPr>
            <w:r>
              <w:rPr>
                <w:rFonts w:ascii="Arial" w:cs="Arial" w:eastAsia="Arial" w:hAnsi="Arial"/>
                <w:sz w:val="14"/>
                <w:szCs w:val="14"/>
                <w:b w:val="1"/>
                <w:bCs w:val="1"/>
                <w:color w:val="auto"/>
              </w:rPr>
              <w:t>Number of Shares</w:t>
            </w:r>
          </w:p>
        </w:tc>
        <w:tc>
          <w:tcPr>
            <w:tcW w:w="1820" w:type="dxa"/>
            <w:vAlign w:val="bottom"/>
            <w:tcBorders>
              <w:top w:val="single" w:sz="8" w:color="auto"/>
              <w:right w:val="single" w:sz="8" w:color="auto"/>
            </w:tcBorders>
            <w:shd w:val="clear" w:color="auto" w:fill="BFBFBF"/>
          </w:tcPr>
          <w:p>
            <w:pPr>
              <w:jc w:val="right"/>
              <w:ind w:right="28"/>
              <w:spacing w:after="0"/>
              <w:rPr>
                <w:sz w:val="20"/>
                <w:szCs w:val="20"/>
                <w:color w:val="auto"/>
              </w:rPr>
            </w:pPr>
            <w:r>
              <w:rPr>
                <w:rFonts w:ascii="Arial" w:cs="Arial" w:eastAsia="Arial" w:hAnsi="Arial"/>
                <w:sz w:val="14"/>
                <w:szCs w:val="14"/>
                <w:b w:val="1"/>
                <w:bCs w:val="1"/>
                <w:color w:val="auto"/>
                <w:w w:val="94"/>
              </w:rPr>
              <w:t>Value Realized on Exercise</w:t>
            </w:r>
          </w:p>
        </w:tc>
        <w:tc>
          <w:tcPr>
            <w:tcW w:w="1800" w:type="dxa"/>
            <w:vAlign w:val="bottom"/>
            <w:tcBorders>
              <w:top w:val="single" w:sz="8" w:color="auto"/>
              <w:right w:val="single" w:sz="8" w:color="auto"/>
            </w:tcBorders>
            <w:shd w:val="clear" w:color="auto" w:fill="BFBFBF"/>
          </w:tcPr>
          <w:p>
            <w:pPr>
              <w:jc w:val="right"/>
              <w:ind w:right="308"/>
              <w:spacing w:after="0"/>
              <w:rPr>
                <w:sz w:val="20"/>
                <w:szCs w:val="20"/>
                <w:color w:val="auto"/>
              </w:rPr>
            </w:pPr>
            <w:r>
              <w:rPr>
                <w:rFonts w:ascii="Arial" w:cs="Arial" w:eastAsia="Arial" w:hAnsi="Arial"/>
                <w:sz w:val="14"/>
                <w:szCs w:val="14"/>
                <w:b w:val="1"/>
                <w:bCs w:val="1"/>
                <w:color w:val="auto"/>
              </w:rPr>
              <w:t>Number of Shares</w:t>
            </w:r>
          </w:p>
        </w:tc>
        <w:tc>
          <w:tcPr>
            <w:tcW w:w="1800" w:type="dxa"/>
            <w:vAlign w:val="bottom"/>
            <w:tcBorders>
              <w:top w:val="single" w:sz="8" w:color="auto"/>
            </w:tcBorders>
            <w:shd w:val="clear" w:color="auto" w:fill="BFBFBF"/>
          </w:tcPr>
          <w:p>
            <w:pPr>
              <w:jc w:val="right"/>
              <w:ind w:right="48"/>
              <w:spacing w:after="0"/>
              <w:rPr>
                <w:sz w:val="20"/>
                <w:szCs w:val="20"/>
                <w:color w:val="auto"/>
              </w:rPr>
            </w:pPr>
            <w:r>
              <w:rPr>
                <w:rFonts w:ascii="Arial" w:cs="Arial" w:eastAsia="Arial" w:hAnsi="Arial"/>
                <w:sz w:val="14"/>
                <w:szCs w:val="14"/>
                <w:b w:val="1"/>
                <w:bCs w:val="1"/>
                <w:color w:val="auto"/>
                <w:w w:val="95"/>
              </w:rPr>
              <w:t>Value Realized on Vesting</w:t>
            </w:r>
          </w:p>
        </w:tc>
        <w:tc>
          <w:tcPr>
            <w:tcW w:w="20" w:type="dxa"/>
            <w:vAlign w:val="bottom"/>
            <w:tcBorders>
              <w:top w:val="single" w:sz="8" w:color="auto"/>
            </w:tcBorders>
          </w:tcPr>
          <w:p>
            <w:pPr>
              <w:spacing w:after="0"/>
              <w:rPr>
                <w:sz w:val="21"/>
                <w:szCs w:val="21"/>
                <w:color w:val="auto"/>
              </w:rPr>
            </w:pPr>
          </w:p>
        </w:tc>
      </w:tr>
      <w:tr>
        <w:trPr>
          <w:trHeight w:val="239"/>
        </w:trPr>
        <w:tc>
          <w:tcPr>
            <w:tcW w:w="1840" w:type="dxa"/>
            <w:vAlign w:val="bottom"/>
            <w:tcBorders>
              <w:left w:val="single" w:sz="8" w:color="auto"/>
              <w:bottom w:val="single" w:sz="8" w:color="BFBFBF"/>
              <w:right w:val="single" w:sz="8" w:color="auto"/>
            </w:tcBorders>
            <w:shd w:val="clear" w:color="auto" w:fill="BFBFBF"/>
          </w:tcPr>
          <w:p>
            <w:pPr>
              <w:spacing w:after="0"/>
              <w:rPr>
                <w:sz w:val="20"/>
                <w:szCs w:val="20"/>
                <w:color w:val="auto"/>
              </w:rPr>
            </w:pPr>
          </w:p>
        </w:tc>
        <w:tc>
          <w:tcPr>
            <w:tcW w:w="1800" w:type="dxa"/>
            <w:vAlign w:val="bottom"/>
            <w:tcBorders>
              <w:bottom w:val="single" w:sz="8" w:color="BFBFBF"/>
              <w:right w:val="single" w:sz="8" w:color="auto"/>
            </w:tcBorders>
            <w:shd w:val="clear" w:color="auto" w:fill="BFBFBF"/>
          </w:tcPr>
          <w:p>
            <w:pPr>
              <w:jc w:val="right"/>
              <w:ind w:right="88"/>
              <w:spacing w:after="0"/>
              <w:rPr>
                <w:sz w:val="20"/>
                <w:szCs w:val="20"/>
                <w:color w:val="auto"/>
              </w:rPr>
            </w:pPr>
            <w:r>
              <w:rPr>
                <w:rFonts w:ascii="Arial" w:cs="Arial" w:eastAsia="Arial" w:hAnsi="Arial"/>
                <w:sz w:val="14"/>
                <w:szCs w:val="14"/>
                <w:b w:val="1"/>
                <w:bCs w:val="1"/>
                <w:color w:val="auto"/>
                <w:w w:val="98"/>
              </w:rPr>
              <w:t>Acquired on Exercise (#)</w:t>
            </w:r>
          </w:p>
        </w:tc>
        <w:tc>
          <w:tcPr>
            <w:tcW w:w="1820" w:type="dxa"/>
            <w:vAlign w:val="bottom"/>
            <w:tcBorders>
              <w:bottom w:val="single" w:sz="8" w:color="BFBFBF"/>
              <w:right w:val="single" w:sz="8" w:color="auto"/>
            </w:tcBorders>
            <w:shd w:val="clear" w:color="auto" w:fill="BFBFBF"/>
          </w:tcPr>
          <w:p>
            <w:pPr>
              <w:jc w:val="right"/>
              <w:ind w:right="688"/>
              <w:spacing w:after="0"/>
              <w:rPr>
                <w:sz w:val="20"/>
                <w:szCs w:val="20"/>
                <w:color w:val="auto"/>
              </w:rPr>
            </w:pPr>
            <w:r>
              <w:rPr>
                <w:rFonts w:ascii="Arial" w:cs="Arial" w:eastAsia="Arial" w:hAnsi="Arial"/>
                <w:sz w:val="14"/>
                <w:szCs w:val="14"/>
                <w:b w:val="1"/>
                <w:bCs w:val="1"/>
                <w:color w:val="auto"/>
              </w:rPr>
              <w:t>($)(1)</w:t>
            </w:r>
          </w:p>
        </w:tc>
        <w:tc>
          <w:tcPr>
            <w:tcW w:w="1800" w:type="dxa"/>
            <w:vAlign w:val="bottom"/>
            <w:tcBorders>
              <w:bottom w:val="single" w:sz="8" w:color="BFBFBF"/>
              <w:right w:val="single" w:sz="8" w:color="auto"/>
            </w:tcBorders>
            <w:shd w:val="clear" w:color="auto" w:fill="BFBFBF"/>
          </w:tcPr>
          <w:p>
            <w:pPr>
              <w:jc w:val="right"/>
              <w:ind w:right="128"/>
              <w:spacing w:after="0"/>
              <w:rPr>
                <w:sz w:val="20"/>
                <w:szCs w:val="20"/>
                <w:color w:val="auto"/>
              </w:rPr>
            </w:pPr>
            <w:r>
              <w:rPr>
                <w:rFonts w:ascii="Arial" w:cs="Arial" w:eastAsia="Arial" w:hAnsi="Arial"/>
                <w:sz w:val="14"/>
                <w:szCs w:val="14"/>
                <w:b w:val="1"/>
                <w:bCs w:val="1"/>
                <w:color w:val="auto"/>
              </w:rPr>
              <w:t>Acquired on Vesting (#)</w:t>
            </w:r>
          </w:p>
        </w:tc>
        <w:tc>
          <w:tcPr>
            <w:tcW w:w="1800" w:type="dxa"/>
            <w:vAlign w:val="bottom"/>
            <w:tcBorders>
              <w:bottom w:val="single" w:sz="8" w:color="BFBFBF"/>
            </w:tcBorders>
            <w:shd w:val="clear" w:color="auto" w:fill="BFBFBF"/>
          </w:tcPr>
          <w:p>
            <w:pPr>
              <w:jc w:val="right"/>
              <w:ind w:right="648"/>
              <w:spacing w:after="0"/>
              <w:rPr>
                <w:sz w:val="20"/>
                <w:szCs w:val="20"/>
                <w:color w:val="auto"/>
              </w:rPr>
            </w:pPr>
            <w:r>
              <w:rPr>
                <w:rFonts w:ascii="Arial" w:cs="Arial" w:eastAsia="Arial" w:hAnsi="Arial"/>
                <w:sz w:val="14"/>
                <w:szCs w:val="14"/>
                <w:b w:val="1"/>
                <w:bCs w:val="1"/>
                <w:color w:val="auto"/>
              </w:rPr>
              <w:t>($)(2)</w:t>
            </w:r>
          </w:p>
        </w:tc>
        <w:tc>
          <w:tcPr>
            <w:tcW w:w="20" w:type="dxa"/>
            <w:vAlign w:val="bottom"/>
          </w:tcPr>
          <w:p>
            <w:pPr>
              <w:spacing w:after="0"/>
              <w:rPr>
                <w:sz w:val="20"/>
                <w:szCs w:val="20"/>
                <w:color w:val="auto"/>
              </w:rPr>
            </w:pPr>
          </w:p>
        </w:tc>
      </w:tr>
      <w:tr>
        <w:trPr>
          <w:trHeight w:val="224"/>
        </w:trPr>
        <w:tc>
          <w:tcPr>
            <w:tcW w:w="184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Carl H. Lindner III</w:t>
            </w:r>
          </w:p>
        </w:tc>
        <w:tc>
          <w:tcPr>
            <w:tcW w:w="1800" w:type="dxa"/>
            <w:vAlign w:val="bottom"/>
            <w:tcBorders>
              <w:top w:val="single" w:sz="8" w:color="auto"/>
              <w:right w:val="single" w:sz="8" w:color="auto"/>
            </w:tcBorders>
          </w:tcPr>
          <w:p>
            <w:pPr>
              <w:jc w:val="right"/>
              <w:ind w:right="648"/>
              <w:spacing w:after="0"/>
              <w:rPr>
                <w:sz w:val="20"/>
                <w:szCs w:val="20"/>
                <w:color w:val="auto"/>
              </w:rPr>
            </w:pPr>
            <w:r>
              <w:rPr>
                <w:rFonts w:ascii="Arial" w:cs="Arial" w:eastAsia="Arial" w:hAnsi="Arial"/>
                <w:sz w:val="14"/>
                <w:szCs w:val="14"/>
                <w:color w:val="auto"/>
              </w:rPr>
              <w:t>50,000</w:t>
            </w:r>
          </w:p>
        </w:tc>
        <w:tc>
          <w:tcPr>
            <w:tcW w:w="1820" w:type="dxa"/>
            <w:vAlign w:val="bottom"/>
            <w:tcBorders>
              <w:top w:val="single" w:sz="8" w:color="auto"/>
              <w:right w:val="single" w:sz="8" w:color="auto"/>
            </w:tcBorders>
          </w:tcPr>
          <w:p>
            <w:pPr>
              <w:jc w:val="right"/>
              <w:ind w:right="568"/>
              <w:spacing w:after="0"/>
              <w:rPr>
                <w:sz w:val="20"/>
                <w:szCs w:val="20"/>
                <w:color w:val="auto"/>
              </w:rPr>
            </w:pPr>
            <w:r>
              <w:rPr>
                <w:rFonts w:ascii="Arial" w:cs="Arial" w:eastAsia="Arial" w:hAnsi="Arial"/>
                <w:sz w:val="14"/>
                <w:szCs w:val="14"/>
                <w:color w:val="auto"/>
              </w:rPr>
              <w:t>3,303,000</w:t>
            </w:r>
          </w:p>
        </w:tc>
        <w:tc>
          <w:tcPr>
            <w:tcW w:w="1800" w:type="dxa"/>
            <w:vAlign w:val="bottom"/>
            <w:tcBorders>
              <w:top w:val="single" w:sz="8" w:color="auto"/>
              <w:right w:val="single" w:sz="8" w:color="auto"/>
            </w:tcBorders>
          </w:tcPr>
          <w:p>
            <w:pPr>
              <w:jc w:val="right"/>
              <w:ind w:right="648"/>
              <w:spacing w:after="0"/>
              <w:rPr>
                <w:sz w:val="20"/>
                <w:szCs w:val="20"/>
                <w:color w:val="auto"/>
              </w:rPr>
            </w:pPr>
            <w:r>
              <w:rPr>
                <w:rFonts w:ascii="Arial" w:cs="Arial" w:eastAsia="Arial" w:hAnsi="Arial"/>
                <w:sz w:val="14"/>
                <w:szCs w:val="14"/>
                <w:color w:val="auto"/>
              </w:rPr>
              <w:t>11,880</w:t>
            </w:r>
          </w:p>
        </w:tc>
        <w:tc>
          <w:tcPr>
            <w:tcW w:w="1800" w:type="dxa"/>
            <w:vAlign w:val="bottom"/>
            <w:tcBorders>
              <w:top w:val="single" w:sz="8" w:color="auto"/>
            </w:tcBorders>
          </w:tcPr>
          <w:p>
            <w:pPr>
              <w:jc w:val="right"/>
              <w:ind w:right="548"/>
              <w:spacing w:after="0"/>
              <w:rPr>
                <w:sz w:val="20"/>
                <w:szCs w:val="20"/>
                <w:color w:val="auto"/>
              </w:rPr>
            </w:pPr>
            <w:r>
              <w:rPr>
                <w:rFonts w:ascii="Arial" w:cs="Arial" w:eastAsia="Arial" w:hAnsi="Arial"/>
                <w:sz w:val="14"/>
                <w:szCs w:val="14"/>
                <w:color w:val="auto"/>
              </w:rPr>
              <w:t>1,184,555</w:t>
            </w:r>
          </w:p>
        </w:tc>
        <w:tc>
          <w:tcPr>
            <w:tcW w:w="20" w:type="dxa"/>
            <w:vAlign w:val="bottom"/>
            <w:tcBorders>
              <w:top w:val="single" w:sz="8" w:color="auto"/>
            </w:tcBorders>
          </w:tcPr>
          <w:p>
            <w:pPr>
              <w:spacing w:after="0"/>
              <w:rPr>
                <w:sz w:val="19"/>
                <w:szCs w:val="19"/>
                <w:color w:val="auto"/>
              </w:rPr>
            </w:pPr>
          </w:p>
        </w:tc>
      </w:tr>
      <w:tr>
        <w:trPr>
          <w:trHeight w:val="53"/>
        </w:trPr>
        <w:tc>
          <w:tcPr>
            <w:tcW w:w="1840" w:type="dxa"/>
            <w:vAlign w:val="bottom"/>
            <w:tcBorders>
              <w:left w:val="single" w:sz="8" w:color="auto"/>
              <w:bottom w:val="single" w:sz="8" w:color="auto"/>
              <w:right w:val="single" w:sz="8" w:color="auto"/>
            </w:tcBorders>
          </w:tcPr>
          <w:p>
            <w:pPr>
              <w:spacing w:after="0"/>
              <w:rPr>
                <w:sz w:val="4"/>
                <w:szCs w:val="4"/>
                <w:color w:val="auto"/>
              </w:rPr>
            </w:pPr>
          </w:p>
        </w:tc>
        <w:tc>
          <w:tcPr>
            <w:tcW w:w="180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1800" w:type="dxa"/>
            <w:vAlign w:val="bottom"/>
            <w:tcBorders>
              <w:bottom w:val="single" w:sz="8" w:color="auto"/>
              <w:right w:val="single" w:sz="8" w:color="auto"/>
            </w:tcBorders>
          </w:tcPr>
          <w:p>
            <w:pPr>
              <w:spacing w:after="0"/>
              <w:rPr>
                <w:sz w:val="4"/>
                <w:szCs w:val="4"/>
                <w:color w:val="auto"/>
              </w:rPr>
            </w:pPr>
          </w:p>
        </w:tc>
        <w:tc>
          <w:tcPr>
            <w:tcW w:w="18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224"/>
        </w:trPr>
        <w:tc>
          <w:tcPr>
            <w:tcW w:w="18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S. Craig Lindner</w:t>
            </w:r>
          </w:p>
        </w:tc>
        <w:tc>
          <w:tcPr>
            <w:tcW w:w="1800" w:type="dxa"/>
            <w:vAlign w:val="bottom"/>
            <w:tcBorders>
              <w:right w:val="single" w:sz="8" w:color="auto"/>
            </w:tcBorders>
          </w:tcPr>
          <w:p>
            <w:pPr>
              <w:jc w:val="right"/>
              <w:ind w:right="648"/>
              <w:spacing w:after="0"/>
              <w:rPr>
                <w:sz w:val="20"/>
                <w:szCs w:val="20"/>
                <w:color w:val="auto"/>
              </w:rPr>
            </w:pPr>
            <w:r>
              <w:rPr>
                <w:rFonts w:ascii="Arial" w:cs="Arial" w:eastAsia="Arial" w:hAnsi="Arial"/>
                <w:sz w:val="14"/>
                <w:szCs w:val="14"/>
                <w:color w:val="auto"/>
              </w:rPr>
              <w:t>50,000</w:t>
            </w:r>
          </w:p>
        </w:tc>
        <w:tc>
          <w:tcPr>
            <w:tcW w:w="1820" w:type="dxa"/>
            <w:vAlign w:val="bottom"/>
            <w:tcBorders>
              <w:right w:val="single" w:sz="8" w:color="auto"/>
            </w:tcBorders>
          </w:tcPr>
          <w:p>
            <w:pPr>
              <w:jc w:val="right"/>
              <w:ind w:right="568"/>
              <w:spacing w:after="0"/>
              <w:rPr>
                <w:sz w:val="20"/>
                <w:szCs w:val="20"/>
                <w:color w:val="auto"/>
              </w:rPr>
            </w:pPr>
            <w:r>
              <w:rPr>
                <w:rFonts w:ascii="Arial" w:cs="Arial" w:eastAsia="Arial" w:hAnsi="Arial"/>
                <w:sz w:val="14"/>
                <w:szCs w:val="14"/>
                <w:color w:val="auto"/>
              </w:rPr>
              <w:t>3,312,200</w:t>
            </w:r>
          </w:p>
        </w:tc>
        <w:tc>
          <w:tcPr>
            <w:tcW w:w="1800" w:type="dxa"/>
            <w:vAlign w:val="bottom"/>
            <w:tcBorders>
              <w:right w:val="single" w:sz="8" w:color="auto"/>
            </w:tcBorders>
          </w:tcPr>
          <w:p>
            <w:pPr>
              <w:jc w:val="right"/>
              <w:ind w:right="648"/>
              <w:spacing w:after="0"/>
              <w:rPr>
                <w:sz w:val="20"/>
                <w:szCs w:val="20"/>
                <w:color w:val="auto"/>
              </w:rPr>
            </w:pPr>
            <w:r>
              <w:rPr>
                <w:rFonts w:ascii="Arial" w:cs="Arial" w:eastAsia="Arial" w:hAnsi="Arial"/>
                <w:sz w:val="14"/>
                <w:szCs w:val="14"/>
                <w:color w:val="auto"/>
              </w:rPr>
              <w:t>11,880</w:t>
            </w:r>
          </w:p>
        </w:tc>
        <w:tc>
          <w:tcPr>
            <w:tcW w:w="1800" w:type="dxa"/>
            <w:vAlign w:val="bottom"/>
          </w:tcPr>
          <w:p>
            <w:pPr>
              <w:jc w:val="right"/>
              <w:ind w:right="548"/>
              <w:spacing w:after="0"/>
              <w:rPr>
                <w:sz w:val="20"/>
                <w:szCs w:val="20"/>
                <w:color w:val="auto"/>
              </w:rPr>
            </w:pPr>
            <w:r>
              <w:rPr>
                <w:rFonts w:ascii="Arial" w:cs="Arial" w:eastAsia="Arial" w:hAnsi="Arial"/>
                <w:sz w:val="14"/>
                <w:szCs w:val="14"/>
                <w:color w:val="auto"/>
              </w:rPr>
              <w:t>1,184,555</w:t>
            </w:r>
          </w:p>
        </w:tc>
        <w:tc>
          <w:tcPr>
            <w:tcW w:w="20" w:type="dxa"/>
            <w:vAlign w:val="bottom"/>
          </w:tcPr>
          <w:p>
            <w:pPr>
              <w:spacing w:after="0"/>
              <w:rPr>
                <w:sz w:val="19"/>
                <w:szCs w:val="19"/>
                <w:color w:val="auto"/>
              </w:rPr>
            </w:pPr>
          </w:p>
        </w:tc>
      </w:tr>
      <w:tr>
        <w:trPr>
          <w:trHeight w:val="53"/>
        </w:trPr>
        <w:tc>
          <w:tcPr>
            <w:tcW w:w="1840" w:type="dxa"/>
            <w:vAlign w:val="bottom"/>
            <w:tcBorders>
              <w:left w:val="single" w:sz="8" w:color="auto"/>
              <w:bottom w:val="single" w:sz="8" w:color="auto"/>
              <w:right w:val="single" w:sz="8" w:color="auto"/>
            </w:tcBorders>
          </w:tcPr>
          <w:p>
            <w:pPr>
              <w:spacing w:after="0"/>
              <w:rPr>
                <w:sz w:val="4"/>
                <w:szCs w:val="4"/>
                <w:color w:val="auto"/>
              </w:rPr>
            </w:pPr>
          </w:p>
        </w:tc>
        <w:tc>
          <w:tcPr>
            <w:tcW w:w="180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1800" w:type="dxa"/>
            <w:vAlign w:val="bottom"/>
            <w:tcBorders>
              <w:bottom w:val="single" w:sz="8" w:color="auto"/>
              <w:right w:val="single" w:sz="8" w:color="auto"/>
            </w:tcBorders>
          </w:tcPr>
          <w:p>
            <w:pPr>
              <w:spacing w:after="0"/>
              <w:rPr>
                <w:sz w:val="4"/>
                <w:szCs w:val="4"/>
                <w:color w:val="auto"/>
              </w:rPr>
            </w:pPr>
          </w:p>
        </w:tc>
        <w:tc>
          <w:tcPr>
            <w:tcW w:w="18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224"/>
        </w:trPr>
        <w:tc>
          <w:tcPr>
            <w:tcW w:w="18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Joseph E. (Jeff) Consolino</w:t>
            </w:r>
          </w:p>
        </w:tc>
        <w:tc>
          <w:tcPr>
            <w:tcW w:w="1800" w:type="dxa"/>
            <w:vAlign w:val="bottom"/>
            <w:tcBorders>
              <w:right w:val="single" w:sz="8" w:color="auto"/>
            </w:tcBorders>
          </w:tcPr>
          <w:p>
            <w:pPr>
              <w:jc w:val="right"/>
              <w:ind w:right="648"/>
              <w:spacing w:after="0"/>
              <w:rPr>
                <w:sz w:val="20"/>
                <w:szCs w:val="20"/>
                <w:color w:val="auto"/>
              </w:rPr>
            </w:pPr>
            <w:r>
              <w:rPr>
                <w:rFonts w:ascii="Arial" w:cs="Arial" w:eastAsia="Arial" w:hAnsi="Arial"/>
                <w:sz w:val="14"/>
                <w:szCs w:val="14"/>
                <w:color w:val="auto"/>
              </w:rPr>
              <w:t>10,000</w:t>
            </w:r>
          </w:p>
        </w:tc>
        <w:tc>
          <w:tcPr>
            <w:tcW w:w="1820" w:type="dxa"/>
            <w:vAlign w:val="bottom"/>
            <w:tcBorders>
              <w:right w:val="single" w:sz="8" w:color="auto"/>
            </w:tcBorders>
          </w:tcPr>
          <w:p>
            <w:pPr>
              <w:jc w:val="right"/>
              <w:ind w:right="568"/>
              <w:spacing w:after="0"/>
              <w:rPr>
                <w:sz w:val="20"/>
                <w:szCs w:val="20"/>
                <w:color w:val="auto"/>
              </w:rPr>
            </w:pPr>
            <w:r>
              <w:rPr>
                <w:rFonts w:ascii="Arial" w:cs="Arial" w:eastAsia="Arial" w:hAnsi="Arial"/>
                <w:sz w:val="14"/>
                <w:szCs w:val="14"/>
                <w:color w:val="auto"/>
              </w:rPr>
              <w:t>422,150</w:t>
            </w:r>
          </w:p>
        </w:tc>
        <w:tc>
          <w:tcPr>
            <w:tcW w:w="1800" w:type="dxa"/>
            <w:vAlign w:val="bottom"/>
            <w:tcBorders>
              <w:right w:val="single" w:sz="8" w:color="auto"/>
            </w:tcBorders>
          </w:tcPr>
          <w:p>
            <w:pPr>
              <w:jc w:val="right"/>
              <w:ind w:right="668"/>
              <w:spacing w:after="0"/>
              <w:rPr>
                <w:sz w:val="20"/>
                <w:szCs w:val="20"/>
                <w:color w:val="auto"/>
              </w:rPr>
            </w:pPr>
            <w:r>
              <w:rPr>
                <w:rFonts w:ascii="Arial" w:cs="Arial" w:eastAsia="Arial" w:hAnsi="Arial"/>
                <w:sz w:val="14"/>
                <w:szCs w:val="14"/>
                <w:color w:val="auto"/>
              </w:rPr>
              <w:t>5,940</w:t>
            </w:r>
          </w:p>
        </w:tc>
        <w:tc>
          <w:tcPr>
            <w:tcW w:w="1800" w:type="dxa"/>
            <w:vAlign w:val="bottom"/>
          </w:tcPr>
          <w:p>
            <w:pPr>
              <w:jc w:val="right"/>
              <w:ind w:right="548"/>
              <w:spacing w:after="0"/>
              <w:rPr>
                <w:sz w:val="20"/>
                <w:szCs w:val="20"/>
                <w:color w:val="auto"/>
              </w:rPr>
            </w:pPr>
            <w:r>
              <w:rPr>
                <w:rFonts w:ascii="Arial" w:cs="Arial" w:eastAsia="Arial" w:hAnsi="Arial"/>
                <w:sz w:val="14"/>
                <w:szCs w:val="14"/>
                <w:color w:val="auto"/>
              </w:rPr>
              <w:t>592,277</w:t>
            </w:r>
          </w:p>
        </w:tc>
        <w:tc>
          <w:tcPr>
            <w:tcW w:w="20" w:type="dxa"/>
            <w:vAlign w:val="bottom"/>
          </w:tcPr>
          <w:p>
            <w:pPr>
              <w:spacing w:after="0"/>
              <w:rPr>
                <w:sz w:val="19"/>
                <w:szCs w:val="19"/>
                <w:color w:val="auto"/>
              </w:rPr>
            </w:pPr>
          </w:p>
        </w:tc>
      </w:tr>
      <w:tr>
        <w:trPr>
          <w:trHeight w:val="53"/>
        </w:trPr>
        <w:tc>
          <w:tcPr>
            <w:tcW w:w="1840" w:type="dxa"/>
            <w:vAlign w:val="bottom"/>
            <w:tcBorders>
              <w:left w:val="single" w:sz="8" w:color="auto"/>
              <w:bottom w:val="single" w:sz="8" w:color="auto"/>
              <w:right w:val="single" w:sz="8" w:color="auto"/>
            </w:tcBorders>
          </w:tcPr>
          <w:p>
            <w:pPr>
              <w:spacing w:after="0"/>
              <w:rPr>
                <w:sz w:val="4"/>
                <w:szCs w:val="4"/>
                <w:color w:val="auto"/>
              </w:rPr>
            </w:pPr>
          </w:p>
        </w:tc>
        <w:tc>
          <w:tcPr>
            <w:tcW w:w="180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1800" w:type="dxa"/>
            <w:vAlign w:val="bottom"/>
            <w:tcBorders>
              <w:bottom w:val="single" w:sz="8" w:color="auto"/>
              <w:right w:val="single" w:sz="8" w:color="auto"/>
            </w:tcBorders>
          </w:tcPr>
          <w:p>
            <w:pPr>
              <w:spacing w:after="0"/>
              <w:rPr>
                <w:sz w:val="4"/>
                <w:szCs w:val="4"/>
                <w:color w:val="auto"/>
              </w:rPr>
            </w:pPr>
          </w:p>
        </w:tc>
        <w:tc>
          <w:tcPr>
            <w:tcW w:w="18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224"/>
        </w:trPr>
        <w:tc>
          <w:tcPr>
            <w:tcW w:w="18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John B. Berding</w:t>
            </w:r>
          </w:p>
        </w:tc>
        <w:tc>
          <w:tcPr>
            <w:tcW w:w="1800" w:type="dxa"/>
            <w:vAlign w:val="bottom"/>
            <w:tcBorders>
              <w:right w:val="single" w:sz="8" w:color="auto"/>
            </w:tcBorders>
          </w:tcPr>
          <w:p>
            <w:pPr>
              <w:jc w:val="right"/>
              <w:ind w:right="648"/>
              <w:spacing w:after="0"/>
              <w:rPr>
                <w:sz w:val="20"/>
                <w:szCs w:val="20"/>
                <w:color w:val="auto"/>
              </w:rPr>
            </w:pPr>
            <w:r>
              <w:rPr>
                <w:rFonts w:ascii="Arial" w:cs="Arial" w:eastAsia="Arial" w:hAnsi="Arial"/>
                <w:sz w:val="14"/>
                <w:szCs w:val="14"/>
                <w:color w:val="auto"/>
              </w:rPr>
              <w:t>31,254</w:t>
            </w:r>
          </w:p>
        </w:tc>
        <w:tc>
          <w:tcPr>
            <w:tcW w:w="1820" w:type="dxa"/>
            <w:vAlign w:val="bottom"/>
            <w:tcBorders>
              <w:right w:val="single" w:sz="8" w:color="auto"/>
            </w:tcBorders>
          </w:tcPr>
          <w:p>
            <w:pPr>
              <w:jc w:val="right"/>
              <w:ind w:right="568"/>
              <w:spacing w:after="0"/>
              <w:rPr>
                <w:sz w:val="20"/>
                <w:szCs w:val="20"/>
                <w:color w:val="auto"/>
              </w:rPr>
            </w:pPr>
            <w:r>
              <w:rPr>
                <w:rFonts w:ascii="Arial" w:cs="Arial" w:eastAsia="Arial" w:hAnsi="Arial"/>
                <w:sz w:val="14"/>
                <w:szCs w:val="14"/>
                <w:color w:val="auto"/>
              </w:rPr>
              <w:t>2,054,489</w:t>
            </w:r>
          </w:p>
        </w:tc>
        <w:tc>
          <w:tcPr>
            <w:tcW w:w="1800" w:type="dxa"/>
            <w:vAlign w:val="bottom"/>
            <w:tcBorders>
              <w:right w:val="single" w:sz="8" w:color="auto"/>
            </w:tcBorders>
          </w:tcPr>
          <w:p>
            <w:pPr>
              <w:jc w:val="right"/>
              <w:ind w:right="668"/>
              <w:spacing w:after="0"/>
              <w:rPr>
                <w:sz w:val="20"/>
                <w:szCs w:val="20"/>
                <w:color w:val="auto"/>
              </w:rPr>
            </w:pPr>
            <w:r>
              <w:rPr>
                <w:rFonts w:ascii="Arial" w:cs="Arial" w:eastAsia="Arial" w:hAnsi="Arial"/>
                <w:sz w:val="14"/>
                <w:szCs w:val="14"/>
                <w:color w:val="auto"/>
              </w:rPr>
              <w:t>7,130</w:t>
            </w:r>
          </w:p>
        </w:tc>
        <w:tc>
          <w:tcPr>
            <w:tcW w:w="1800" w:type="dxa"/>
            <w:vAlign w:val="bottom"/>
          </w:tcPr>
          <w:p>
            <w:pPr>
              <w:jc w:val="right"/>
              <w:ind w:right="548"/>
              <w:spacing w:after="0"/>
              <w:rPr>
                <w:sz w:val="20"/>
                <w:szCs w:val="20"/>
                <w:color w:val="auto"/>
              </w:rPr>
            </w:pPr>
            <w:r>
              <w:rPr>
                <w:rFonts w:ascii="Arial" w:cs="Arial" w:eastAsia="Arial" w:hAnsi="Arial"/>
                <w:sz w:val="14"/>
                <w:szCs w:val="14"/>
                <w:color w:val="auto"/>
              </w:rPr>
              <w:t>710,932</w:t>
            </w:r>
          </w:p>
        </w:tc>
        <w:tc>
          <w:tcPr>
            <w:tcW w:w="20" w:type="dxa"/>
            <w:vAlign w:val="bottom"/>
          </w:tcPr>
          <w:p>
            <w:pPr>
              <w:spacing w:after="0"/>
              <w:rPr>
                <w:sz w:val="19"/>
                <w:szCs w:val="19"/>
                <w:color w:val="auto"/>
              </w:rPr>
            </w:pPr>
          </w:p>
        </w:tc>
      </w:tr>
      <w:tr>
        <w:trPr>
          <w:trHeight w:val="53"/>
        </w:trPr>
        <w:tc>
          <w:tcPr>
            <w:tcW w:w="1840" w:type="dxa"/>
            <w:vAlign w:val="bottom"/>
            <w:tcBorders>
              <w:left w:val="single" w:sz="8" w:color="auto"/>
              <w:bottom w:val="single" w:sz="8" w:color="auto"/>
              <w:right w:val="single" w:sz="8" w:color="auto"/>
            </w:tcBorders>
          </w:tcPr>
          <w:p>
            <w:pPr>
              <w:spacing w:after="0"/>
              <w:rPr>
                <w:sz w:val="4"/>
                <w:szCs w:val="4"/>
                <w:color w:val="auto"/>
              </w:rPr>
            </w:pPr>
          </w:p>
        </w:tc>
        <w:tc>
          <w:tcPr>
            <w:tcW w:w="180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1800" w:type="dxa"/>
            <w:vAlign w:val="bottom"/>
            <w:tcBorders>
              <w:bottom w:val="single" w:sz="8" w:color="auto"/>
              <w:right w:val="single" w:sz="8" w:color="auto"/>
            </w:tcBorders>
          </w:tcPr>
          <w:p>
            <w:pPr>
              <w:spacing w:after="0"/>
              <w:rPr>
                <w:sz w:val="4"/>
                <w:szCs w:val="4"/>
                <w:color w:val="auto"/>
              </w:rPr>
            </w:pPr>
          </w:p>
        </w:tc>
        <w:tc>
          <w:tcPr>
            <w:tcW w:w="18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224"/>
        </w:trPr>
        <w:tc>
          <w:tcPr>
            <w:tcW w:w="18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Michelle A. Gillis</w:t>
            </w:r>
          </w:p>
        </w:tc>
        <w:tc>
          <w:tcPr>
            <w:tcW w:w="1800" w:type="dxa"/>
            <w:vAlign w:val="bottom"/>
            <w:tcBorders>
              <w:right w:val="single" w:sz="8" w:color="auto"/>
            </w:tcBorders>
          </w:tcPr>
          <w:p>
            <w:pPr>
              <w:jc w:val="right"/>
              <w:ind w:right="648"/>
              <w:spacing w:after="0"/>
              <w:rPr>
                <w:sz w:val="20"/>
                <w:szCs w:val="20"/>
                <w:color w:val="auto"/>
              </w:rPr>
            </w:pPr>
            <w:r>
              <w:rPr>
                <w:rFonts w:ascii="Arial" w:cs="Arial" w:eastAsia="Arial" w:hAnsi="Arial"/>
                <w:sz w:val="14"/>
                <w:szCs w:val="14"/>
                <w:color w:val="auto"/>
              </w:rPr>
              <w:t>4,952</w:t>
            </w:r>
          </w:p>
        </w:tc>
        <w:tc>
          <w:tcPr>
            <w:tcW w:w="1820" w:type="dxa"/>
            <w:vAlign w:val="bottom"/>
            <w:tcBorders>
              <w:right w:val="single" w:sz="8" w:color="auto"/>
            </w:tcBorders>
          </w:tcPr>
          <w:p>
            <w:pPr>
              <w:jc w:val="right"/>
              <w:ind w:right="568"/>
              <w:spacing w:after="0"/>
              <w:rPr>
                <w:sz w:val="20"/>
                <w:szCs w:val="20"/>
                <w:color w:val="auto"/>
              </w:rPr>
            </w:pPr>
            <w:r>
              <w:rPr>
                <w:rFonts w:ascii="Arial" w:cs="Arial" w:eastAsia="Arial" w:hAnsi="Arial"/>
                <w:sz w:val="14"/>
                <w:szCs w:val="14"/>
                <w:color w:val="auto"/>
              </w:rPr>
              <w:t>341,635</w:t>
            </w:r>
          </w:p>
        </w:tc>
        <w:tc>
          <w:tcPr>
            <w:tcW w:w="1800" w:type="dxa"/>
            <w:vAlign w:val="bottom"/>
            <w:tcBorders>
              <w:right w:val="single" w:sz="8" w:color="auto"/>
            </w:tcBorders>
          </w:tcPr>
          <w:p>
            <w:pPr>
              <w:jc w:val="right"/>
              <w:ind w:right="668"/>
              <w:spacing w:after="0"/>
              <w:rPr>
                <w:sz w:val="20"/>
                <w:szCs w:val="20"/>
                <w:color w:val="auto"/>
              </w:rPr>
            </w:pPr>
            <w:r>
              <w:rPr>
                <w:rFonts w:ascii="Arial" w:cs="Arial" w:eastAsia="Arial" w:hAnsi="Arial"/>
                <w:sz w:val="14"/>
                <w:szCs w:val="14"/>
                <w:color w:val="auto"/>
              </w:rPr>
              <w:t>2,380</w:t>
            </w:r>
          </w:p>
        </w:tc>
        <w:tc>
          <w:tcPr>
            <w:tcW w:w="1800" w:type="dxa"/>
            <w:vAlign w:val="bottom"/>
          </w:tcPr>
          <w:p>
            <w:pPr>
              <w:jc w:val="right"/>
              <w:ind w:right="548"/>
              <w:spacing w:after="0"/>
              <w:rPr>
                <w:sz w:val="20"/>
                <w:szCs w:val="20"/>
                <w:color w:val="auto"/>
              </w:rPr>
            </w:pPr>
            <w:r>
              <w:rPr>
                <w:rFonts w:ascii="Arial" w:cs="Arial" w:eastAsia="Arial" w:hAnsi="Arial"/>
                <w:sz w:val="14"/>
                <w:szCs w:val="14"/>
                <w:color w:val="auto"/>
              </w:rPr>
              <w:t>237,310</w:t>
            </w:r>
          </w:p>
        </w:tc>
        <w:tc>
          <w:tcPr>
            <w:tcW w:w="20" w:type="dxa"/>
            <w:vAlign w:val="bottom"/>
          </w:tcPr>
          <w:p>
            <w:pPr>
              <w:spacing w:after="0"/>
              <w:rPr>
                <w:sz w:val="19"/>
                <w:szCs w:val="19"/>
                <w:color w:val="auto"/>
              </w:rPr>
            </w:pPr>
          </w:p>
        </w:tc>
      </w:tr>
      <w:tr>
        <w:trPr>
          <w:trHeight w:val="53"/>
        </w:trPr>
        <w:tc>
          <w:tcPr>
            <w:tcW w:w="1840" w:type="dxa"/>
            <w:vAlign w:val="bottom"/>
            <w:tcBorders>
              <w:left w:val="single" w:sz="8" w:color="auto"/>
              <w:bottom w:val="single" w:sz="8" w:color="auto"/>
              <w:right w:val="single" w:sz="8" w:color="auto"/>
            </w:tcBorders>
          </w:tcPr>
          <w:p>
            <w:pPr>
              <w:spacing w:after="0"/>
              <w:rPr>
                <w:sz w:val="4"/>
                <w:szCs w:val="4"/>
                <w:color w:val="auto"/>
              </w:rPr>
            </w:pPr>
          </w:p>
        </w:tc>
        <w:tc>
          <w:tcPr>
            <w:tcW w:w="180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1800" w:type="dxa"/>
            <w:vAlign w:val="bottom"/>
            <w:tcBorders>
              <w:bottom w:val="single" w:sz="8" w:color="auto"/>
              <w:right w:val="single" w:sz="8" w:color="auto"/>
            </w:tcBorders>
          </w:tcPr>
          <w:p>
            <w:pPr>
              <w:spacing w:after="0"/>
              <w:rPr>
                <w:sz w:val="4"/>
                <w:szCs w:val="4"/>
                <w:color w:val="auto"/>
              </w:rPr>
            </w:pPr>
          </w:p>
        </w:tc>
        <w:tc>
          <w:tcPr>
            <w:tcW w:w="18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209"/>
        </w:trPr>
        <w:tc>
          <w:tcPr>
            <w:tcW w:w="18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Vito C. Peraino</w:t>
            </w:r>
          </w:p>
        </w:tc>
        <w:tc>
          <w:tcPr>
            <w:tcW w:w="1800" w:type="dxa"/>
            <w:vAlign w:val="bottom"/>
            <w:tcBorders>
              <w:bottom w:val="single" w:sz="8" w:color="auto"/>
              <w:right w:val="single" w:sz="8" w:color="auto"/>
            </w:tcBorders>
          </w:tcPr>
          <w:p>
            <w:pPr>
              <w:jc w:val="right"/>
              <w:ind w:right="648"/>
              <w:spacing w:after="0"/>
              <w:rPr>
                <w:sz w:val="20"/>
                <w:szCs w:val="20"/>
                <w:color w:val="auto"/>
              </w:rPr>
            </w:pPr>
            <w:r>
              <w:rPr>
                <w:rFonts w:ascii="Arial" w:cs="Arial" w:eastAsia="Arial" w:hAnsi="Arial"/>
                <w:sz w:val="14"/>
                <w:szCs w:val="14"/>
                <w:color w:val="auto"/>
              </w:rPr>
              <w:t>20,000</w:t>
            </w:r>
          </w:p>
        </w:tc>
        <w:tc>
          <w:tcPr>
            <w:tcW w:w="1820" w:type="dxa"/>
            <w:vAlign w:val="bottom"/>
            <w:tcBorders>
              <w:bottom w:val="single" w:sz="8" w:color="auto"/>
              <w:right w:val="single" w:sz="8" w:color="auto"/>
            </w:tcBorders>
          </w:tcPr>
          <w:p>
            <w:pPr>
              <w:jc w:val="right"/>
              <w:ind w:right="568"/>
              <w:spacing w:after="0"/>
              <w:rPr>
                <w:sz w:val="20"/>
                <w:szCs w:val="20"/>
                <w:color w:val="auto"/>
              </w:rPr>
            </w:pPr>
            <w:r>
              <w:rPr>
                <w:rFonts w:ascii="Arial" w:cs="Arial" w:eastAsia="Arial" w:hAnsi="Arial"/>
                <w:sz w:val="14"/>
                <w:szCs w:val="14"/>
                <w:color w:val="auto"/>
              </w:rPr>
              <w:t>798,051</w:t>
            </w:r>
          </w:p>
        </w:tc>
        <w:tc>
          <w:tcPr>
            <w:tcW w:w="1800" w:type="dxa"/>
            <w:vAlign w:val="bottom"/>
            <w:tcBorders>
              <w:bottom w:val="single" w:sz="8" w:color="auto"/>
              <w:right w:val="single" w:sz="8" w:color="auto"/>
            </w:tcBorders>
          </w:tcPr>
          <w:p>
            <w:pPr>
              <w:jc w:val="right"/>
              <w:ind w:right="668"/>
              <w:spacing w:after="0"/>
              <w:rPr>
                <w:sz w:val="20"/>
                <w:szCs w:val="20"/>
                <w:color w:val="auto"/>
              </w:rPr>
            </w:pPr>
            <w:r>
              <w:rPr>
                <w:rFonts w:ascii="Arial" w:cs="Arial" w:eastAsia="Arial" w:hAnsi="Arial"/>
                <w:sz w:val="14"/>
                <w:szCs w:val="14"/>
                <w:color w:val="auto"/>
              </w:rPr>
              <w:t>4,760</w:t>
            </w:r>
          </w:p>
        </w:tc>
        <w:tc>
          <w:tcPr>
            <w:tcW w:w="180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color w:val="auto"/>
              </w:rPr>
              <w:t>474,620</w:t>
            </w:r>
          </w:p>
        </w:tc>
        <w:tc>
          <w:tcPr>
            <w:tcW w:w="20" w:type="dxa"/>
            <w:vAlign w:val="bottom"/>
            <w:tcBorders>
              <w:bottom w:val="single" w:sz="8" w:color="auto"/>
            </w:tcBorders>
          </w:tcPr>
          <w:p>
            <w:pPr>
              <w:spacing w:after="0"/>
              <w:rPr>
                <w:sz w:val="18"/>
                <w:szCs w:val="18"/>
                <w:color w:val="auto"/>
              </w:rPr>
            </w:pPr>
          </w:p>
        </w:tc>
      </w:tr>
    </w:tbl>
    <w:p>
      <w:pPr>
        <w:spacing w:after="0" w:line="49" w:lineRule="exact"/>
        <w:rPr>
          <w:sz w:val="20"/>
          <w:szCs w:val="20"/>
          <w:color w:val="auto"/>
        </w:rPr>
      </w:pPr>
    </w:p>
    <w:p>
      <w:pPr>
        <w:ind w:left="1440" w:right="80" w:hanging="352"/>
        <w:spacing w:after="0" w:line="246" w:lineRule="auto"/>
        <w:tabs>
          <w:tab w:leader="none" w:pos="14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dollar value realized reflects the difference between the closing price of the Company common shares on the date of exercise and the stock option exercise price.</w:t>
      </w:r>
    </w:p>
    <w:p>
      <w:pPr>
        <w:ind w:left="1440" w:right="120" w:hanging="352"/>
        <w:spacing w:after="0" w:line="243" w:lineRule="auto"/>
        <w:tabs>
          <w:tab w:leader="none" w:pos="14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dollar value realized reflects the market value of the vested shares based on the closing price of the Company common shares on the vesting date or, if not a business day, the next preceding business day.</w:t>
      </w:r>
    </w:p>
    <w:p>
      <w:pPr>
        <w:spacing w:after="0" w:line="190" w:lineRule="exact"/>
        <w:rPr>
          <w:sz w:val="20"/>
          <w:szCs w:val="20"/>
          <w:color w:val="auto"/>
        </w:rPr>
      </w:pPr>
    </w:p>
    <w:p>
      <w:pPr>
        <w:ind w:left="1080"/>
        <w:spacing w:after="0"/>
        <w:rPr>
          <w:sz w:val="20"/>
          <w:szCs w:val="20"/>
          <w:color w:val="auto"/>
        </w:rPr>
      </w:pPr>
      <w:r>
        <w:rPr>
          <w:rFonts w:ascii="Arial" w:cs="Arial" w:eastAsia="Arial" w:hAnsi="Arial"/>
          <w:sz w:val="20"/>
          <w:szCs w:val="20"/>
          <w:b w:val="1"/>
          <w:bCs w:val="1"/>
          <w:color w:val="3F3F3F"/>
        </w:rPr>
        <w:t>Nonqualified Defined Contribution and Other Nonqualified Deferred Compensation Plans</w:t>
      </w:r>
    </w:p>
    <w:p>
      <w:pPr>
        <w:spacing w:after="0" w:line="116" w:lineRule="exact"/>
        <w:rPr>
          <w:sz w:val="20"/>
          <w:szCs w:val="20"/>
          <w:color w:val="auto"/>
        </w:rPr>
      </w:pPr>
    </w:p>
    <w:p>
      <w:pPr>
        <w:ind w:left="1080" w:right="20"/>
        <w:spacing w:after="0" w:line="257" w:lineRule="auto"/>
        <w:rPr>
          <w:sz w:val="20"/>
          <w:szCs w:val="20"/>
          <w:color w:val="auto"/>
        </w:rPr>
      </w:pPr>
      <w:r>
        <w:rPr>
          <w:rFonts w:ascii="Arial" w:cs="Arial" w:eastAsia="Arial" w:hAnsi="Arial"/>
          <w:sz w:val="18"/>
          <w:szCs w:val="18"/>
          <w:color w:val="auto"/>
        </w:rPr>
        <w:t>The Company provides retirement benefits to named executive officers through a combination of qualified (under the Internal Revenue Code) and nonqualified plans. AFG makes available to certain employees, including its named executive officers, benefits in its Nonqualified Auxiliary RASP (“Auxiliary RASP”). The purpose of the Auxiliary RASP is to enable employees whose contributions are limited by IRS regulations in the retirement contribution portion of the AFG Retirement and Savings Plan (“RASP”) to have an additional benefit to the RASP.</w:t>
      </w:r>
    </w:p>
    <w:p>
      <w:pPr>
        <w:spacing w:after="0" w:line="80" w:lineRule="exact"/>
        <w:rPr>
          <w:sz w:val="20"/>
          <w:szCs w:val="20"/>
          <w:color w:val="auto"/>
        </w:rPr>
      </w:pPr>
    </w:p>
    <w:p>
      <w:pPr>
        <w:ind w:left="1080" w:right="140"/>
        <w:spacing w:after="0" w:line="301" w:lineRule="auto"/>
        <w:rPr>
          <w:sz w:val="20"/>
          <w:szCs w:val="20"/>
          <w:color w:val="auto"/>
        </w:rPr>
      </w:pPr>
      <w:r>
        <w:rPr>
          <w:rFonts w:ascii="Arial" w:cs="Arial" w:eastAsia="Arial" w:hAnsi="Arial"/>
          <w:sz w:val="16"/>
          <w:szCs w:val="16"/>
          <w:color w:val="auto"/>
        </w:rPr>
        <w:t>The Company also maintains a Deferred Compensation Plan pursuant to which certain key employees of AFG and its subsidiaries may defer up to 80% of their annual salary and/or bonus. The deferral term of either a fixed number of years or upon termination of employment must be elected at the time of deferral. Under the plan, no federal or state income taxes are paid on deferred compensation. Rather, such taxes will be due upon receipt at the end of the deferral period.</w:t>
      </w:r>
    </w:p>
    <w:p>
      <w:pPr>
        <w:spacing w:after="0" w:line="49" w:lineRule="exact"/>
        <w:rPr>
          <w:sz w:val="20"/>
          <w:szCs w:val="20"/>
          <w:color w:val="auto"/>
        </w:rPr>
      </w:pPr>
    </w:p>
    <w:p>
      <w:pPr>
        <w:ind w:left="1080" w:right="340"/>
        <w:spacing w:after="0" w:line="277" w:lineRule="auto"/>
        <w:rPr>
          <w:sz w:val="20"/>
          <w:szCs w:val="20"/>
          <w:color w:val="auto"/>
        </w:rPr>
      </w:pPr>
      <w:r>
        <w:rPr>
          <w:rFonts w:ascii="Arial" w:cs="Arial" w:eastAsia="Arial" w:hAnsi="Arial"/>
          <w:sz w:val="18"/>
          <w:szCs w:val="18"/>
          <w:color w:val="auto"/>
        </w:rPr>
        <w:t>The table below discloses information on the nonqualified deferred compensation of the named executives in 2018-2019, including the Auxiliary RASP for the 2019 plan year and the Deferred Compensation Plan.</w:t>
      </w:r>
    </w:p>
    <w:p>
      <w:pPr>
        <w:spacing w:after="0" w:line="151" w:lineRule="exact"/>
        <w:rPr>
          <w:sz w:val="20"/>
          <w:szCs w:val="20"/>
          <w:color w:val="auto"/>
        </w:rPr>
      </w:pPr>
    </w:p>
    <w:tbl>
      <w:tblPr>
        <w:tblLayout w:type="fixed"/>
        <w:tblInd w:w="1090" w:type="dxa"/>
        <w:tblCellMar>
          <w:top w:w="0" w:type="dxa"/>
          <w:left w:w="0" w:type="dxa"/>
          <w:bottom w:w="0" w:type="dxa"/>
          <w:right w:w="0" w:type="dxa"/>
        </w:tblCellMar>
      </w:tblPr>
      <w:tr>
        <w:trPr>
          <w:trHeight w:val="247"/>
        </w:trPr>
        <w:tc>
          <w:tcPr>
            <w:tcW w:w="1900" w:type="dxa"/>
            <w:vAlign w:val="bottom"/>
            <w:tcBorders>
              <w:top w:val="single" w:sz="8" w:color="auto"/>
              <w:left w:val="single" w:sz="8" w:color="auto"/>
              <w:right w:val="single" w:sz="8" w:color="auto"/>
            </w:tcBorders>
            <w:shd w:val="clear" w:color="auto" w:fill="BFBFBF"/>
          </w:tcPr>
          <w:p>
            <w:pPr>
              <w:spacing w:after="0"/>
              <w:rPr>
                <w:sz w:val="21"/>
                <w:szCs w:val="21"/>
                <w:color w:val="auto"/>
              </w:rPr>
            </w:pPr>
          </w:p>
        </w:tc>
        <w:tc>
          <w:tcPr>
            <w:tcW w:w="1440" w:type="dxa"/>
            <w:vAlign w:val="bottom"/>
            <w:tcBorders>
              <w:top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14"/>
                <w:szCs w:val="14"/>
                <w:b w:val="1"/>
                <w:bCs w:val="1"/>
                <w:color w:val="auto"/>
                <w:w w:val="91"/>
              </w:rPr>
              <w:t>Executive</w:t>
            </w:r>
          </w:p>
        </w:tc>
        <w:tc>
          <w:tcPr>
            <w:tcW w:w="1440" w:type="dxa"/>
            <w:vAlign w:val="bottom"/>
            <w:tcBorders>
              <w:top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14"/>
                <w:szCs w:val="14"/>
                <w:b w:val="1"/>
                <w:bCs w:val="1"/>
                <w:color w:val="auto"/>
                <w:w w:val="92"/>
              </w:rPr>
              <w:t>Registrant</w:t>
            </w:r>
          </w:p>
        </w:tc>
        <w:tc>
          <w:tcPr>
            <w:tcW w:w="1440" w:type="dxa"/>
            <w:vAlign w:val="bottom"/>
            <w:tcBorders>
              <w:top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14"/>
                <w:szCs w:val="14"/>
                <w:b w:val="1"/>
                <w:bCs w:val="1"/>
                <w:color w:val="auto"/>
                <w:w w:val="91"/>
              </w:rPr>
              <w:t>Aggregate earnings</w:t>
            </w:r>
          </w:p>
        </w:tc>
        <w:tc>
          <w:tcPr>
            <w:tcW w:w="1420" w:type="dxa"/>
            <w:vAlign w:val="bottom"/>
            <w:tcBorders>
              <w:top w:val="single" w:sz="8" w:color="auto"/>
              <w:right w:val="single" w:sz="8" w:color="auto"/>
            </w:tcBorders>
            <w:shd w:val="clear" w:color="auto" w:fill="BFBFBF"/>
          </w:tcPr>
          <w:p>
            <w:pPr>
              <w:ind w:left="360"/>
              <w:spacing w:after="0"/>
              <w:rPr>
                <w:sz w:val="20"/>
                <w:szCs w:val="20"/>
                <w:color w:val="auto"/>
              </w:rPr>
            </w:pPr>
            <w:r>
              <w:rPr>
                <w:rFonts w:ascii="Arial" w:cs="Arial" w:eastAsia="Arial" w:hAnsi="Arial"/>
                <w:sz w:val="14"/>
                <w:szCs w:val="14"/>
                <w:b w:val="1"/>
                <w:bCs w:val="1"/>
                <w:color w:val="auto"/>
              </w:rPr>
              <w:t>Aggregate</w:t>
            </w:r>
          </w:p>
        </w:tc>
        <w:tc>
          <w:tcPr>
            <w:tcW w:w="1440" w:type="dxa"/>
            <w:vAlign w:val="bottom"/>
            <w:tcBorders>
              <w:top w:val="single" w:sz="8" w:color="auto"/>
              <w:right w:val="single" w:sz="8" w:color="auto"/>
            </w:tcBorders>
            <w:vMerge w:val="restart"/>
            <w:shd w:val="clear" w:color="auto" w:fill="BFBFBF"/>
          </w:tcPr>
          <w:p>
            <w:pPr>
              <w:jc w:val="right"/>
              <w:spacing w:after="0"/>
              <w:rPr>
                <w:sz w:val="20"/>
                <w:szCs w:val="20"/>
                <w:color w:val="auto"/>
              </w:rPr>
            </w:pPr>
            <w:r>
              <w:rPr>
                <w:rFonts w:ascii="Arial" w:cs="Arial" w:eastAsia="Arial" w:hAnsi="Arial"/>
                <w:sz w:val="14"/>
                <w:szCs w:val="14"/>
                <w:b w:val="1"/>
                <w:bCs w:val="1"/>
                <w:color w:val="auto"/>
                <w:w w:val="92"/>
              </w:rPr>
              <w:t>Aggregate balances at</w:t>
            </w:r>
          </w:p>
        </w:tc>
        <w:tc>
          <w:tcPr>
            <w:tcW w:w="0" w:type="dxa"/>
            <w:vAlign w:val="bottom"/>
          </w:tcPr>
          <w:p>
            <w:pPr>
              <w:spacing w:after="0"/>
              <w:rPr>
                <w:sz w:val="1"/>
                <w:szCs w:val="1"/>
                <w:color w:val="auto"/>
              </w:rPr>
            </w:pPr>
          </w:p>
        </w:tc>
      </w:tr>
      <w:tr>
        <w:trPr>
          <w:trHeight w:val="148"/>
        </w:trPr>
        <w:tc>
          <w:tcPr>
            <w:tcW w:w="1900" w:type="dxa"/>
            <w:vAlign w:val="bottom"/>
            <w:tcBorders>
              <w:left w:val="single" w:sz="8" w:color="auto"/>
              <w:right w:val="single" w:sz="8" w:color="auto"/>
            </w:tcBorders>
            <w:vMerge w:val="restart"/>
            <w:shd w:val="clear" w:color="auto" w:fill="BFBFBF"/>
          </w:tcPr>
          <w:p>
            <w:pPr>
              <w:ind w:left="760"/>
              <w:spacing w:after="0"/>
              <w:rPr>
                <w:sz w:val="20"/>
                <w:szCs w:val="20"/>
                <w:color w:val="auto"/>
              </w:rPr>
            </w:pPr>
            <w:r>
              <w:rPr>
                <w:rFonts w:ascii="Arial" w:cs="Arial" w:eastAsia="Arial" w:hAnsi="Arial"/>
                <w:sz w:val="14"/>
                <w:szCs w:val="14"/>
                <w:b w:val="1"/>
                <w:bCs w:val="1"/>
                <w:color w:val="auto"/>
              </w:rPr>
              <w:t>Name</w:t>
            </w:r>
          </w:p>
        </w:tc>
        <w:tc>
          <w:tcPr>
            <w:tcW w:w="1440" w:type="dxa"/>
            <w:vAlign w:val="bottom"/>
            <w:tcBorders>
              <w:right w:val="single" w:sz="8" w:color="auto"/>
            </w:tcBorders>
            <w:shd w:val="clear" w:color="auto" w:fill="BFBFBF"/>
          </w:tcPr>
          <w:p>
            <w:pPr>
              <w:jc w:val="center"/>
              <w:spacing w:after="0" w:line="149" w:lineRule="exact"/>
              <w:rPr>
                <w:sz w:val="20"/>
                <w:szCs w:val="20"/>
                <w:color w:val="auto"/>
              </w:rPr>
            </w:pPr>
            <w:r>
              <w:rPr>
                <w:rFonts w:ascii="Arial" w:cs="Arial" w:eastAsia="Arial" w:hAnsi="Arial"/>
                <w:sz w:val="14"/>
                <w:szCs w:val="14"/>
                <w:b w:val="1"/>
                <w:bCs w:val="1"/>
                <w:color w:val="auto"/>
                <w:w w:val="92"/>
              </w:rPr>
              <w:t>contributions in last</w:t>
            </w:r>
          </w:p>
        </w:tc>
        <w:tc>
          <w:tcPr>
            <w:tcW w:w="1440" w:type="dxa"/>
            <w:vAlign w:val="bottom"/>
            <w:tcBorders>
              <w:right w:val="single" w:sz="8" w:color="auto"/>
            </w:tcBorders>
            <w:shd w:val="clear" w:color="auto" w:fill="BFBFBF"/>
          </w:tcPr>
          <w:p>
            <w:pPr>
              <w:jc w:val="center"/>
              <w:spacing w:after="0" w:line="149" w:lineRule="exact"/>
              <w:rPr>
                <w:sz w:val="20"/>
                <w:szCs w:val="20"/>
                <w:color w:val="auto"/>
              </w:rPr>
            </w:pPr>
            <w:r>
              <w:rPr>
                <w:rFonts w:ascii="Arial" w:cs="Arial" w:eastAsia="Arial" w:hAnsi="Arial"/>
                <w:sz w:val="14"/>
                <w:szCs w:val="14"/>
                <w:b w:val="1"/>
                <w:bCs w:val="1"/>
                <w:color w:val="auto"/>
                <w:w w:val="92"/>
              </w:rPr>
              <w:t>contributions in last</w:t>
            </w:r>
          </w:p>
        </w:tc>
        <w:tc>
          <w:tcPr>
            <w:tcW w:w="1440" w:type="dxa"/>
            <w:vAlign w:val="bottom"/>
            <w:tcBorders>
              <w:right w:val="single" w:sz="8" w:color="auto"/>
            </w:tcBorders>
            <w:shd w:val="clear" w:color="auto" w:fill="BFBFBF"/>
          </w:tcPr>
          <w:p>
            <w:pPr>
              <w:jc w:val="center"/>
              <w:spacing w:after="0" w:line="149" w:lineRule="exact"/>
              <w:rPr>
                <w:sz w:val="20"/>
                <w:szCs w:val="20"/>
                <w:color w:val="auto"/>
              </w:rPr>
            </w:pPr>
            <w:r>
              <w:rPr>
                <w:rFonts w:ascii="Arial" w:cs="Arial" w:eastAsia="Arial" w:hAnsi="Arial"/>
                <w:sz w:val="14"/>
                <w:szCs w:val="14"/>
                <w:b w:val="1"/>
                <w:bCs w:val="1"/>
                <w:color w:val="auto"/>
                <w:w w:val="92"/>
              </w:rPr>
              <w:t>(loss) in last FY($)</w:t>
            </w:r>
          </w:p>
        </w:tc>
        <w:tc>
          <w:tcPr>
            <w:tcW w:w="1420" w:type="dxa"/>
            <w:vAlign w:val="bottom"/>
            <w:tcBorders>
              <w:right w:val="single" w:sz="8" w:color="auto"/>
            </w:tcBorders>
            <w:shd w:val="clear" w:color="auto" w:fill="BFBFBF"/>
          </w:tcPr>
          <w:p>
            <w:pPr>
              <w:jc w:val="center"/>
              <w:spacing w:after="0" w:line="149" w:lineRule="exact"/>
              <w:rPr>
                <w:sz w:val="20"/>
                <w:szCs w:val="20"/>
                <w:color w:val="auto"/>
              </w:rPr>
            </w:pPr>
            <w:r>
              <w:rPr>
                <w:rFonts w:ascii="Arial" w:cs="Arial" w:eastAsia="Arial" w:hAnsi="Arial"/>
                <w:sz w:val="14"/>
                <w:szCs w:val="14"/>
                <w:b w:val="1"/>
                <w:bCs w:val="1"/>
                <w:color w:val="auto"/>
                <w:w w:val="95"/>
              </w:rPr>
              <w:t>withdrawals /</w:t>
            </w:r>
          </w:p>
        </w:tc>
        <w:tc>
          <w:tcPr>
            <w:tcW w:w="1440" w:type="dxa"/>
            <w:vAlign w:val="bottom"/>
            <w:tcBorders>
              <w:right w:val="single" w:sz="8" w:color="auto"/>
            </w:tcBorders>
            <w:vMerge w:val="continue"/>
            <w:shd w:val="clear" w:color="auto" w:fill="BFBFBF"/>
          </w:tcPr>
          <w:p>
            <w:pPr>
              <w:spacing w:after="0"/>
              <w:rPr>
                <w:sz w:val="12"/>
                <w:szCs w:val="12"/>
                <w:color w:val="auto"/>
              </w:rPr>
            </w:pPr>
          </w:p>
        </w:tc>
        <w:tc>
          <w:tcPr>
            <w:tcW w:w="0" w:type="dxa"/>
            <w:vAlign w:val="bottom"/>
          </w:tcPr>
          <w:p>
            <w:pPr>
              <w:spacing w:after="0"/>
              <w:rPr>
                <w:sz w:val="1"/>
                <w:szCs w:val="1"/>
                <w:color w:val="auto"/>
              </w:rPr>
            </w:pPr>
          </w:p>
        </w:tc>
      </w:tr>
      <w:tr>
        <w:trPr>
          <w:trHeight w:val="225"/>
        </w:trPr>
        <w:tc>
          <w:tcPr>
            <w:tcW w:w="1900" w:type="dxa"/>
            <w:vAlign w:val="bottom"/>
            <w:tcBorders>
              <w:left w:val="single" w:sz="8" w:color="auto"/>
              <w:bottom w:val="single" w:sz="8" w:color="BFBFBF"/>
              <w:right w:val="single" w:sz="8" w:color="auto"/>
            </w:tcBorders>
            <w:vMerge w:val="continue"/>
            <w:shd w:val="clear" w:color="auto" w:fill="BFBFBF"/>
          </w:tcPr>
          <w:p>
            <w:pPr>
              <w:spacing w:after="0"/>
              <w:rPr>
                <w:sz w:val="19"/>
                <w:szCs w:val="19"/>
                <w:color w:val="auto"/>
              </w:rPr>
            </w:pPr>
          </w:p>
        </w:tc>
        <w:tc>
          <w:tcPr>
            <w:tcW w:w="1440" w:type="dxa"/>
            <w:vAlign w:val="bottom"/>
            <w:tcBorders>
              <w:bottom w:val="single" w:sz="8" w:color="BFBFBF"/>
              <w:right w:val="single" w:sz="8" w:color="auto"/>
            </w:tcBorders>
            <w:shd w:val="clear" w:color="auto" w:fill="BFBFBF"/>
          </w:tcPr>
          <w:p>
            <w:pPr>
              <w:jc w:val="center"/>
              <w:spacing w:after="0"/>
              <w:rPr>
                <w:sz w:val="20"/>
                <w:szCs w:val="20"/>
                <w:color w:val="auto"/>
              </w:rPr>
            </w:pPr>
            <w:r>
              <w:rPr>
                <w:rFonts w:ascii="Arial" w:cs="Arial" w:eastAsia="Arial" w:hAnsi="Arial"/>
                <w:sz w:val="14"/>
                <w:szCs w:val="14"/>
                <w:b w:val="1"/>
                <w:bCs w:val="1"/>
                <w:color w:val="auto"/>
              </w:rPr>
              <w:t>FY($)</w:t>
            </w:r>
          </w:p>
        </w:tc>
        <w:tc>
          <w:tcPr>
            <w:tcW w:w="1440" w:type="dxa"/>
            <w:vAlign w:val="bottom"/>
            <w:tcBorders>
              <w:bottom w:val="single" w:sz="8" w:color="BFBFBF"/>
              <w:right w:val="single" w:sz="8" w:color="auto"/>
            </w:tcBorders>
            <w:shd w:val="clear" w:color="auto" w:fill="BFBFBF"/>
          </w:tcPr>
          <w:p>
            <w:pPr>
              <w:jc w:val="center"/>
              <w:spacing w:after="0"/>
              <w:rPr>
                <w:sz w:val="20"/>
                <w:szCs w:val="20"/>
                <w:color w:val="auto"/>
              </w:rPr>
            </w:pPr>
            <w:r>
              <w:rPr>
                <w:rFonts w:ascii="Arial" w:cs="Arial" w:eastAsia="Arial" w:hAnsi="Arial"/>
                <w:sz w:val="14"/>
                <w:szCs w:val="14"/>
                <w:b w:val="1"/>
                <w:bCs w:val="1"/>
                <w:color w:val="auto"/>
                <w:w w:val="99"/>
              </w:rPr>
              <w:t>FY($) (1)</w:t>
            </w:r>
          </w:p>
        </w:tc>
        <w:tc>
          <w:tcPr>
            <w:tcW w:w="1440" w:type="dxa"/>
            <w:vAlign w:val="bottom"/>
            <w:tcBorders>
              <w:bottom w:val="single" w:sz="8" w:color="BFBFBF"/>
              <w:right w:val="single" w:sz="8" w:color="auto"/>
            </w:tcBorders>
            <w:shd w:val="clear" w:color="auto" w:fill="BFBFBF"/>
          </w:tcPr>
          <w:p>
            <w:pPr>
              <w:jc w:val="center"/>
              <w:spacing w:after="0"/>
              <w:rPr>
                <w:sz w:val="20"/>
                <w:szCs w:val="20"/>
                <w:color w:val="auto"/>
              </w:rPr>
            </w:pPr>
            <w:r>
              <w:rPr>
                <w:rFonts w:ascii="Arial" w:cs="Arial" w:eastAsia="Arial" w:hAnsi="Arial"/>
                <w:sz w:val="14"/>
                <w:szCs w:val="14"/>
                <w:b w:val="1"/>
                <w:bCs w:val="1"/>
                <w:color w:val="auto"/>
                <w:w w:val="93"/>
              </w:rPr>
              <w:t>(2)</w:t>
            </w:r>
          </w:p>
        </w:tc>
        <w:tc>
          <w:tcPr>
            <w:tcW w:w="1420" w:type="dxa"/>
            <w:vAlign w:val="bottom"/>
            <w:tcBorders>
              <w:bottom w:val="single" w:sz="8" w:color="BFBFBF"/>
              <w:right w:val="single" w:sz="8" w:color="auto"/>
            </w:tcBorders>
            <w:shd w:val="clear" w:color="auto" w:fill="BFBFBF"/>
          </w:tcPr>
          <w:p>
            <w:pPr>
              <w:jc w:val="center"/>
              <w:spacing w:after="0"/>
              <w:rPr>
                <w:sz w:val="20"/>
                <w:szCs w:val="20"/>
                <w:color w:val="auto"/>
              </w:rPr>
            </w:pPr>
            <w:r>
              <w:rPr>
                <w:rFonts w:ascii="Arial" w:cs="Arial" w:eastAsia="Arial" w:hAnsi="Arial"/>
                <w:sz w:val="14"/>
                <w:szCs w:val="14"/>
                <w:b w:val="1"/>
                <w:bCs w:val="1"/>
                <w:color w:val="auto"/>
                <w:w w:val="92"/>
              </w:rPr>
              <w:t>distributions($)</w:t>
            </w:r>
          </w:p>
        </w:tc>
        <w:tc>
          <w:tcPr>
            <w:tcW w:w="1440" w:type="dxa"/>
            <w:vAlign w:val="bottom"/>
            <w:tcBorders>
              <w:bottom w:val="single" w:sz="8" w:color="BFBFBF"/>
              <w:right w:val="single" w:sz="8" w:color="auto"/>
            </w:tcBorders>
            <w:shd w:val="clear" w:color="auto" w:fill="BFBFBF"/>
          </w:tcPr>
          <w:p>
            <w:pPr>
              <w:jc w:val="right"/>
              <w:ind w:right="281"/>
              <w:spacing w:after="0"/>
              <w:rPr>
                <w:sz w:val="20"/>
                <w:szCs w:val="20"/>
                <w:color w:val="auto"/>
              </w:rPr>
            </w:pPr>
            <w:r>
              <w:rPr>
                <w:rFonts w:ascii="Arial" w:cs="Arial" w:eastAsia="Arial" w:hAnsi="Arial"/>
                <w:sz w:val="14"/>
                <w:szCs w:val="14"/>
                <w:b w:val="1"/>
                <w:bCs w:val="1"/>
                <w:color w:val="auto"/>
              </w:rPr>
              <w:t>last FYE($)</w:t>
            </w:r>
          </w:p>
        </w:tc>
        <w:tc>
          <w:tcPr>
            <w:tcW w:w="0" w:type="dxa"/>
            <w:vAlign w:val="bottom"/>
          </w:tcPr>
          <w:p>
            <w:pPr>
              <w:spacing w:after="0"/>
              <w:rPr>
                <w:sz w:val="1"/>
                <w:szCs w:val="1"/>
                <w:color w:val="auto"/>
              </w:rPr>
            </w:pPr>
          </w:p>
        </w:tc>
      </w:tr>
      <w:tr>
        <w:trPr>
          <w:trHeight w:val="244"/>
        </w:trPr>
        <w:tc>
          <w:tcPr>
            <w:tcW w:w="190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Carl H. Lindner III</w:t>
            </w:r>
          </w:p>
        </w:tc>
        <w:tc>
          <w:tcPr>
            <w:tcW w:w="1440" w:type="dxa"/>
            <w:vAlign w:val="bottom"/>
            <w:tcBorders>
              <w:top w:val="single" w:sz="8" w:color="auto"/>
              <w:right w:val="single" w:sz="8" w:color="auto"/>
            </w:tcBorders>
          </w:tcPr>
          <w:p>
            <w:pPr>
              <w:jc w:val="right"/>
              <w:ind w:right="382"/>
              <w:spacing w:after="0"/>
              <w:rPr>
                <w:sz w:val="20"/>
                <w:szCs w:val="20"/>
                <w:color w:val="auto"/>
              </w:rPr>
            </w:pPr>
            <w:r>
              <w:rPr>
                <w:rFonts w:ascii="Arial" w:cs="Arial" w:eastAsia="Arial" w:hAnsi="Arial"/>
                <w:sz w:val="16"/>
                <w:szCs w:val="16"/>
                <w:color w:val="auto"/>
              </w:rPr>
              <w:t>-</w:t>
            </w:r>
          </w:p>
        </w:tc>
        <w:tc>
          <w:tcPr>
            <w:tcW w:w="14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28,800</w:t>
            </w:r>
          </w:p>
        </w:tc>
        <w:tc>
          <w:tcPr>
            <w:tcW w:w="1440" w:type="dxa"/>
            <w:vAlign w:val="bottom"/>
            <w:tcBorders>
              <w:top w:val="single" w:sz="8" w:color="auto"/>
              <w:right w:val="single" w:sz="8" w:color="auto"/>
            </w:tcBorders>
          </w:tcPr>
          <w:p>
            <w:pPr>
              <w:jc w:val="right"/>
              <w:ind w:right="342"/>
              <w:spacing w:after="0"/>
              <w:rPr>
                <w:sz w:val="20"/>
                <w:szCs w:val="20"/>
                <w:color w:val="auto"/>
              </w:rPr>
            </w:pPr>
            <w:r>
              <w:rPr>
                <w:rFonts w:ascii="Arial" w:cs="Arial" w:eastAsia="Arial" w:hAnsi="Arial"/>
                <w:sz w:val="16"/>
                <w:szCs w:val="16"/>
                <w:color w:val="auto"/>
              </w:rPr>
              <w:t>984,760</w:t>
            </w:r>
          </w:p>
        </w:tc>
        <w:tc>
          <w:tcPr>
            <w:tcW w:w="14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440" w:type="dxa"/>
            <w:vAlign w:val="bottom"/>
            <w:tcBorders>
              <w:top w:val="single" w:sz="8" w:color="auto"/>
              <w:right w:val="single" w:sz="8" w:color="auto"/>
            </w:tcBorders>
          </w:tcPr>
          <w:p>
            <w:pPr>
              <w:jc w:val="right"/>
              <w:ind w:right="341"/>
              <w:spacing w:after="0"/>
              <w:rPr>
                <w:sz w:val="20"/>
                <w:szCs w:val="20"/>
                <w:color w:val="auto"/>
              </w:rPr>
            </w:pPr>
            <w:r>
              <w:rPr>
                <w:rFonts w:ascii="Arial" w:cs="Arial" w:eastAsia="Arial" w:hAnsi="Arial"/>
                <w:sz w:val="16"/>
                <w:szCs w:val="16"/>
                <w:color w:val="auto"/>
              </w:rPr>
              <w:t>4,627,246</w:t>
            </w:r>
          </w:p>
        </w:tc>
        <w:tc>
          <w:tcPr>
            <w:tcW w:w="0" w:type="dxa"/>
            <w:vAlign w:val="bottom"/>
          </w:tcPr>
          <w:p>
            <w:pPr>
              <w:spacing w:after="0"/>
              <w:rPr>
                <w:sz w:val="1"/>
                <w:szCs w:val="1"/>
                <w:color w:val="auto"/>
              </w:rPr>
            </w:pPr>
          </w:p>
        </w:tc>
      </w:tr>
      <w:tr>
        <w:trPr>
          <w:trHeight w:val="60"/>
        </w:trPr>
        <w:tc>
          <w:tcPr>
            <w:tcW w:w="1900" w:type="dxa"/>
            <w:vAlign w:val="bottom"/>
            <w:tcBorders>
              <w:left w:val="single" w:sz="8" w:color="auto"/>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42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4"/>
        </w:trPr>
        <w:tc>
          <w:tcPr>
            <w:tcW w:w="19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S. Craig Lindner</w:t>
            </w:r>
          </w:p>
        </w:tc>
        <w:tc>
          <w:tcPr>
            <w:tcW w:w="1440" w:type="dxa"/>
            <w:vAlign w:val="bottom"/>
            <w:tcBorders>
              <w:right w:val="single" w:sz="8" w:color="auto"/>
            </w:tcBorders>
          </w:tcPr>
          <w:p>
            <w:pPr>
              <w:jc w:val="right"/>
              <w:ind w:right="382"/>
              <w:spacing w:after="0"/>
              <w:rPr>
                <w:sz w:val="20"/>
                <w:szCs w:val="20"/>
                <w:color w:val="auto"/>
              </w:rPr>
            </w:pPr>
            <w:r>
              <w:rPr>
                <w:rFonts w:ascii="Arial" w:cs="Arial" w:eastAsia="Arial" w:hAnsi="Arial"/>
                <w:sz w:val="16"/>
                <w:szCs w:val="16"/>
                <w:color w:val="auto"/>
              </w:rPr>
              <w:t>-</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28,800</w:t>
            </w:r>
          </w:p>
        </w:tc>
        <w:tc>
          <w:tcPr>
            <w:tcW w:w="1440" w:type="dxa"/>
            <w:vAlign w:val="bottom"/>
            <w:tcBorders>
              <w:right w:val="single" w:sz="8" w:color="auto"/>
            </w:tcBorders>
          </w:tcPr>
          <w:p>
            <w:pPr>
              <w:jc w:val="right"/>
              <w:ind w:right="342"/>
              <w:spacing w:after="0"/>
              <w:rPr>
                <w:sz w:val="20"/>
                <w:szCs w:val="20"/>
                <w:color w:val="auto"/>
              </w:rPr>
            </w:pPr>
            <w:r>
              <w:rPr>
                <w:rFonts w:ascii="Arial" w:cs="Arial" w:eastAsia="Arial" w:hAnsi="Arial"/>
                <w:sz w:val="16"/>
                <w:szCs w:val="16"/>
                <w:color w:val="auto"/>
              </w:rPr>
              <w:t>1,164,935</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440" w:type="dxa"/>
            <w:vAlign w:val="bottom"/>
            <w:tcBorders>
              <w:right w:val="single" w:sz="8" w:color="auto"/>
            </w:tcBorders>
          </w:tcPr>
          <w:p>
            <w:pPr>
              <w:jc w:val="right"/>
              <w:ind w:right="341"/>
              <w:spacing w:after="0"/>
              <w:rPr>
                <w:sz w:val="20"/>
                <w:szCs w:val="20"/>
                <w:color w:val="auto"/>
              </w:rPr>
            </w:pPr>
            <w:r>
              <w:rPr>
                <w:rFonts w:ascii="Arial" w:cs="Arial" w:eastAsia="Arial" w:hAnsi="Arial"/>
                <w:sz w:val="16"/>
                <w:szCs w:val="16"/>
                <w:color w:val="auto"/>
              </w:rPr>
              <w:t>5,161,397</w:t>
            </w:r>
          </w:p>
        </w:tc>
        <w:tc>
          <w:tcPr>
            <w:tcW w:w="0" w:type="dxa"/>
            <w:vAlign w:val="bottom"/>
          </w:tcPr>
          <w:p>
            <w:pPr>
              <w:spacing w:after="0"/>
              <w:rPr>
                <w:sz w:val="1"/>
                <w:szCs w:val="1"/>
                <w:color w:val="auto"/>
              </w:rPr>
            </w:pPr>
          </w:p>
        </w:tc>
      </w:tr>
      <w:tr>
        <w:trPr>
          <w:trHeight w:val="60"/>
        </w:trPr>
        <w:tc>
          <w:tcPr>
            <w:tcW w:w="1900" w:type="dxa"/>
            <w:vAlign w:val="bottom"/>
            <w:tcBorders>
              <w:left w:val="single" w:sz="8" w:color="auto"/>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42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4"/>
        </w:trPr>
        <w:tc>
          <w:tcPr>
            <w:tcW w:w="19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6"/>
                <w:szCs w:val="16"/>
                <w:color w:val="auto"/>
                <w:w w:val="94"/>
              </w:rPr>
              <w:t>Joseph E. (Jeff) Consolino</w:t>
            </w:r>
          </w:p>
        </w:tc>
        <w:tc>
          <w:tcPr>
            <w:tcW w:w="1440" w:type="dxa"/>
            <w:vAlign w:val="bottom"/>
            <w:tcBorders>
              <w:right w:val="single" w:sz="8" w:color="auto"/>
            </w:tcBorders>
          </w:tcPr>
          <w:p>
            <w:pPr>
              <w:jc w:val="right"/>
              <w:ind w:right="382"/>
              <w:spacing w:after="0"/>
              <w:rPr>
                <w:sz w:val="20"/>
                <w:szCs w:val="20"/>
                <w:color w:val="auto"/>
              </w:rPr>
            </w:pPr>
            <w:r>
              <w:rPr>
                <w:rFonts w:ascii="Arial" w:cs="Arial" w:eastAsia="Arial" w:hAnsi="Arial"/>
                <w:sz w:val="16"/>
                <w:szCs w:val="16"/>
                <w:color w:val="auto"/>
              </w:rPr>
              <w:t>-</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28,800</w:t>
            </w:r>
          </w:p>
        </w:tc>
        <w:tc>
          <w:tcPr>
            <w:tcW w:w="1440" w:type="dxa"/>
            <w:vAlign w:val="bottom"/>
            <w:tcBorders>
              <w:right w:val="single" w:sz="8" w:color="auto"/>
            </w:tcBorders>
          </w:tcPr>
          <w:p>
            <w:pPr>
              <w:jc w:val="right"/>
              <w:ind w:right="342"/>
              <w:spacing w:after="0"/>
              <w:rPr>
                <w:sz w:val="20"/>
                <w:szCs w:val="20"/>
                <w:color w:val="auto"/>
              </w:rPr>
            </w:pPr>
            <w:r>
              <w:rPr>
                <w:rFonts w:ascii="Arial" w:cs="Arial" w:eastAsia="Arial" w:hAnsi="Arial"/>
                <w:sz w:val="16"/>
                <w:szCs w:val="16"/>
                <w:color w:val="auto"/>
              </w:rPr>
              <w:t>32,230</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440" w:type="dxa"/>
            <w:vAlign w:val="bottom"/>
            <w:tcBorders>
              <w:right w:val="single" w:sz="8" w:color="auto"/>
            </w:tcBorders>
          </w:tcPr>
          <w:p>
            <w:pPr>
              <w:jc w:val="right"/>
              <w:ind w:right="341"/>
              <w:spacing w:after="0"/>
              <w:rPr>
                <w:sz w:val="20"/>
                <w:szCs w:val="20"/>
                <w:color w:val="auto"/>
              </w:rPr>
            </w:pPr>
            <w:r>
              <w:rPr>
                <w:rFonts w:ascii="Arial" w:cs="Arial" w:eastAsia="Arial" w:hAnsi="Arial"/>
                <w:sz w:val="16"/>
                <w:szCs w:val="16"/>
                <w:color w:val="auto"/>
              </w:rPr>
              <w:t>226,323</w:t>
            </w:r>
          </w:p>
        </w:tc>
        <w:tc>
          <w:tcPr>
            <w:tcW w:w="0" w:type="dxa"/>
            <w:vAlign w:val="bottom"/>
          </w:tcPr>
          <w:p>
            <w:pPr>
              <w:spacing w:after="0"/>
              <w:rPr>
                <w:sz w:val="1"/>
                <w:szCs w:val="1"/>
                <w:color w:val="auto"/>
              </w:rPr>
            </w:pPr>
          </w:p>
        </w:tc>
      </w:tr>
      <w:tr>
        <w:trPr>
          <w:trHeight w:val="60"/>
        </w:trPr>
        <w:tc>
          <w:tcPr>
            <w:tcW w:w="1900" w:type="dxa"/>
            <w:vAlign w:val="bottom"/>
            <w:tcBorders>
              <w:left w:val="single" w:sz="8" w:color="auto"/>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42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4"/>
        </w:trPr>
        <w:tc>
          <w:tcPr>
            <w:tcW w:w="19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John B. Berding</w:t>
            </w:r>
          </w:p>
        </w:tc>
        <w:tc>
          <w:tcPr>
            <w:tcW w:w="1440" w:type="dxa"/>
            <w:vAlign w:val="bottom"/>
            <w:tcBorders>
              <w:right w:val="single" w:sz="8" w:color="auto"/>
            </w:tcBorders>
          </w:tcPr>
          <w:p>
            <w:pPr>
              <w:jc w:val="right"/>
              <w:ind w:right="382"/>
              <w:spacing w:after="0"/>
              <w:rPr>
                <w:sz w:val="20"/>
                <w:szCs w:val="20"/>
                <w:color w:val="auto"/>
              </w:rPr>
            </w:pPr>
            <w:r>
              <w:rPr>
                <w:rFonts w:ascii="Arial" w:cs="Arial" w:eastAsia="Arial" w:hAnsi="Arial"/>
                <w:sz w:val="16"/>
                <w:szCs w:val="16"/>
                <w:color w:val="auto"/>
              </w:rPr>
              <w:t>-</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28,800</w:t>
            </w:r>
          </w:p>
        </w:tc>
        <w:tc>
          <w:tcPr>
            <w:tcW w:w="1440" w:type="dxa"/>
            <w:vAlign w:val="bottom"/>
            <w:tcBorders>
              <w:right w:val="single" w:sz="8" w:color="auto"/>
            </w:tcBorders>
          </w:tcPr>
          <w:p>
            <w:pPr>
              <w:jc w:val="right"/>
              <w:ind w:right="342"/>
              <w:spacing w:after="0"/>
              <w:rPr>
                <w:sz w:val="20"/>
                <w:szCs w:val="20"/>
                <w:color w:val="auto"/>
              </w:rPr>
            </w:pPr>
            <w:r>
              <w:rPr>
                <w:rFonts w:ascii="Arial" w:cs="Arial" w:eastAsia="Arial" w:hAnsi="Arial"/>
                <w:sz w:val="16"/>
                <w:szCs w:val="16"/>
                <w:color w:val="auto"/>
              </w:rPr>
              <w:t>459,579</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440" w:type="dxa"/>
            <w:vAlign w:val="bottom"/>
            <w:tcBorders>
              <w:right w:val="single" w:sz="8" w:color="auto"/>
            </w:tcBorders>
          </w:tcPr>
          <w:p>
            <w:pPr>
              <w:jc w:val="right"/>
              <w:ind w:right="341"/>
              <w:spacing w:after="0"/>
              <w:rPr>
                <w:sz w:val="20"/>
                <w:szCs w:val="20"/>
                <w:color w:val="auto"/>
              </w:rPr>
            </w:pPr>
            <w:r>
              <w:rPr>
                <w:rFonts w:ascii="Arial" w:cs="Arial" w:eastAsia="Arial" w:hAnsi="Arial"/>
                <w:sz w:val="16"/>
                <w:szCs w:val="16"/>
                <w:color w:val="auto"/>
              </w:rPr>
              <w:t>2,194,379</w:t>
            </w:r>
          </w:p>
        </w:tc>
        <w:tc>
          <w:tcPr>
            <w:tcW w:w="0" w:type="dxa"/>
            <w:vAlign w:val="bottom"/>
          </w:tcPr>
          <w:p>
            <w:pPr>
              <w:spacing w:after="0"/>
              <w:rPr>
                <w:sz w:val="1"/>
                <w:szCs w:val="1"/>
                <w:color w:val="auto"/>
              </w:rPr>
            </w:pPr>
          </w:p>
        </w:tc>
      </w:tr>
      <w:tr>
        <w:trPr>
          <w:trHeight w:val="60"/>
        </w:trPr>
        <w:tc>
          <w:tcPr>
            <w:tcW w:w="1900" w:type="dxa"/>
            <w:vAlign w:val="bottom"/>
            <w:tcBorders>
              <w:left w:val="single" w:sz="8" w:color="auto"/>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42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4"/>
        </w:trPr>
        <w:tc>
          <w:tcPr>
            <w:tcW w:w="19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Michelle A. Gillis</w:t>
            </w:r>
          </w:p>
        </w:tc>
        <w:tc>
          <w:tcPr>
            <w:tcW w:w="1440" w:type="dxa"/>
            <w:vAlign w:val="bottom"/>
            <w:tcBorders>
              <w:right w:val="single" w:sz="8" w:color="auto"/>
            </w:tcBorders>
          </w:tcPr>
          <w:p>
            <w:pPr>
              <w:jc w:val="right"/>
              <w:ind w:right="382"/>
              <w:spacing w:after="0"/>
              <w:rPr>
                <w:sz w:val="20"/>
                <w:szCs w:val="20"/>
                <w:color w:val="auto"/>
              </w:rPr>
            </w:pPr>
            <w:r>
              <w:rPr>
                <w:rFonts w:ascii="Arial" w:cs="Arial" w:eastAsia="Arial" w:hAnsi="Arial"/>
                <w:sz w:val="16"/>
                <w:szCs w:val="16"/>
                <w:color w:val="auto"/>
              </w:rPr>
              <w:t>-</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16,992</w:t>
            </w:r>
          </w:p>
        </w:tc>
        <w:tc>
          <w:tcPr>
            <w:tcW w:w="1440" w:type="dxa"/>
            <w:vAlign w:val="bottom"/>
            <w:tcBorders>
              <w:right w:val="single" w:sz="8" w:color="auto"/>
            </w:tcBorders>
          </w:tcPr>
          <w:p>
            <w:pPr>
              <w:jc w:val="right"/>
              <w:ind w:right="342"/>
              <w:spacing w:after="0"/>
              <w:rPr>
                <w:sz w:val="20"/>
                <w:szCs w:val="20"/>
                <w:color w:val="auto"/>
              </w:rPr>
            </w:pPr>
            <w:r>
              <w:rPr>
                <w:rFonts w:ascii="Arial" w:cs="Arial" w:eastAsia="Arial" w:hAnsi="Arial"/>
                <w:sz w:val="16"/>
                <w:szCs w:val="16"/>
                <w:color w:val="auto"/>
              </w:rPr>
              <w:t>20,813</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440" w:type="dxa"/>
            <w:vAlign w:val="bottom"/>
            <w:tcBorders>
              <w:right w:val="single" w:sz="8" w:color="auto"/>
            </w:tcBorders>
          </w:tcPr>
          <w:p>
            <w:pPr>
              <w:jc w:val="right"/>
              <w:ind w:right="341"/>
              <w:spacing w:after="0"/>
              <w:rPr>
                <w:sz w:val="20"/>
                <w:szCs w:val="20"/>
                <w:color w:val="auto"/>
              </w:rPr>
            </w:pPr>
            <w:r>
              <w:rPr>
                <w:rFonts w:ascii="Arial" w:cs="Arial" w:eastAsia="Arial" w:hAnsi="Arial"/>
                <w:sz w:val="16"/>
                <w:szCs w:val="16"/>
                <w:color w:val="auto"/>
              </w:rPr>
              <w:t>138,109</w:t>
            </w:r>
          </w:p>
        </w:tc>
        <w:tc>
          <w:tcPr>
            <w:tcW w:w="0" w:type="dxa"/>
            <w:vAlign w:val="bottom"/>
          </w:tcPr>
          <w:p>
            <w:pPr>
              <w:spacing w:after="0"/>
              <w:rPr>
                <w:sz w:val="1"/>
                <w:szCs w:val="1"/>
                <w:color w:val="auto"/>
              </w:rPr>
            </w:pPr>
          </w:p>
        </w:tc>
      </w:tr>
      <w:tr>
        <w:trPr>
          <w:trHeight w:val="60"/>
        </w:trPr>
        <w:tc>
          <w:tcPr>
            <w:tcW w:w="1900" w:type="dxa"/>
            <w:vAlign w:val="bottom"/>
            <w:tcBorders>
              <w:left w:val="single" w:sz="8" w:color="auto"/>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42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19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Vito C. Peraino</w:t>
            </w:r>
          </w:p>
        </w:tc>
        <w:tc>
          <w:tcPr>
            <w:tcW w:w="1440" w:type="dxa"/>
            <w:vAlign w:val="bottom"/>
            <w:tcBorders>
              <w:bottom w:val="single" w:sz="8" w:color="auto"/>
              <w:right w:val="single" w:sz="8" w:color="auto"/>
            </w:tcBorders>
          </w:tcPr>
          <w:p>
            <w:pPr>
              <w:jc w:val="right"/>
              <w:ind w:right="382"/>
              <w:spacing w:after="0"/>
              <w:rPr>
                <w:sz w:val="20"/>
                <w:szCs w:val="20"/>
                <w:color w:val="auto"/>
              </w:rPr>
            </w:pPr>
            <w:r>
              <w:rPr>
                <w:rFonts w:ascii="Arial" w:cs="Arial" w:eastAsia="Arial" w:hAnsi="Arial"/>
                <w:sz w:val="16"/>
                <w:szCs w:val="16"/>
                <w:color w:val="auto"/>
              </w:rPr>
              <w:t>101,056</w:t>
            </w:r>
          </w:p>
        </w:tc>
        <w:tc>
          <w:tcPr>
            <w:tcW w:w="1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28,800</w:t>
            </w:r>
          </w:p>
        </w:tc>
        <w:tc>
          <w:tcPr>
            <w:tcW w:w="1440" w:type="dxa"/>
            <w:vAlign w:val="bottom"/>
            <w:tcBorders>
              <w:bottom w:val="single" w:sz="8" w:color="auto"/>
              <w:right w:val="single" w:sz="8" w:color="auto"/>
            </w:tcBorders>
          </w:tcPr>
          <w:p>
            <w:pPr>
              <w:jc w:val="right"/>
              <w:ind w:right="342"/>
              <w:spacing w:after="0"/>
              <w:rPr>
                <w:sz w:val="20"/>
                <w:szCs w:val="20"/>
                <w:color w:val="auto"/>
              </w:rPr>
            </w:pPr>
            <w:r>
              <w:rPr>
                <w:rFonts w:ascii="Arial" w:cs="Arial" w:eastAsia="Arial" w:hAnsi="Arial"/>
                <w:sz w:val="16"/>
                <w:szCs w:val="16"/>
                <w:color w:val="auto"/>
              </w:rPr>
              <w:t>310,735</w:t>
            </w: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right w:val="single" w:sz="8" w:color="auto"/>
            </w:tcBorders>
          </w:tcPr>
          <w:p>
            <w:pPr>
              <w:jc w:val="right"/>
              <w:ind w:right="341"/>
              <w:spacing w:after="0"/>
              <w:rPr>
                <w:sz w:val="20"/>
                <w:szCs w:val="20"/>
                <w:color w:val="auto"/>
              </w:rPr>
            </w:pPr>
            <w:r>
              <w:rPr>
                <w:rFonts w:ascii="Arial" w:cs="Arial" w:eastAsia="Arial" w:hAnsi="Arial"/>
                <w:sz w:val="16"/>
                <w:szCs w:val="16"/>
                <w:color w:val="auto"/>
              </w:rPr>
              <w:t>1,624,078</w:t>
            </w: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1440" w:right="40" w:hanging="352"/>
        <w:spacing w:after="0" w:line="246" w:lineRule="auto"/>
        <w:tabs>
          <w:tab w:leader="none" w:pos="14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 xml:space="preserve">Represents Company contributions credited to participants’ Auxiliary RASP accounts which are included in the supplemental All Other Compensation table on page </w:t>
      </w:r>
      <w:hyperlink w:anchor="page44">
        <w:r>
          <w:rPr>
            <w:rFonts w:ascii="Arial" w:cs="Arial" w:eastAsia="Arial" w:hAnsi="Arial"/>
            <w:sz w:val="14"/>
            <w:szCs w:val="14"/>
            <w:u w:val="single" w:color="auto"/>
            <w:color w:val="0000EE"/>
          </w:rPr>
          <w:t>37</w:t>
        </w:r>
      </w:hyperlink>
      <w:r>
        <w:rPr>
          <w:rFonts w:ascii="Arial" w:cs="Arial" w:eastAsia="Arial" w:hAnsi="Arial"/>
          <w:sz w:val="14"/>
          <w:szCs w:val="14"/>
          <w:color w:val="auto"/>
        </w:rPr>
        <w:t>.</w:t>
      </w:r>
    </w:p>
    <w:p>
      <w:pPr>
        <w:ind w:left="1440" w:hanging="352"/>
        <w:spacing w:after="0"/>
        <w:tabs>
          <w:tab w:leader="none" w:pos="1440" w:val="left"/>
        </w:tabs>
        <w:numPr>
          <w:ilvl w:val="0"/>
          <w:numId w:val="28"/>
        </w:numPr>
        <w:rPr>
          <w:rFonts w:ascii="Arial" w:cs="Arial" w:eastAsia="Arial" w:hAnsi="Arial"/>
          <w:sz w:val="12"/>
          <w:szCs w:val="12"/>
          <w:color w:val="auto"/>
        </w:rPr>
      </w:pPr>
      <w:r>
        <w:rPr>
          <w:rFonts w:ascii="Arial" w:cs="Arial" w:eastAsia="Arial" w:hAnsi="Arial"/>
          <w:sz w:val="12"/>
          <w:szCs w:val="12"/>
          <w:color w:val="auto"/>
        </w:rPr>
        <w:t>Earnings are calculated by reference to actual earnings or losses of mutual funds and securities, including Company common shares, held by the plans.</w:t>
      </w:r>
    </w:p>
    <w:p>
      <w:pPr>
        <w:spacing w:after="0" w:line="229" w:lineRule="exact"/>
        <w:rPr>
          <w:sz w:val="20"/>
          <w:szCs w:val="20"/>
          <w:color w:val="auto"/>
        </w:rPr>
      </w:pPr>
    </w:p>
    <w:p>
      <w:pPr>
        <w:ind w:left="1080"/>
        <w:spacing w:after="0"/>
        <w:rPr>
          <w:sz w:val="20"/>
          <w:szCs w:val="20"/>
          <w:color w:val="auto"/>
        </w:rPr>
      </w:pPr>
      <w:r>
        <w:rPr>
          <w:rFonts w:ascii="Arial" w:cs="Arial" w:eastAsia="Arial" w:hAnsi="Arial"/>
          <w:sz w:val="20"/>
          <w:szCs w:val="20"/>
          <w:b w:val="1"/>
          <w:bCs w:val="1"/>
          <w:color w:val="3F3F3F"/>
        </w:rPr>
        <w:t>Compensation Committee Report</w:t>
      </w:r>
    </w:p>
    <w:p>
      <w:pPr>
        <w:spacing w:after="0" w:line="116" w:lineRule="exact"/>
        <w:rPr>
          <w:sz w:val="20"/>
          <w:szCs w:val="20"/>
          <w:color w:val="auto"/>
        </w:rPr>
      </w:pPr>
    </w:p>
    <w:p>
      <w:pPr>
        <w:ind w:left="1080" w:right="80"/>
        <w:spacing w:after="0" w:line="259" w:lineRule="auto"/>
        <w:rPr>
          <w:sz w:val="20"/>
          <w:szCs w:val="20"/>
          <w:color w:val="auto"/>
        </w:rPr>
      </w:pPr>
      <w:r>
        <w:rPr>
          <w:rFonts w:ascii="Arial" w:cs="Arial" w:eastAsia="Arial" w:hAnsi="Arial"/>
          <w:sz w:val="18"/>
          <w:szCs w:val="18"/>
          <w:color w:val="auto"/>
        </w:rPr>
        <w:t>The Compensation Committee has reviewed and discussed the Compensation Discussion and Analysis required by Item 402(b) of Regulation S-K with management. Based on these reviews and discussions, the Compensation Committee recommended to the Board of Directors that the Compensation Discussion and Analysis be included in the Company’s proxy statement on Schedule 14A.</w:t>
      </w:r>
    </w:p>
    <w:p>
      <w:pPr>
        <w:spacing w:after="0" w:line="79" w:lineRule="exact"/>
        <w:rPr>
          <w:sz w:val="20"/>
          <w:szCs w:val="20"/>
          <w:color w:val="auto"/>
        </w:rPr>
      </w:pPr>
    </w:p>
    <w:p>
      <w:pPr>
        <w:ind w:left="2520"/>
        <w:spacing w:after="0"/>
        <w:tabs>
          <w:tab w:leader="none" w:pos="6400" w:val="left"/>
        </w:tabs>
        <w:rPr>
          <w:sz w:val="20"/>
          <w:szCs w:val="20"/>
          <w:color w:val="auto"/>
        </w:rPr>
      </w:pPr>
      <w:r>
        <w:rPr>
          <w:rFonts w:ascii="Arial" w:cs="Arial" w:eastAsia="Arial" w:hAnsi="Arial"/>
          <w:sz w:val="18"/>
          <w:szCs w:val="18"/>
          <w:color w:val="auto"/>
        </w:rPr>
        <w:t>Members of the Compensation Committee:</w:t>
      </w:r>
      <w:r>
        <w:rPr>
          <w:sz w:val="20"/>
          <w:szCs w:val="20"/>
          <w:color w:val="auto"/>
        </w:rPr>
        <w:tab/>
      </w:r>
      <w:r>
        <w:rPr>
          <w:rFonts w:ascii="Arial" w:cs="Arial" w:eastAsia="Arial" w:hAnsi="Arial"/>
          <w:sz w:val="16"/>
          <w:szCs w:val="16"/>
          <w:color w:val="auto"/>
        </w:rPr>
        <w:t xml:space="preserve">Terry S. Jacobs </w:t>
      </w:r>
      <w:r>
        <w:rPr>
          <w:rFonts w:ascii="Arial" w:cs="Arial" w:eastAsia="Arial" w:hAnsi="Arial"/>
          <w:sz w:val="16"/>
          <w:szCs w:val="16"/>
          <w:i w:val="1"/>
          <w:iCs w:val="1"/>
          <w:color w:val="auto"/>
        </w:rPr>
        <w:t>(Chairman)</w:t>
      </w:r>
    </w:p>
    <w:p>
      <w:pPr>
        <w:spacing w:after="0" w:line="23"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Kenneth C. Ambrecht</w:t>
      </w:r>
    </w:p>
    <w:p>
      <w:pPr>
        <w:spacing w:after="0" w:line="9"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Mary Beth Martin</w:t>
      </w:r>
    </w:p>
    <w:p>
      <w:pPr>
        <w:spacing w:after="0" w:line="9"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William W. Verity</w:t>
      </w:r>
    </w:p>
    <w:p>
      <w:pPr>
        <w:sectPr>
          <w:pgSz w:w="11900" w:h="16838" w:orient="portrait"/>
          <w:cols w:equalWidth="0" w:num="1">
            <w:col w:w="10160"/>
          </w:cols>
          <w:pgMar w:left="320" w:top="265" w:right="1419" w:bottom="637" w:gutter="0" w:footer="0" w:header="0"/>
          <w:type w:val="continuous"/>
        </w:sectPr>
      </w:pPr>
    </w:p>
    <w:p>
      <w:pPr>
        <w:spacing w:after="0" w:line="323" w:lineRule="exact"/>
        <w:rPr>
          <w:sz w:val="20"/>
          <w:szCs w:val="20"/>
          <w:color w:val="auto"/>
        </w:rPr>
      </w:pPr>
    </w:p>
    <w:p>
      <w:pPr>
        <w:ind w:left="1160"/>
        <w:spacing w:after="0"/>
        <w:tabs>
          <w:tab w:leader="none" w:pos="9960" w:val="left"/>
        </w:tabs>
        <w:rPr>
          <w:sz w:val="20"/>
          <w:szCs w:val="20"/>
          <w:color w:val="auto"/>
        </w:rPr>
      </w:pPr>
      <w:r>
        <w:rPr>
          <w:rFonts w:ascii="Arial" w:cs="Arial" w:eastAsia="Arial" w:hAnsi="Arial"/>
          <w:sz w:val="16"/>
          <w:szCs w:val="16"/>
          <w:color w:val="auto"/>
        </w:rPr>
        <w:t>2020 Proxy Statement | Executive Compensation</w:t>
      </w:r>
      <w:r>
        <w:rPr>
          <w:sz w:val="20"/>
          <w:szCs w:val="20"/>
          <w:color w:val="auto"/>
        </w:rPr>
        <w:tab/>
      </w: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129540</wp:posOffset>
            </wp:positionV>
            <wp:extent cx="699516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160"/>
          </w:cols>
          <w:pgMar w:left="320" w:top="265" w:right="1419" w:bottom="637" w:gutter="0" w:footer="0" w:header="0"/>
          <w:type w:val="continuous"/>
        </w:sectPr>
      </w:pPr>
    </w:p>
    <w:bookmarkStart w:id="48" w:name="page49"/>
    <w:bookmarkEnd w:id="48"/>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6515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651510"/>
                    </a:xfrm>
                    <a:prstGeom prst="rect">
                      <a:avLst/>
                    </a:prstGeom>
                    <a:noFill/>
                  </pic:spPr>
                </pic:pic>
              </a:graphicData>
            </a:graphic>
          </wp:anchor>
        </w:drawing>
      </w:r>
    </w:p>
    <w:p>
      <w:pPr>
        <w:sectPr>
          <w:pgSz w:w="11900" w:h="16838" w:orient="portrait"/>
          <w:cols w:equalWidth="0" w:num="1">
            <w:col w:w="10140"/>
          </w:cols>
          <w:pgMar w:left="320" w:top="265" w:right="1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080" w:right="420"/>
        <w:spacing w:after="0" w:line="267" w:lineRule="auto"/>
        <w:rPr>
          <w:sz w:val="20"/>
          <w:szCs w:val="20"/>
          <w:color w:val="auto"/>
        </w:rPr>
      </w:pPr>
      <w:r>
        <w:rPr>
          <w:rFonts w:ascii="Arial" w:cs="Arial" w:eastAsia="Arial" w:hAnsi="Arial"/>
          <w:sz w:val="20"/>
          <w:szCs w:val="20"/>
          <w:b w:val="1"/>
          <w:bCs w:val="1"/>
          <w:color w:val="3F3F3F"/>
        </w:rPr>
        <w:t>Director Compensation and Stock Ownership Guidelines</w:t>
      </w:r>
    </w:p>
    <w:p>
      <w:pPr>
        <w:spacing w:after="0" w:line="64" w:lineRule="exact"/>
        <w:rPr>
          <w:sz w:val="20"/>
          <w:szCs w:val="20"/>
          <w:color w:val="auto"/>
        </w:rPr>
      </w:pPr>
    </w:p>
    <w:p>
      <w:pPr>
        <w:ind w:left="1080" w:right="60"/>
        <w:spacing w:after="0" w:line="270" w:lineRule="auto"/>
        <w:rPr>
          <w:sz w:val="20"/>
          <w:szCs w:val="20"/>
          <w:color w:val="auto"/>
        </w:rPr>
      </w:pPr>
      <w:r>
        <w:rPr>
          <w:rFonts w:ascii="Arial" w:cs="Arial" w:eastAsia="Arial" w:hAnsi="Arial"/>
          <w:sz w:val="16"/>
          <w:szCs w:val="16"/>
          <w:color w:val="auto"/>
        </w:rPr>
        <w:t>The Corporate Governance Committee reviews the structure and philosophy of our director compensation program annually during the second quarter. In May 2016, upon recommendation of management, the Company engaged Pearl Meyer to review the compensation paid to our non-employee directors. Pearl Meyer referred to the same compensation peer group companies utilized by the Compensation Committee in assessing compensation for named executive officers in performing its review to evaluate the competitiveness of non-employee director compensation.</w:t>
      </w:r>
    </w:p>
    <w:p>
      <w:pPr>
        <w:spacing w:after="0" w:line="59" w:lineRule="exact"/>
        <w:rPr>
          <w:sz w:val="20"/>
          <w:szCs w:val="20"/>
          <w:color w:val="auto"/>
        </w:rPr>
      </w:pPr>
    </w:p>
    <w:p>
      <w:pPr>
        <w:ind w:left="1080"/>
        <w:spacing w:after="0" w:line="284" w:lineRule="auto"/>
        <w:rPr>
          <w:sz w:val="20"/>
          <w:szCs w:val="20"/>
          <w:color w:val="auto"/>
        </w:rPr>
      </w:pPr>
      <w:r>
        <w:rPr>
          <w:rFonts w:ascii="Arial" w:cs="Arial" w:eastAsia="Arial" w:hAnsi="Arial"/>
          <w:sz w:val="16"/>
          <w:szCs w:val="16"/>
          <w:color w:val="auto"/>
        </w:rPr>
        <w:t>Following Pearl Meyer’s review, effective July 1, 2016, the Board, upon the recommendation of the Corporate Governance Committee, approved changes to the compensation paid to non-employee directors. In order 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align the director compensation elements with its peers, the Board eliminated meeting fees as an element of non-employee director compensation and replaced meeting fees with an increased annual retainer for all Board members. The Board retained a per-day offsite meeting fee, reasoning that offsite meetings generally require out of town travel and the entirety of the director’s time for each day of meetings.</w:t>
      </w:r>
    </w:p>
    <w:p>
      <w:pPr>
        <w:spacing w:after="0" w:line="70"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The Board also revised the share ownership target for non-employee directors with the objective that all non-employee directors own, within five years after the later of receiving his or her first annual restricted stock award or the implementation of any increase in the share ownership target, at least five times the annual Board retainer.</w:t>
      </w:r>
    </w:p>
    <w:p>
      <w:pPr>
        <w:spacing w:after="0" w:line="56" w:lineRule="exact"/>
        <w:rPr>
          <w:sz w:val="20"/>
          <w:szCs w:val="20"/>
          <w:color w:val="auto"/>
        </w:rPr>
      </w:pPr>
    </w:p>
    <w:p>
      <w:pPr>
        <w:ind w:right="960"/>
        <w:spacing w:after="0" w:line="277" w:lineRule="auto"/>
        <w:rPr>
          <w:sz w:val="20"/>
          <w:szCs w:val="20"/>
          <w:color w:val="auto"/>
        </w:rPr>
      </w:pPr>
      <w:r>
        <w:rPr>
          <w:rFonts w:ascii="Arial" w:cs="Arial" w:eastAsia="Arial" w:hAnsi="Arial"/>
          <w:sz w:val="18"/>
          <w:szCs w:val="18"/>
          <w:color w:val="auto"/>
        </w:rPr>
        <w:t>Effective June 1, 2019, non-employee director compensation was as follows:</w:t>
      </w:r>
    </w:p>
    <w:p>
      <w:pPr>
        <w:spacing w:after="0" w:line="70" w:lineRule="exact"/>
        <w:rPr>
          <w:sz w:val="20"/>
          <w:szCs w:val="20"/>
          <w:color w:val="auto"/>
        </w:rPr>
      </w:pPr>
    </w:p>
    <w:p>
      <w:pPr>
        <w:sectPr>
          <w:pgSz w:w="11900" w:h="16838" w:orient="portrait"/>
          <w:cols w:equalWidth="0" w:num="2">
            <w:col w:w="5360" w:space="480"/>
            <w:col w:w="4300"/>
          </w:cols>
          <w:pgMar w:left="320" w:top="265" w:right="1439" w:bottom="1440" w:gutter="0" w:footer="0" w:header="0"/>
          <w:type w:val="continuous"/>
        </w:sectPr>
      </w:pPr>
    </w:p>
    <w:tbl>
      <w:tblPr>
        <w:tblLayout w:type="fixed"/>
        <w:tblInd w:w="1810" w:type="dxa"/>
        <w:tblCellMar>
          <w:top w:w="0" w:type="dxa"/>
          <w:left w:w="0" w:type="dxa"/>
          <w:bottom w:w="0" w:type="dxa"/>
          <w:right w:w="0" w:type="dxa"/>
        </w:tblCellMar>
      </w:tblPr>
      <w:tr>
        <w:trPr>
          <w:trHeight w:val="319"/>
        </w:trPr>
        <w:tc>
          <w:tcPr>
            <w:tcW w:w="4900" w:type="dxa"/>
            <w:vAlign w:val="bottom"/>
            <w:tcBorders>
              <w:top w:val="single" w:sz="8" w:color="auto"/>
              <w:left w:val="single" w:sz="8" w:color="auto"/>
              <w:right w:val="single" w:sz="8" w:color="BFBFBF"/>
            </w:tcBorders>
            <w:shd w:val="clear" w:color="auto" w:fill="BFBFBF"/>
          </w:tcPr>
          <w:p>
            <w:pPr>
              <w:spacing w:after="0"/>
              <w:rPr>
                <w:sz w:val="24"/>
                <w:szCs w:val="24"/>
                <w:color w:val="auto"/>
              </w:rPr>
            </w:pPr>
          </w:p>
        </w:tc>
        <w:tc>
          <w:tcPr>
            <w:tcW w:w="2740" w:type="dxa"/>
            <w:vAlign w:val="bottom"/>
            <w:tcBorders>
              <w:top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18"/>
                <w:szCs w:val="18"/>
                <w:b w:val="1"/>
                <w:bCs w:val="1"/>
                <w:color w:val="auto"/>
                <w:w w:val="90"/>
              </w:rPr>
              <w:t>Non-Employee Director</w:t>
            </w:r>
          </w:p>
        </w:tc>
      </w:tr>
      <w:tr>
        <w:trPr>
          <w:trHeight w:val="234"/>
        </w:trPr>
        <w:tc>
          <w:tcPr>
            <w:tcW w:w="4900" w:type="dxa"/>
            <w:vAlign w:val="bottom"/>
            <w:tcBorders>
              <w:left w:val="single" w:sz="8" w:color="auto"/>
              <w:right w:val="single" w:sz="8" w:color="BFBFBF"/>
            </w:tcBorders>
            <w:shd w:val="clear" w:color="auto" w:fill="BFBFBF"/>
          </w:tcPr>
          <w:p>
            <w:pPr>
              <w:ind w:left="1520"/>
              <w:spacing w:after="0"/>
              <w:rPr>
                <w:sz w:val="20"/>
                <w:szCs w:val="20"/>
                <w:color w:val="auto"/>
              </w:rPr>
            </w:pPr>
            <w:r>
              <w:rPr>
                <w:rFonts w:ascii="Arial" w:cs="Arial" w:eastAsia="Arial" w:hAnsi="Arial"/>
                <w:sz w:val="18"/>
                <w:szCs w:val="18"/>
                <w:b w:val="1"/>
                <w:bCs w:val="1"/>
                <w:color w:val="auto"/>
              </w:rPr>
              <w:t>Compensation Element</w:t>
            </w:r>
          </w:p>
        </w:tc>
        <w:tc>
          <w:tcPr>
            <w:tcW w:w="2740" w:type="dxa"/>
            <w:vAlign w:val="bottom"/>
            <w:tcBorders>
              <w:right w:val="single" w:sz="8" w:color="auto"/>
            </w:tcBorders>
            <w:shd w:val="clear" w:color="auto" w:fill="BFBFBF"/>
          </w:tcPr>
          <w:p>
            <w:pPr>
              <w:jc w:val="center"/>
              <w:spacing w:after="0"/>
              <w:rPr>
                <w:sz w:val="20"/>
                <w:szCs w:val="20"/>
                <w:color w:val="auto"/>
              </w:rPr>
            </w:pPr>
            <w:r>
              <w:rPr>
                <w:rFonts w:ascii="Arial" w:cs="Arial" w:eastAsia="Arial" w:hAnsi="Arial"/>
                <w:sz w:val="18"/>
                <w:szCs w:val="18"/>
                <w:b w:val="1"/>
                <w:bCs w:val="1"/>
                <w:color w:val="auto"/>
                <w:w w:val="90"/>
              </w:rPr>
              <w:t>Compensation ($) (1)</w:t>
            </w:r>
          </w:p>
        </w:tc>
      </w:tr>
      <w:tr>
        <w:trPr>
          <w:trHeight w:val="67"/>
        </w:trPr>
        <w:tc>
          <w:tcPr>
            <w:tcW w:w="4900" w:type="dxa"/>
            <w:vAlign w:val="bottom"/>
            <w:tcBorders>
              <w:left w:val="single" w:sz="8" w:color="auto"/>
              <w:bottom w:val="single" w:sz="8" w:color="auto"/>
              <w:right w:val="single" w:sz="8" w:color="BFBFBF"/>
            </w:tcBorders>
            <w:shd w:val="clear" w:color="auto" w:fill="BFBFBF"/>
          </w:tcPr>
          <w:p>
            <w:pPr>
              <w:spacing w:after="0"/>
              <w:rPr>
                <w:sz w:val="5"/>
                <w:szCs w:val="5"/>
                <w:color w:val="auto"/>
              </w:rPr>
            </w:pPr>
          </w:p>
        </w:tc>
        <w:tc>
          <w:tcPr>
            <w:tcW w:w="2740" w:type="dxa"/>
            <w:vAlign w:val="bottom"/>
            <w:tcBorders>
              <w:bottom w:val="single" w:sz="8" w:color="auto"/>
              <w:right w:val="single" w:sz="8" w:color="auto"/>
            </w:tcBorders>
            <w:shd w:val="clear" w:color="auto" w:fill="BFBFBF"/>
          </w:tcPr>
          <w:p>
            <w:pPr>
              <w:spacing w:after="0"/>
              <w:rPr>
                <w:sz w:val="5"/>
                <w:szCs w:val="5"/>
                <w:color w:val="auto"/>
              </w:rPr>
            </w:pPr>
          </w:p>
        </w:tc>
      </w:tr>
      <w:tr>
        <w:trPr>
          <w:trHeight w:val="277"/>
        </w:trPr>
        <w:tc>
          <w:tcPr>
            <w:tcW w:w="49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Board Member Annual Retainer</w:t>
            </w:r>
          </w:p>
        </w:tc>
        <w:tc>
          <w:tcPr>
            <w:tcW w:w="2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100,000</w:t>
            </w:r>
          </w:p>
        </w:tc>
      </w:tr>
      <w:tr>
        <w:trPr>
          <w:trHeight w:val="68"/>
        </w:trPr>
        <w:tc>
          <w:tcPr>
            <w:tcW w:w="4900" w:type="dxa"/>
            <w:vAlign w:val="bottom"/>
            <w:tcBorders>
              <w:left w:val="single" w:sz="8" w:color="auto"/>
              <w:bottom w:val="single" w:sz="8" w:color="auto"/>
              <w:right w:val="single" w:sz="8" w:color="auto"/>
            </w:tcBorders>
          </w:tcPr>
          <w:p>
            <w:pPr>
              <w:spacing w:after="0"/>
              <w:rPr>
                <w:sz w:val="5"/>
                <w:szCs w:val="5"/>
                <w:color w:val="auto"/>
              </w:rPr>
            </w:pPr>
          </w:p>
        </w:tc>
        <w:tc>
          <w:tcPr>
            <w:tcW w:w="2740" w:type="dxa"/>
            <w:vAlign w:val="bottom"/>
            <w:tcBorders>
              <w:bottom w:val="single" w:sz="8" w:color="auto"/>
              <w:right w:val="single" w:sz="8" w:color="auto"/>
            </w:tcBorders>
          </w:tcPr>
          <w:p>
            <w:pPr>
              <w:spacing w:after="0"/>
              <w:rPr>
                <w:sz w:val="5"/>
                <w:szCs w:val="5"/>
                <w:color w:val="auto"/>
              </w:rPr>
            </w:pPr>
          </w:p>
        </w:tc>
      </w:tr>
      <w:tr>
        <w:trPr>
          <w:trHeight w:val="277"/>
        </w:trPr>
        <w:tc>
          <w:tcPr>
            <w:tcW w:w="49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Lead Independent Director Retainer</w:t>
            </w:r>
          </w:p>
        </w:tc>
        <w:tc>
          <w:tcPr>
            <w:tcW w:w="2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25,000</w:t>
            </w:r>
          </w:p>
        </w:tc>
      </w:tr>
      <w:tr>
        <w:trPr>
          <w:trHeight w:val="67"/>
        </w:trPr>
        <w:tc>
          <w:tcPr>
            <w:tcW w:w="4900" w:type="dxa"/>
            <w:vAlign w:val="bottom"/>
            <w:tcBorders>
              <w:left w:val="single" w:sz="8" w:color="auto"/>
              <w:bottom w:val="single" w:sz="8" w:color="auto"/>
              <w:right w:val="single" w:sz="8" w:color="auto"/>
            </w:tcBorders>
          </w:tcPr>
          <w:p>
            <w:pPr>
              <w:spacing w:after="0"/>
              <w:rPr>
                <w:sz w:val="5"/>
                <w:szCs w:val="5"/>
                <w:color w:val="auto"/>
              </w:rPr>
            </w:pPr>
          </w:p>
        </w:tc>
        <w:tc>
          <w:tcPr>
            <w:tcW w:w="2740" w:type="dxa"/>
            <w:vAlign w:val="bottom"/>
            <w:tcBorders>
              <w:bottom w:val="single" w:sz="8" w:color="auto"/>
              <w:right w:val="single" w:sz="8" w:color="auto"/>
            </w:tcBorders>
          </w:tcPr>
          <w:p>
            <w:pPr>
              <w:spacing w:after="0"/>
              <w:rPr>
                <w:sz w:val="5"/>
                <w:szCs w:val="5"/>
                <w:color w:val="auto"/>
              </w:rPr>
            </w:pPr>
          </w:p>
        </w:tc>
      </w:tr>
      <w:tr>
        <w:trPr>
          <w:trHeight w:val="277"/>
        </w:trPr>
        <w:tc>
          <w:tcPr>
            <w:tcW w:w="49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Audit Committee Chair Annual Retainer</w:t>
            </w:r>
          </w:p>
        </w:tc>
        <w:tc>
          <w:tcPr>
            <w:tcW w:w="2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35,000</w:t>
            </w:r>
          </w:p>
        </w:tc>
      </w:tr>
      <w:tr>
        <w:trPr>
          <w:trHeight w:val="67"/>
        </w:trPr>
        <w:tc>
          <w:tcPr>
            <w:tcW w:w="4900" w:type="dxa"/>
            <w:vAlign w:val="bottom"/>
            <w:tcBorders>
              <w:left w:val="single" w:sz="8" w:color="auto"/>
              <w:bottom w:val="single" w:sz="8" w:color="auto"/>
              <w:right w:val="single" w:sz="8" w:color="auto"/>
            </w:tcBorders>
          </w:tcPr>
          <w:p>
            <w:pPr>
              <w:spacing w:after="0"/>
              <w:rPr>
                <w:sz w:val="5"/>
                <w:szCs w:val="5"/>
                <w:color w:val="auto"/>
              </w:rPr>
            </w:pPr>
          </w:p>
        </w:tc>
        <w:tc>
          <w:tcPr>
            <w:tcW w:w="2740" w:type="dxa"/>
            <w:vAlign w:val="bottom"/>
            <w:tcBorders>
              <w:bottom w:val="single" w:sz="8" w:color="auto"/>
              <w:right w:val="single" w:sz="8" w:color="auto"/>
            </w:tcBorders>
          </w:tcPr>
          <w:p>
            <w:pPr>
              <w:spacing w:after="0"/>
              <w:rPr>
                <w:sz w:val="5"/>
                <w:szCs w:val="5"/>
                <w:color w:val="auto"/>
              </w:rPr>
            </w:pPr>
          </w:p>
        </w:tc>
      </w:tr>
      <w:tr>
        <w:trPr>
          <w:trHeight w:val="263"/>
        </w:trPr>
        <w:tc>
          <w:tcPr>
            <w:tcW w:w="49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Compensation and Corporate Governance Committee Chair</w:t>
            </w:r>
          </w:p>
        </w:tc>
        <w:tc>
          <w:tcPr>
            <w:tcW w:w="2740" w:type="dxa"/>
            <w:vAlign w:val="bottom"/>
            <w:tcBorders>
              <w:right w:val="single" w:sz="8" w:color="auto"/>
            </w:tcBorders>
          </w:tcPr>
          <w:p>
            <w:pPr>
              <w:spacing w:after="0"/>
              <w:rPr>
                <w:sz w:val="22"/>
                <w:szCs w:val="22"/>
                <w:color w:val="auto"/>
              </w:rPr>
            </w:pPr>
          </w:p>
        </w:tc>
      </w:tr>
      <w:tr>
        <w:trPr>
          <w:trHeight w:val="230"/>
        </w:trPr>
        <w:tc>
          <w:tcPr>
            <w:tcW w:w="49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Annual Retainer</w:t>
            </w:r>
          </w:p>
        </w:tc>
        <w:tc>
          <w:tcPr>
            <w:tcW w:w="2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15,000</w:t>
            </w:r>
          </w:p>
        </w:tc>
      </w:tr>
      <w:tr>
        <w:trPr>
          <w:trHeight w:val="67"/>
        </w:trPr>
        <w:tc>
          <w:tcPr>
            <w:tcW w:w="4900" w:type="dxa"/>
            <w:vAlign w:val="bottom"/>
            <w:tcBorders>
              <w:left w:val="single" w:sz="8" w:color="auto"/>
              <w:bottom w:val="single" w:sz="8" w:color="auto"/>
              <w:right w:val="single" w:sz="8" w:color="auto"/>
            </w:tcBorders>
          </w:tcPr>
          <w:p>
            <w:pPr>
              <w:spacing w:after="0"/>
              <w:rPr>
                <w:sz w:val="5"/>
                <w:szCs w:val="5"/>
                <w:color w:val="auto"/>
              </w:rPr>
            </w:pPr>
          </w:p>
        </w:tc>
        <w:tc>
          <w:tcPr>
            <w:tcW w:w="2740" w:type="dxa"/>
            <w:vAlign w:val="bottom"/>
            <w:tcBorders>
              <w:bottom w:val="single" w:sz="8" w:color="auto"/>
              <w:right w:val="single" w:sz="8" w:color="auto"/>
            </w:tcBorders>
          </w:tcPr>
          <w:p>
            <w:pPr>
              <w:spacing w:after="0"/>
              <w:rPr>
                <w:sz w:val="5"/>
                <w:szCs w:val="5"/>
                <w:color w:val="auto"/>
              </w:rPr>
            </w:pPr>
          </w:p>
        </w:tc>
      </w:tr>
      <w:tr>
        <w:trPr>
          <w:trHeight w:val="277"/>
        </w:trPr>
        <w:tc>
          <w:tcPr>
            <w:tcW w:w="49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Audit Committee Non-Chair Member Annual Retainer</w:t>
            </w:r>
          </w:p>
        </w:tc>
        <w:tc>
          <w:tcPr>
            <w:tcW w:w="2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15,000</w:t>
            </w:r>
          </w:p>
        </w:tc>
      </w:tr>
      <w:tr>
        <w:trPr>
          <w:trHeight w:val="68"/>
        </w:trPr>
        <w:tc>
          <w:tcPr>
            <w:tcW w:w="4900" w:type="dxa"/>
            <w:vAlign w:val="bottom"/>
            <w:tcBorders>
              <w:left w:val="single" w:sz="8" w:color="auto"/>
              <w:bottom w:val="single" w:sz="8" w:color="auto"/>
              <w:right w:val="single" w:sz="8" w:color="auto"/>
            </w:tcBorders>
          </w:tcPr>
          <w:p>
            <w:pPr>
              <w:spacing w:after="0"/>
              <w:rPr>
                <w:sz w:val="5"/>
                <w:szCs w:val="5"/>
                <w:color w:val="auto"/>
              </w:rPr>
            </w:pPr>
          </w:p>
        </w:tc>
        <w:tc>
          <w:tcPr>
            <w:tcW w:w="2740" w:type="dxa"/>
            <w:vAlign w:val="bottom"/>
            <w:tcBorders>
              <w:bottom w:val="single" w:sz="8" w:color="auto"/>
              <w:right w:val="single" w:sz="8" w:color="auto"/>
            </w:tcBorders>
          </w:tcPr>
          <w:p>
            <w:pPr>
              <w:spacing w:after="0"/>
              <w:rPr>
                <w:sz w:val="5"/>
                <w:szCs w:val="5"/>
                <w:color w:val="auto"/>
              </w:rPr>
            </w:pPr>
          </w:p>
        </w:tc>
      </w:tr>
      <w:tr>
        <w:trPr>
          <w:trHeight w:val="263"/>
        </w:trPr>
        <w:tc>
          <w:tcPr>
            <w:tcW w:w="49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92"/>
              </w:rPr>
              <w:t>Compensation and Corporate Governance Committee Non-Chair</w:t>
            </w:r>
          </w:p>
        </w:tc>
        <w:tc>
          <w:tcPr>
            <w:tcW w:w="2740" w:type="dxa"/>
            <w:vAlign w:val="bottom"/>
            <w:tcBorders>
              <w:right w:val="single" w:sz="8" w:color="auto"/>
            </w:tcBorders>
          </w:tcPr>
          <w:p>
            <w:pPr>
              <w:spacing w:after="0"/>
              <w:rPr>
                <w:sz w:val="22"/>
                <w:szCs w:val="22"/>
                <w:color w:val="auto"/>
              </w:rPr>
            </w:pPr>
          </w:p>
        </w:tc>
      </w:tr>
      <w:tr>
        <w:trPr>
          <w:trHeight w:val="230"/>
        </w:trPr>
        <w:tc>
          <w:tcPr>
            <w:tcW w:w="49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Member Annual Retainer</w:t>
            </w:r>
          </w:p>
        </w:tc>
        <w:tc>
          <w:tcPr>
            <w:tcW w:w="2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10,000</w:t>
            </w:r>
          </w:p>
        </w:tc>
      </w:tr>
      <w:tr>
        <w:trPr>
          <w:trHeight w:val="68"/>
        </w:trPr>
        <w:tc>
          <w:tcPr>
            <w:tcW w:w="4900" w:type="dxa"/>
            <w:vAlign w:val="bottom"/>
            <w:tcBorders>
              <w:left w:val="single" w:sz="8" w:color="auto"/>
              <w:bottom w:val="single" w:sz="8" w:color="auto"/>
              <w:right w:val="single" w:sz="8" w:color="auto"/>
            </w:tcBorders>
          </w:tcPr>
          <w:p>
            <w:pPr>
              <w:spacing w:after="0"/>
              <w:rPr>
                <w:sz w:val="5"/>
                <w:szCs w:val="5"/>
                <w:color w:val="auto"/>
              </w:rPr>
            </w:pPr>
          </w:p>
        </w:tc>
        <w:tc>
          <w:tcPr>
            <w:tcW w:w="2740" w:type="dxa"/>
            <w:vAlign w:val="bottom"/>
            <w:tcBorders>
              <w:bottom w:val="single" w:sz="8" w:color="auto"/>
              <w:right w:val="single" w:sz="8" w:color="auto"/>
            </w:tcBorders>
          </w:tcPr>
          <w:p>
            <w:pPr>
              <w:spacing w:after="0"/>
              <w:rPr>
                <w:sz w:val="5"/>
                <w:szCs w:val="5"/>
                <w:color w:val="auto"/>
              </w:rPr>
            </w:pPr>
          </w:p>
        </w:tc>
      </w:tr>
      <w:tr>
        <w:trPr>
          <w:trHeight w:val="277"/>
        </w:trPr>
        <w:tc>
          <w:tcPr>
            <w:tcW w:w="49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Attendance Fee per Day for Offsite Meetings</w:t>
            </w:r>
          </w:p>
        </w:tc>
        <w:tc>
          <w:tcPr>
            <w:tcW w:w="2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2,000</w:t>
            </w:r>
          </w:p>
        </w:tc>
      </w:tr>
      <w:tr>
        <w:trPr>
          <w:trHeight w:val="68"/>
        </w:trPr>
        <w:tc>
          <w:tcPr>
            <w:tcW w:w="4900" w:type="dxa"/>
            <w:vAlign w:val="bottom"/>
            <w:tcBorders>
              <w:left w:val="single" w:sz="8" w:color="auto"/>
              <w:bottom w:val="single" w:sz="8" w:color="auto"/>
              <w:right w:val="single" w:sz="8" w:color="auto"/>
            </w:tcBorders>
          </w:tcPr>
          <w:p>
            <w:pPr>
              <w:spacing w:after="0"/>
              <w:rPr>
                <w:sz w:val="5"/>
                <w:szCs w:val="5"/>
                <w:color w:val="auto"/>
              </w:rPr>
            </w:pPr>
          </w:p>
        </w:tc>
        <w:tc>
          <w:tcPr>
            <w:tcW w:w="2740" w:type="dxa"/>
            <w:vAlign w:val="bottom"/>
            <w:tcBorders>
              <w:bottom w:val="single" w:sz="8" w:color="auto"/>
              <w:right w:val="single" w:sz="8" w:color="auto"/>
            </w:tcBorders>
          </w:tcPr>
          <w:p>
            <w:pPr>
              <w:spacing w:after="0"/>
              <w:rPr>
                <w:sz w:val="5"/>
                <w:szCs w:val="5"/>
                <w:color w:val="auto"/>
              </w:rPr>
            </w:pPr>
          </w:p>
        </w:tc>
      </w:tr>
      <w:tr>
        <w:trPr>
          <w:trHeight w:val="277"/>
        </w:trPr>
        <w:tc>
          <w:tcPr>
            <w:tcW w:w="49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Annual Restricted Stock Award</w:t>
            </w:r>
          </w:p>
        </w:tc>
        <w:tc>
          <w:tcPr>
            <w:tcW w:w="2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145,000</w:t>
            </w:r>
          </w:p>
        </w:tc>
      </w:tr>
    </w:tbl>
    <w:p>
      <w:pPr>
        <w:spacing w:after="0" w:line="80" w:lineRule="exact"/>
        <w:rPr>
          <w:sz w:val="20"/>
          <w:szCs w:val="20"/>
          <w:color w:val="auto"/>
        </w:rPr>
      </w:pPr>
    </w:p>
    <w:p>
      <w:pPr>
        <w:ind w:left="1800" w:right="140" w:hanging="352"/>
        <w:spacing w:after="0" w:line="276" w:lineRule="auto"/>
        <w:tabs>
          <w:tab w:leader="none" w:pos="18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Non-employee directors who become directors during the year receive a pro rata portion of these annual retainers. The Company reimburses non-employee directors for travel and lodging expenses incurred in connection with meeting attendance. Committee chairs do not receive member retainers in addition to chair retainers.</w:t>
      </w:r>
    </w:p>
    <w:p>
      <w:pPr>
        <w:sectPr>
          <w:pgSz w:w="11900" w:h="16838" w:orient="portrait"/>
          <w:cols w:equalWidth="0" w:num="1">
            <w:col w:w="10140"/>
          </w:cols>
          <w:pgMar w:left="320" w:top="265" w:right="1439" w:bottom="1440" w:gutter="0" w:footer="0" w:header="0"/>
          <w:type w:val="continuous"/>
        </w:sectPr>
      </w:pPr>
    </w:p>
    <w:p>
      <w:pPr>
        <w:spacing w:after="0" w:line="67" w:lineRule="exact"/>
        <w:rPr>
          <w:sz w:val="20"/>
          <w:szCs w:val="20"/>
          <w:color w:val="auto"/>
        </w:rPr>
      </w:pPr>
    </w:p>
    <w:p>
      <w:pPr>
        <w:ind w:left="1080"/>
        <w:spacing w:after="0" w:line="284" w:lineRule="auto"/>
        <w:rPr>
          <w:sz w:val="20"/>
          <w:szCs w:val="20"/>
          <w:color w:val="auto"/>
        </w:rPr>
      </w:pPr>
      <w:r>
        <w:rPr>
          <w:rFonts w:ascii="Arial" w:cs="Arial" w:eastAsia="Arial" w:hAnsi="Arial"/>
          <w:sz w:val="16"/>
          <w:szCs w:val="16"/>
          <w:color w:val="auto"/>
        </w:rPr>
        <w:t>Effective January 1, 2014, James E. Evans, after almost 40 years as the Company’s General Counsel, transitioned from an officer and employee of the Company to an executive consultant to the Company. Under his consulting agreement, Mr. Evans agreed to provide consulting services to the Company and its subsidiaries and affiliates.</w:t>
      </w:r>
    </w:p>
    <w:p>
      <w:pPr>
        <w:spacing w:after="0" w:line="4" w:lineRule="exact"/>
        <w:rPr>
          <w:sz w:val="20"/>
          <w:szCs w:val="20"/>
          <w:color w:val="auto"/>
        </w:rPr>
      </w:pPr>
    </w:p>
    <w:p>
      <w:pPr>
        <w:ind w:left="1080" w:right="20"/>
        <w:spacing w:after="0" w:line="285" w:lineRule="auto"/>
        <w:rPr>
          <w:sz w:val="20"/>
          <w:szCs w:val="20"/>
          <w:color w:val="auto"/>
        </w:rPr>
      </w:pPr>
      <w:r>
        <w:rPr>
          <w:rFonts w:ascii="Arial" w:cs="Arial" w:eastAsia="Arial" w:hAnsi="Arial"/>
          <w:sz w:val="16"/>
          <w:szCs w:val="16"/>
          <w:color w:val="auto"/>
        </w:rPr>
        <w:t>Mr. Evans’ duties include being required to make himself available to answer questions and consult with the Company upon reasonable request and where his cooperation is required or requested to assist the Company in connection with litigation or regulatory inquiries relating to matters arising while he served as an officer of the Company. While the initial term of the consulting arrangement was three years, the Board of Directors has extended the agreement in one-year increments on identical terms for 2017, 2018 and 2019. While extended for 2020, the annual consulting fee to Mr. Evans was reduced from</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$350,000 to $150,000. To date, Mr. Evans has consulted on a constant and consistent basis, primarily in the Company’s offices but at times by phone, with the Co-CEOs, General Counsel and other members of senior management on a wide range of matters including strategic transactions, capital management and other matters important to the Company’s shareholders. The Corporate Governance Committee has determined that Mr. Evans’ duties as an executive consultant to the Company require a large commitment of time, in excess of his duties as a director, and are provided on a constant basis not in connection with Board or Board committee meetings. The Corporate Governance Committee has further determined that the consulting fees paid to Mr. Evans are reasonable in light of the services that Mr. Evans provides and that shareholders benefit from Mr. Evans’ continuing services to the Company in addition to his responsibilities as a director.</w:t>
      </w:r>
    </w:p>
    <w:p>
      <w:pPr>
        <w:spacing w:after="0" w:line="200" w:lineRule="exact"/>
        <w:rPr>
          <w:sz w:val="20"/>
          <w:szCs w:val="20"/>
          <w:color w:val="auto"/>
        </w:rPr>
      </w:pPr>
    </w:p>
    <w:p>
      <w:pPr>
        <w:sectPr>
          <w:pgSz w:w="11900" w:h="16838" w:orient="portrait"/>
          <w:cols w:equalWidth="0" w:num="2">
            <w:col w:w="5400" w:space="440"/>
            <w:col w:w="4300"/>
          </w:cols>
          <w:pgMar w:left="320" w:top="265" w:right="1439" w:bottom="1440" w:gutter="0" w:footer="0" w:header="0"/>
          <w:type w:val="continuous"/>
        </w:sectPr>
      </w:pPr>
    </w:p>
    <w:p>
      <w:pPr>
        <w:spacing w:after="0" w:line="86" w:lineRule="exact"/>
        <w:rPr>
          <w:sz w:val="20"/>
          <w:szCs w:val="20"/>
          <w:color w:val="auto"/>
        </w:rPr>
      </w:pPr>
    </w:p>
    <w:p>
      <w:pPr>
        <w:ind w:left="1160"/>
        <w:spacing w:after="0"/>
        <w:tabs>
          <w:tab w:leader="none" w:pos="9960" w:val="left"/>
        </w:tabs>
        <w:rPr>
          <w:sz w:val="20"/>
          <w:szCs w:val="20"/>
          <w:color w:val="auto"/>
        </w:rPr>
      </w:pPr>
      <w:r>
        <w:rPr>
          <w:rFonts w:ascii="Arial" w:cs="Arial" w:eastAsia="Arial" w:hAnsi="Arial"/>
          <w:sz w:val="16"/>
          <w:szCs w:val="16"/>
          <w:color w:val="auto"/>
        </w:rPr>
        <w:t>2020 Proxy Statement | Executive Compensation</w:t>
      </w:r>
      <w:r>
        <w:rPr>
          <w:sz w:val="20"/>
          <w:szCs w:val="20"/>
          <w:color w:val="auto"/>
        </w:rPr>
        <w:tab/>
      </w: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137795</wp:posOffset>
            </wp:positionV>
            <wp:extent cx="699516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140"/>
          </w:cols>
          <w:pgMar w:left="320" w:top="265" w:right="1439" w:bottom="1440" w:gutter="0" w:footer="0" w:header="0"/>
          <w:type w:val="continuous"/>
        </w:sectPr>
      </w:pPr>
    </w:p>
    <w:bookmarkStart w:id="49" w:name="page50"/>
    <w:bookmarkEnd w:id="49"/>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6515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080" w:right="1260"/>
        <w:spacing w:after="0" w:line="277" w:lineRule="auto"/>
        <w:rPr>
          <w:sz w:val="20"/>
          <w:szCs w:val="20"/>
          <w:color w:val="auto"/>
        </w:rPr>
      </w:pPr>
      <w:r>
        <w:rPr>
          <w:rFonts w:ascii="Arial" w:cs="Arial" w:eastAsia="Arial" w:hAnsi="Arial"/>
          <w:sz w:val="18"/>
          <w:szCs w:val="18"/>
          <w:color w:val="auto"/>
        </w:rPr>
        <w:t>The following table sets forth information concerning director compensation paid or, in the case of restricted share awards received, during 2019.</w:t>
      </w:r>
    </w:p>
    <w:p>
      <w:pPr>
        <w:spacing w:after="0" w:line="151" w:lineRule="exact"/>
        <w:rPr>
          <w:sz w:val="20"/>
          <w:szCs w:val="20"/>
          <w:color w:val="auto"/>
        </w:rPr>
      </w:pPr>
    </w:p>
    <w:tbl>
      <w:tblPr>
        <w:tblLayout w:type="fixed"/>
        <w:tblInd w:w="1810" w:type="dxa"/>
        <w:tblCellMar>
          <w:top w:w="0" w:type="dxa"/>
          <w:left w:w="0" w:type="dxa"/>
          <w:bottom w:w="0" w:type="dxa"/>
          <w:right w:w="0" w:type="dxa"/>
        </w:tblCellMar>
      </w:tblPr>
      <w:tr>
        <w:trPr>
          <w:trHeight w:val="319"/>
        </w:trPr>
        <w:tc>
          <w:tcPr>
            <w:tcW w:w="2720" w:type="dxa"/>
            <w:vAlign w:val="bottom"/>
            <w:tcBorders>
              <w:top w:val="single" w:sz="8" w:color="auto"/>
              <w:left w:val="single" w:sz="8" w:color="auto"/>
              <w:right w:val="single" w:sz="8" w:color="auto"/>
            </w:tcBorders>
            <w:shd w:val="clear" w:color="auto" w:fill="BFBFBF"/>
          </w:tcPr>
          <w:p>
            <w:pPr>
              <w:spacing w:after="0"/>
              <w:rPr>
                <w:sz w:val="24"/>
                <w:szCs w:val="24"/>
                <w:color w:val="auto"/>
              </w:rPr>
            </w:pPr>
          </w:p>
        </w:tc>
        <w:tc>
          <w:tcPr>
            <w:tcW w:w="1220" w:type="dxa"/>
            <w:vAlign w:val="bottom"/>
            <w:tcBorders>
              <w:top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18"/>
                <w:szCs w:val="18"/>
                <w:b w:val="1"/>
                <w:bCs w:val="1"/>
                <w:color w:val="auto"/>
                <w:w w:val="89"/>
              </w:rPr>
              <w:t>Fees Earned</w:t>
            </w:r>
          </w:p>
        </w:tc>
        <w:tc>
          <w:tcPr>
            <w:tcW w:w="1220" w:type="dxa"/>
            <w:vAlign w:val="bottom"/>
            <w:tcBorders>
              <w:top w:val="single" w:sz="8" w:color="auto"/>
              <w:right w:val="single" w:sz="8" w:color="auto"/>
            </w:tcBorders>
            <w:shd w:val="clear" w:color="auto" w:fill="BFBFBF"/>
          </w:tcPr>
          <w:p>
            <w:pPr>
              <w:ind w:left="360"/>
              <w:spacing w:after="0"/>
              <w:rPr>
                <w:sz w:val="20"/>
                <w:szCs w:val="20"/>
                <w:color w:val="auto"/>
              </w:rPr>
            </w:pPr>
            <w:r>
              <w:rPr>
                <w:rFonts w:ascii="Arial" w:cs="Arial" w:eastAsia="Arial" w:hAnsi="Arial"/>
                <w:sz w:val="18"/>
                <w:szCs w:val="18"/>
                <w:b w:val="1"/>
                <w:bCs w:val="1"/>
                <w:color w:val="auto"/>
              </w:rPr>
              <w:t>Stock</w:t>
            </w:r>
          </w:p>
        </w:tc>
        <w:tc>
          <w:tcPr>
            <w:tcW w:w="1240" w:type="dxa"/>
            <w:vAlign w:val="bottom"/>
            <w:tcBorders>
              <w:top w:val="single" w:sz="8" w:color="auto"/>
              <w:right w:val="single" w:sz="8" w:color="auto"/>
            </w:tcBorders>
            <w:shd w:val="clear" w:color="auto" w:fill="BFBFBF"/>
          </w:tcPr>
          <w:p>
            <w:pPr>
              <w:jc w:val="center"/>
              <w:ind w:right="10"/>
              <w:spacing w:after="0"/>
              <w:rPr>
                <w:sz w:val="20"/>
                <w:szCs w:val="20"/>
                <w:color w:val="auto"/>
              </w:rPr>
            </w:pPr>
            <w:r>
              <w:rPr>
                <w:rFonts w:ascii="Arial" w:cs="Arial" w:eastAsia="Arial" w:hAnsi="Arial"/>
                <w:sz w:val="18"/>
                <w:szCs w:val="18"/>
                <w:b w:val="1"/>
                <w:bCs w:val="1"/>
                <w:color w:val="auto"/>
                <w:w w:val="97"/>
              </w:rPr>
              <w:t>All Other</w:t>
            </w:r>
          </w:p>
        </w:tc>
        <w:tc>
          <w:tcPr>
            <w:tcW w:w="1240" w:type="dxa"/>
            <w:vAlign w:val="bottom"/>
            <w:tcBorders>
              <w:top w:val="single" w:sz="8" w:color="auto"/>
              <w:right w:val="single" w:sz="8" w:color="auto"/>
            </w:tcBorders>
            <w:shd w:val="clear" w:color="auto" w:fill="BFBFBF"/>
          </w:tcPr>
          <w:p>
            <w:pPr>
              <w:spacing w:after="0"/>
              <w:rPr>
                <w:sz w:val="24"/>
                <w:szCs w:val="24"/>
                <w:color w:val="auto"/>
              </w:rPr>
            </w:pPr>
          </w:p>
        </w:tc>
      </w:tr>
      <w:tr>
        <w:trPr>
          <w:trHeight w:val="216"/>
        </w:trPr>
        <w:tc>
          <w:tcPr>
            <w:tcW w:w="2720" w:type="dxa"/>
            <w:vAlign w:val="bottom"/>
            <w:tcBorders>
              <w:left w:val="single" w:sz="8" w:color="auto"/>
              <w:right w:val="single" w:sz="8" w:color="auto"/>
            </w:tcBorders>
            <w:shd w:val="clear" w:color="auto" w:fill="BFBFBF"/>
          </w:tcPr>
          <w:p>
            <w:pPr>
              <w:spacing w:after="0"/>
              <w:rPr>
                <w:sz w:val="18"/>
                <w:szCs w:val="18"/>
                <w:color w:val="auto"/>
              </w:rPr>
            </w:pPr>
          </w:p>
        </w:tc>
        <w:tc>
          <w:tcPr>
            <w:tcW w:w="1220" w:type="dxa"/>
            <w:vAlign w:val="bottom"/>
            <w:tcBorders>
              <w:right w:val="single" w:sz="8" w:color="auto"/>
            </w:tcBorders>
            <w:shd w:val="clear" w:color="auto" w:fill="BFBFBF"/>
          </w:tcPr>
          <w:p>
            <w:pPr>
              <w:jc w:val="center"/>
              <w:spacing w:after="0"/>
              <w:rPr>
                <w:sz w:val="20"/>
                <w:szCs w:val="20"/>
                <w:color w:val="auto"/>
              </w:rPr>
            </w:pPr>
            <w:r>
              <w:rPr>
                <w:rFonts w:ascii="Arial" w:cs="Arial" w:eastAsia="Arial" w:hAnsi="Arial"/>
                <w:sz w:val="18"/>
                <w:szCs w:val="18"/>
                <w:b w:val="1"/>
                <w:bCs w:val="1"/>
                <w:color w:val="auto"/>
                <w:w w:val="92"/>
              </w:rPr>
              <w:t>or Paid in</w:t>
            </w:r>
          </w:p>
        </w:tc>
        <w:tc>
          <w:tcPr>
            <w:tcW w:w="1220" w:type="dxa"/>
            <w:vAlign w:val="bottom"/>
            <w:tcBorders>
              <w:right w:val="single" w:sz="8" w:color="auto"/>
            </w:tcBorders>
            <w:shd w:val="clear" w:color="auto" w:fill="BFBFBF"/>
          </w:tcPr>
          <w:p>
            <w:pPr>
              <w:ind w:left="300"/>
              <w:spacing w:after="0"/>
              <w:rPr>
                <w:sz w:val="20"/>
                <w:szCs w:val="20"/>
                <w:color w:val="auto"/>
              </w:rPr>
            </w:pPr>
            <w:r>
              <w:rPr>
                <w:rFonts w:ascii="Arial" w:cs="Arial" w:eastAsia="Arial" w:hAnsi="Arial"/>
                <w:sz w:val="18"/>
                <w:szCs w:val="18"/>
                <w:b w:val="1"/>
                <w:bCs w:val="1"/>
                <w:color w:val="auto"/>
              </w:rPr>
              <w:t>Award</w:t>
            </w:r>
          </w:p>
        </w:tc>
        <w:tc>
          <w:tcPr>
            <w:tcW w:w="1240" w:type="dxa"/>
            <w:vAlign w:val="bottom"/>
            <w:tcBorders>
              <w:right w:val="single" w:sz="8" w:color="auto"/>
            </w:tcBorders>
            <w:shd w:val="clear" w:color="auto" w:fill="BFBFBF"/>
          </w:tcPr>
          <w:p>
            <w:pPr>
              <w:jc w:val="center"/>
              <w:spacing w:after="0"/>
              <w:rPr>
                <w:sz w:val="20"/>
                <w:szCs w:val="20"/>
                <w:color w:val="auto"/>
              </w:rPr>
            </w:pPr>
            <w:r>
              <w:rPr>
                <w:rFonts w:ascii="Arial" w:cs="Arial" w:eastAsia="Arial" w:hAnsi="Arial"/>
                <w:sz w:val="18"/>
                <w:szCs w:val="18"/>
                <w:b w:val="1"/>
                <w:bCs w:val="1"/>
                <w:color w:val="auto"/>
                <w:w w:val="89"/>
              </w:rPr>
              <w:t>Compensation</w:t>
            </w:r>
          </w:p>
        </w:tc>
        <w:tc>
          <w:tcPr>
            <w:tcW w:w="1240" w:type="dxa"/>
            <w:vAlign w:val="bottom"/>
            <w:tcBorders>
              <w:right w:val="single" w:sz="8" w:color="auto"/>
            </w:tcBorders>
            <w:shd w:val="clear" w:color="auto" w:fill="BFBFBF"/>
          </w:tcPr>
          <w:p>
            <w:pPr>
              <w:spacing w:after="0"/>
              <w:rPr>
                <w:sz w:val="18"/>
                <w:szCs w:val="18"/>
                <w:color w:val="auto"/>
              </w:rPr>
            </w:pPr>
          </w:p>
        </w:tc>
      </w:tr>
      <w:tr>
        <w:trPr>
          <w:trHeight w:val="293"/>
        </w:trPr>
        <w:tc>
          <w:tcPr>
            <w:tcW w:w="2720" w:type="dxa"/>
            <w:vAlign w:val="bottom"/>
            <w:tcBorders>
              <w:left w:val="single" w:sz="8" w:color="auto"/>
              <w:bottom w:val="single" w:sz="8" w:color="BFBFBF"/>
              <w:right w:val="single" w:sz="8" w:color="auto"/>
            </w:tcBorders>
            <w:shd w:val="clear" w:color="auto" w:fill="BFBFBF"/>
          </w:tcPr>
          <w:p>
            <w:pPr>
              <w:ind w:left="1120"/>
              <w:spacing w:after="0"/>
              <w:rPr>
                <w:sz w:val="20"/>
                <w:szCs w:val="20"/>
                <w:color w:val="auto"/>
              </w:rPr>
            </w:pPr>
            <w:r>
              <w:rPr>
                <w:rFonts w:ascii="Arial" w:cs="Arial" w:eastAsia="Arial" w:hAnsi="Arial"/>
                <w:sz w:val="18"/>
                <w:szCs w:val="18"/>
                <w:b w:val="1"/>
                <w:bCs w:val="1"/>
                <w:color w:val="auto"/>
              </w:rPr>
              <w:t>Name</w:t>
            </w:r>
          </w:p>
        </w:tc>
        <w:tc>
          <w:tcPr>
            <w:tcW w:w="1220" w:type="dxa"/>
            <w:vAlign w:val="bottom"/>
            <w:tcBorders>
              <w:bottom w:val="single" w:sz="8" w:color="BFBFBF"/>
              <w:right w:val="single" w:sz="8" w:color="auto"/>
            </w:tcBorders>
            <w:shd w:val="clear" w:color="auto" w:fill="BFBFBF"/>
          </w:tcPr>
          <w:p>
            <w:pPr>
              <w:jc w:val="center"/>
              <w:spacing w:after="0"/>
              <w:rPr>
                <w:sz w:val="20"/>
                <w:szCs w:val="20"/>
                <w:color w:val="auto"/>
              </w:rPr>
            </w:pPr>
            <w:r>
              <w:rPr>
                <w:rFonts w:ascii="Arial" w:cs="Arial" w:eastAsia="Arial" w:hAnsi="Arial"/>
                <w:sz w:val="18"/>
                <w:szCs w:val="18"/>
                <w:b w:val="1"/>
                <w:bCs w:val="1"/>
                <w:color w:val="auto"/>
                <w:w w:val="90"/>
              </w:rPr>
              <w:t>Cash ($)</w:t>
            </w:r>
          </w:p>
        </w:tc>
        <w:tc>
          <w:tcPr>
            <w:tcW w:w="1220" w:type="dxa"/>
            <w:vAlign w:val="bottom"/>
            <w:tcBorders>
              <w:bottom w:val="single" w:sz="8" w:color="BFBFBF"/>
              <w:right w:val="single" w:sz="8" w:color="auto"/>
            </w:tcBorders>
            <w:shd w:val="clear" w:color="auto" w:fill="BFBFBF"/>
          </w:tcPr>
          <w:p>
            <w:pPr>
              <w:ind w:left="360"/>
              <w:spacing w:after="0"/>
              <w:rPr>
                <w:sz w:val="20"/>
                <w:szCs w:val="20"/>
                <w:color w:val="auto"/>
              </w:rPr>
            </w:pPr>
            <w:r>
              <w:rPr>
                <w:rFonts w:ascii="Arial" w:cs="Arial" w:eastAsia="Arial" w:hAnsi="Arial"/>
                <w:sz w:val="18"/>
                <w:szCs w:val="18"/>
                <w:b w:val="1"/>
                <w:bCs w:val="1"/>
                <w:color w:val="auto"/>
              </w:rPr>
              <w:t>($) (1)</w:t>
            </w:r>
          </w:p>
        </w:tc>
        <w:tc>
          <w:tcPr>
            <w:tcW w:w="1240" w:type="dxa"/>
            <w:vAlign w:val="bottom"/>
            <w:tcBorders>
              <w:bottom w:val="single" w:sz="8" w:color="BFBFBF"/>
              <w:right w:val="single" w:sz="8" w:color="auto"/>
            </w:tcBorders>
            <w:shd w:val="clear" w:color="auto" w:fill="BFBFBF"/>
          </w:tcPr>
          <w:p>
            <w:pPr>
              <w:jc w:val="center"/>
              <w:spacing w:after="0"/>
              <w:rPr>
                <w:sz w:val="20"/>
                <w:szCs w:val="20"/>
                <w:color w:val="auto"/>
              </w:rPr>
            </w:pPr>
            <w:r>
              <w:rPr>
                <w:rFonts w:ascii="Arial" w:cs="Arial" w:eastAsia="Arial" w:hAnsi="Arial"/>
                <w:sz w:val="18"/>
                <w:szCs w:val="18"/>
                <w:b w:val="1"/>
                <w:bCs w:val="1"/>
                <w:color w:val="auto"/>
                <w:w w:val="90"/>
              </w:rPr>
              <w:t>($)</w:t>
            </w:r>
          </w:p>
        </w:tc>
        <w:tc>
          <w:tcPr>
            <w:tcW w:w="1240" w:type="dxa"/>
            <w:vAlign w:val="bottom"/>
            <w:tcBorders>
              <w:bottom w:val="single" w:sz="8" w:color="BFBFBF"/>
              <w:right w:val="single" w:sz="8" w:color="auto"/>
            </w:tcBorders>
            <w:shd w:val="clear" w:color="auto" w:fill="BFBFBF"/>
          </w:tcPr>
          <w:p>
            <w:pPr>
              <w:ind w:left="300"/>
              <w:spacing w:after="0"/>
              <w:rPr>
                <w:sz w:val="20"/>
                <w:szCs w:val="20"/>
                <w:color w:val="auto"/>
              </w:rPr>
            </w:pPr>
            <w:r>
              <w:rPr>
                <w:rFonts w:ascii="Arial" w:cs="Arial" w:eastAsia="Arial" w:hAnsi="Arial"/>
                <w:sz w:val="18"/>
                <w:szCs w:val="18"/>
                <w:b w:val="1"/>
                <w:bCs w:val="1"/>
                <w:color w:val="auto"/>
              </w:rPr>
              <w:t>Total ($)</w:t>
            </w:r>
          </w:p>
        </w:tc>
      </w:tr>
      <w:tr>
        <w:trPr>
          <w:trHeight w:val="263"/>
        </w:trPr>
        <w:tc>
          <w:tcPr>
            <w:tcW w:w="272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Kenneth C. Ambrecht</w:t>
            </w:r>
          </w:p>
        </w:tc>
        <w:tc>
          <w:tcPr>
            <w:tcW w:w="12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133,917</w:t>
            </w:r>
          </w:p>
        </w:tc>
        <w:tc>
          <w:tcPr>
            <w:tcW w:w="1220" w:type="dxa"/>
            <w:vAlign w:val="bottom"/>
            <w:tcBorders>
              <w:top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145,016</w:t>
            </w:r>
          </w:p>
        </w:tc>
        <w:tc>
          <w:tcPr>
            <w:tcW w:w="1240" w:type="dxa"/>
            <w:vAlign w:val="bottom"/>
            <w:tcBorders>
              <w:top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278,933</w:t>
            </w:r>
          </w:p>
        </w:tc>
      </w:tr>
      <w:tr>
        <w:trPr>
          <w:trHeight w:val="54"/>
        </w:trPr>
        <w:tc>
          <w:tcPr>
            <w:tcW w:w="2720" w:type="dxa"/>
            <w:vAlign w:val="bottom"/>
            <w:tcBorders>
              <w:left w:val="single" w:sz="8" w:color="auto"/>
              <w:bottom w:val="single" w:sz="8" w:color="auto"/>
              <w:right w:val="single" w:sz="8" w:color="auto"/>
            </w:tcBorders>
          </w:tcPr>
          <w:p>
            <w:pPr>
              <w:spacing w:after="0"/>
              <w:rPr>
                <w:sz w:val="4"/>
                <w:szCs w:val="4"/>
                <w:color w:val="auto"/>
              </w:rPr>
            </w:pPr>
          </w:p>
        </w:tc>
        <w:tc>
          <w:tcPr>
            <w:tcW w:w="1220" w:type="dxa"/>
            <w:vAlign w:val="bottom"/>
            <w:tcBorders>
              <w:bottom w:val="single" w:sz="8" w:color="auto"/>
              <w:right w:val="single" w:sz="8" w:color="auto"/>
            </w:tcBorders>
          </w:tcPr>
          <w:p>
            <w:pPr>
              <w:spacing w:after="0"/>
              <w:rPr>
                <w:sz w:val="4"/>
                <w:szCs w:val="4"/>
                <w:color w:val="auto"/>
              </w:rPr>
            </w:pPr>
          </w:p>
        </w:tc>
        <w:tc>
          <w:tcPr>
            <w:tcW w:w="122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r>
      <w:tr>
        <w:trPr>
          <w:trHeight w:val="263"/>
        </w:trPr>
        <w:tc>
          <w:tcPr>
            <w:tcW w:w="27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Virginia “Gina” C. Drosos</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126,917</w:t>
            </w:r>
          </w:p>
        </w:tc>
        <w:tc>
          <w:tcPr>
            <w:tcW w:w="122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145,016</w:t>
            </w:r>
          </w:p>
        </w:tc>
        <w:tc>
          <w:tcPr>
            <w:tcW w:w="1240" w:type="dxa"/>
            <w:vAlign w:val="bottom"/>
            <w:tcBorders>
              <w:right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271,933</w:t>
            </w:r>
          </w:p>
        </w:tc>
      </w:tr>
      <w:tr>
        <w:trPr>
          <w:trHeight w:val="54"/>
        </w:trPr>
        <w:tc>
          <w:tcPr>
            <w:tcW w:w="2720" w:type="dxa"/>
            <w:vAlign w:val="bottom"/>
            <w:tcBorders>
              <w:left w:val="single" w:sz="8" w:color="auto"/>
              <w:bottom w:val="single" w:sz="8" w:color="auto"/>
              <w:right w:val="single" w:sz="8" w:color="auto"/>
            </w:tcBorders>
          </w:tcPr>
          <w:p>
            <w:pPr>
              <w:spacing w:after="0"/>
              <w:rPr>
                <w:sz w:val="4"/>
                <w:szCs w:val="4"/>
                <w:color w:val="auto"/>
              </w:rPr>
            </w:pPr>
          </w:p>
        </w:tc>
        <w:tc>
          <w:tcPr>
            <w:tcW w:w="1220" w:type="dxa"/>
            <w:vAlign w:val="bottom"/>
            <w:tcBorders>
              <w:bottom w:val="single" w:sz="8" w:color="auto"/>
              <w:right w:val="single" w:sz="8" w:color="auto"/>
            </w:tcBorders>
          </w:tcPr>
          <w:p>
            <w:pPr>
              <w:spacing w:after="0"/>
              <w:rPr>
                <w:sz w:val="4"/>
                <w:szCs w:val="4"/>
                <w:color w:val="auto"/>
              </w:rPr>
            </w:pPr>
          </w:p>
        </w:tc>
        <w:tc>
          <w:tcPr>
            <w:tcW w:w="122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r>
      <w:tr>
        <w:trPr>
          <w:trHeight w:val="263"/>
        </w:trPr>
        <w:tc>
          <w:tcPr>
            <w:tcW w:w="27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James E. Evans (2)</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113,917</w:t>
            </w:r>
          </w:p>
        </w:tc>
        <w:tc>
          <w:tcPr>
            <w:tcW w:w="122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145,016</w:t>
            </w:r>
          </w:p>
        </w:tc>
        <w:tc>
          <w:tcPr>
            <w:tcW w:w="1240" w:type="dxa"/>
            <w:vAlign w:val="bottom"/>
            <w:tcBorders>
              <w:right w:val="single" w:sz="8" w:color="auto"/>
            </w:tcBorders>
          </w:tcPr>
          <w:p>
            <w:pPr>
              <w:jc w:val="right"/>
              <w:ind w:right="270"/>
              <w:spacing w:after="0"/>
              <w:rPr>
                <w:sz w:val="20"/>
                <w:szCs w:val="20"/>
                <w:color w:val="auto"/>
              </w:rPr>
            </w:pPr>
            <w:r>
              <w:rPr>
                <w:rFonts w:ascii="Arial" w:cs="Arial" w:eastAsia="Arial" w:hAnsi="Arial"/>
                <w:sz w:val="18"/>
                <w:szCs w:val="18"/>
                <w:color w:val="auto"/>
              </w:rPr>
              <w:t>355,226</w:t>
            </w:r>
          </w:p>
        </w:tc>
        <w:tc>
          <w:tcPr>
            <w:tcW w:w="124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614,159</w:t>
            </w:r>
          </w:p>
        </w:tc>
      </w:tr>
      <w:tr>
        <w:trPr>
          <w:trHeight w:val="54"/>
        </w:trPr>
        <w:tc>
          <w:tcPr>
            <w:tcW w:w="2720" w:type="dxa"/>
            <w:vAlign w:val="bottom"/>
            <w:tcBorders>
              <w:left w:val="single" w:sz="8" w:color="auto"/>
              <w:bottom w:val="single" w:sz="8" w:color="auto"/>
              <w:right w:val="single" w:sz="8" w:color="auto"/>
            </w:tcBorders>
          </w:tcPr>
          <w:p>
            <w:pPr>
              <w:spacing w:after="0"/>
              <w:rPr>
                <w:sz w:val="4"/>
                <w:szCs w:val="4"/>
                <w:color w:val="auto"/>
              </w:rPr>
            </w:pPr>
          </w:p>
        </w:tc>
        <w:tc>
          <w:tcPr>
            <w:tcW w:w="1220" w:type="dxa"/>
            <w:vAlign w:val="bottom"/>
            <w:tcBorders>
              <w:bottom w:val="single" w:sz="8" w:color="auto"/>
              <w:right w:val="single" w:sz="8" w:color="auto"/>
            </w:tcBorders>
          </w:tcPr>
          <w:p>
            <w:pPr>
              <w:spacing w:after="0"/>
              <w:rPr>
                <w:sz w:val="4"/>
                <w:szCs w:val="4"/>
                <w:color w:val="auto"/>
              </w:rPr>
            </w:pPr>
          </w:p>
        </w:tc>
        <w:tc>
          <w:tcPr>
            <w:tcW w:w="122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r>
      <w:tr>
        <w:trPr>
          <w:trHeight w:val="263"/>
        </w:trPr>
        <w:tc>
          <w:tcPr>
            <w:tcW w:w="27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Terry S. Jacobs</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143,917</w:t>
            </w:r>
          </w:p>
        </w:tc>
        <w:tc>
          <w:tcPr>
            <w:tcW w:w="122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145,016</w:t>
            </w:r>
          </w:p>
        </w:tc>
        <w:tc>
          <w:tcPr>
            <w:tcW w:w="1240" w:type="dxa"/>
            <w:vAlign w:val="bottom"/>
            <w:tcBorders>
              <w:right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288,933</w:t>
            </w:r>
          </w:p>
        </w:tc>
      </w:tr>
      <w:tr>
        <w:trPr>
          <w:trHeight w:val="54"/>
        </w:trPr>
        <w:tc>
          <w:tcPr>
            <w:tcW w:w="2720" w:type="dxa"/>
            <w:vAlign w:val="bottom"/>
            <w:tcBorders>
              <w:left w:val="single" w:sz="8" w:color="auto"/>
              <w:bottom w:val="single" w:sz="8" w:color="auto"/>
              <w:right w:val="single" w:sz="8" w:color="auto"/>
            </w:tcBorders>
          </w:tcPr>
          <w:p>
            <w:pPr>
              <w:spacing w:after="0"/>
              <w:rPr>
                <w:sz w:val="4"/>
                <w:szCs w:val="4"/>
                <w:color w:val="auto"/>
              </w:rPr>
            </w:pPr>
          </w:p>
        </w:tc>
        <w:tc>
          <w:tcPr>
            <w:tcW w:w="1220" w:type="dxa"/>
            <w:vAlign w:val="bottom"/>
            <w:tcBorders>
              <w:bottom w:val="single" w:sz="8" w:color="auto"/>
              <w:right w:val="single" w:sz="8" w:color="auto"/>
            </w:tcBorders>
          </w:tcPr>
          <w:p>
            <w:pPr>
              <w:spacing w:after="0"/>
              <w:rPr>
                <w:sz w:val="4"/>
                <w:szCs w:val="4"/>
                <w:color w:val="auto"/>
              </w:rPr>
            </w:pPr>
          </w:p>
        </w:tc>
        <w:tc>
          <w:tcPr>
            <w:tcW w:w="122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r>
      <w:tr>
        <w:trPr>
          <w:trHeight w:val="263"/>
        </w:trPr>
        <w:tc>
          <w:tcPr>
            <w:tcW w:w="27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Gregory G. Joseph</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169,750</w:t>
            </w:r>
          </w:p>
        </w:tc>
        <w:tc>
          <w:tcPr>
            <w:tcW w:w="122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145,016</w:t>
            </w:r>
          </w:p>
        </w:tc>
        <w:tc>
          <w:tcPr>
            <w:tcW w:w="1240" w:type="dxa"/>
            <w:vAlign w:val="bottom"/>
            <w:tcBorders>
              <w:right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314,766</w:t>
            </w:r>
          </w:p>
        </w:tc>
      </w:tr>
      <w:tr>
        <w:trPr>
          <w:trHeight w:val="54"/>
        </w:trPr>
        <w:tc>
          <w:tcPr>
            <w:tcW w:w="2720" w:type="dxa"/>
            <w:vAlign w:val="bottom"/>
            <w:tcBorders>
              <w:left w:val="single" w:sz="8" w:color="auto"/>
              <w:bottom w:val="single" w:sz="8" w:color="auto"/>
              <w:right w:val="single" w:sz="8" w:color="auto"/>
            </w:tcBorders>
          </w:tcPr>
          <w:p>
            <w:pPr>
              <w:spacing w:after="0"/>
              <w:rPr>
                <w:sz w:val="4"/>
                <w:szCs w:val="4"/>
                <w:color w:val="auto"/>
              </w:rPr>
            </w:pPr>
          </w:p>
        </w:tc>
        <w:tc>
          <w:tcPr>
            <w:tcW w:w="1220" w:type="dxa"/>
            <w:vAlign w:val="bottom"/>
            <w:tcBorders>
              <w:bottom w:val="single" w:sz="8" w:color="auto"/>
              <w:right w:val="single" w:sz="8" w:color="auto"/>
            </w:tcBorders>
          </w:tcPr>
          <w:p>
            <w:pPr>
              <w:spacing w:after="0"/>
              <w:rPr>
                <w:sz w:val="4"/>
                <w:szCs w:val="4"/>
                <w:color w:val="auto"/>
              </w:rPr>
            </w:pPr>
          </w:p>
        </w:tc>
        <w:tc>
          <w:tcPr>
            <w:tcW w:w="122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r>
      <w:tr>
        <w:trPr>
          <w:trHeight w:val="263"/>
        </w:trPr>
        <w:tc>
          <w:tcPr>
            <w:tcW w:w="27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Mary Beth Martin</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106,583</w:t>
            </w:r>
          </w:p>
        </w:tc>
        <w:tc>
          <w:tcPr>
            <w:tcW w:w="122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145,016</w:t>
            </w:r>
          </w:p>
        </w:tc>
        <w:tc>
          <w:tcPr>
            <w:tcW w:w="1240" w:type="dxa"/>
            <w:vAlign w:val="bottom"/>
            <w:tcBorders>
              <w:right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251,599</w:t>
            </w:r>
          </w:p>
        </w:tc>
      </w:tr>
      <w:tr>
        <w:trPr>
          <w:trHeight w:val="54"/>
        </w:trPr>
        <w:tc>
          <w:tcPr>
            <w:tcW w:w="2720" w:type="dxa"/>
            <w:vAlign w:val="bottom"/>
            <w:tcBorders>
              <w:left w:val="single" w:sz="8" w:color="auto"/>
              <w:bottom w:val="single" w:sz="8" w:color="auto"/>
              <w:right w:val="single" w:sz="8" w:color="auto"/>
            </w:tcBorders>
          </w:tcPr>
          <w:p>
            <w:pPr>
              <w:spacing w:after="0"/>
              <w:rPr>
                <w:sz w:val="4"/>
                <w:szCs w:val="4"/>
                <w:color w:val="auto"/>
              </w:rPr>
            </w:pPr>
          </w:p>
        </w:tc>
        <w:tc>
          <w:tcPr>
            <w:tcW w:w="1220" w:type="dxa"/>
            <w:vAlign w:val="bottom"/>
            <w:tcBorders>
              <w:bottom w:val="single" w:sz="8" w:color="auto"/>
              <w:right w:val="single" w:sz="8" w:color="auto"/>
            </w:tcBorders>
          </w:tcPr>
          <w:p>
            <w:pPr>
              <w:spacing w:after="0"/>
              <w:rPr>
                <w:sz w:val="4"/>
                <w:szCs w:val="4"/>
                <w:color w:val="auto"/>
              </w:rPr>
            </w:pPr>
          </w:p>
        </w:tc>
        <w:tc>
          <w:tcPr>
            <w:tcW w:w="122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r>
      <w:tr>
        <w:trPr>
          <w:trHeight w:val="263"/>
        </w:trPr>
        <w:tc>
          <w:tcPr>
            <w:tcW w:w="27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William W. Verity</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138,917</w:t>
            </w:r>
          </w:p>
        </w:tc>
        <w:tc>
          <w:tcPr>
            <w:tcW w:w="122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145,016</w:t>
            </w:r>
          </w:p>
        </w:tc>
        <w:tc>
          <w:tcPr>
            <w:tcW w:w="1240" w:type="dxa"/>
            <w:vAlign w:val="bottom"/>
            <w:tcBorders>
              <w:right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283,933</w:t>
            </w:r>
          </w:p>
        </w:tc>
      </w:tr>
      <w:tr>
        <w:trPr>
          <w:trHeight w:val="54"/>
        </w:trPr>
        <w:tc>
          <w:tcPr>
            <w:tcW w:w="2720" w:type="dxa"/>
            <w:vAlign w:val="bottom"/>
            <w:tcBorders>
              <w:left w:val="single" w:sz="8" w:color="auto"/>
              <w:bottom w:val="single" w:sz="8" w:color="auto"/>
              <w:right w:val="single" w:sz="8" w:color="auto"/>
            </w:tcBorders>
          </w:tcPr>
          <w:p>
            <w:pPr>
              <w:spacing w:after="0"/>
              <w:rPr>
                <w:sz w:val="4"/>
                <w:szCs w:val="4"/>
                <w:color w:val="auto"/>
              </w:rPr>
            </w:pPr>
          </w:p>
        </w:tc>
        <w:tc>
          <w:tcPr>
            <w:tcW w:w="1220" w:type="dxa"/>
            <w:vAlign w:val="bottom"/>
            <w:tcBorders>
              <w:bottom w:val="single" w:sz="8" w:color="auto"/>
              <w:right w:val="single" w:sz="8" w:color="auto"/>
            </w:tcBorders>
          </w:tcPr>
          <w:p>
            <w:pPr>
              <w:spacing w:after="0"/>
              <w:rPr>
                <w:sz w:val="4"/>
                <w:szCs w:val="4"/>
                <w:color w:val="auto"/>
              </w:rPr>
            </w:pPr>
          </w:p>
        </w:tc>
        <w:tc>
          <w:tcPr>
            <w:tcW w:w="122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r>
      <w:tr>
        <w:trPr>
          <w:trHeight w:val="263"/>
        </w:trPr>
        <w:tc>
          <w:tcPr>
            <w:tcW w:w="27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John I. Von Lehman</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124,917</w:t>
            </w:r>
          </w:p>
        </w:tc>
        <w:tc>
          <w:tcPr>
            <w:tcW w:w="122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145,016</w:t>
            </w:r>
          </w:p>
        </w:tc>
        <w:tc>
          <w:tcPr>
            <w:tcW w:w="1240" w:type="dxa"/>
            <w:vAlign w:val="bottom"/>
            <w:tcBorders>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269,933</w:t>
            </w:r>
          </w:p>
        </w:tc>
      </w:tr>
    </w:tbl>
    <w:p>
      <w:pPr>
        <w:spacing w:after="0" w:line="80" w:lineRule="exact"/>
        <w:rPr>
          <w:sz w:val="20"/>
          <w:szCs w:val="20"/>
          <w:color w:val="auto"/>
        </w:rPr>
      </w:pPr>
    </w:p>
    <w:p>
      <w:pPr>
        <w:ind w:left="1800" w:right="1360" w:hanging="352"/>
        <w:spacing w:after="0" w:line="253" w:lineRule="auto"/>
        <w:tabs>
          <w:tab w:leader="none" w:pos="18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 xml:space="preserve">Calculated as the compensation cost for financial statement reporting purposes with respect to the annual stock grant under the Non-Employee Director Compensation Plan. See “Security Ownership of Certain Beneficial Owners and Management” on page </w:t>
      </w:r>
      <w:hyperlink w:anchor="page20">
        <w:r>
          <w:rPr>
            <w:rFonts w:ascii="Arial" w:cs="Arial" w:eastAsia="Arial" w:hAnsi="Arial"/>
            <w:sz w:val="16"/>
            <w:szCs w:val="16"/>
            <w:u w:val="single" w:color="auto"/>
            <w:color w:val="0000EE"/>
          </w:rPr>
          <w:t>13</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for detail on beneficial ownership of AFG common shares by directors.</w:t>
      </w:r>
    </w:p>
    <w:p>
      <w:pPr>
        <w:spacing w:after="0" w:line="1" w:lineRule="exact"/>
        <w:rPr>
          <w:rFonts w:ascii="Arial" w:cs="Arial" w:eastAsia="Arial" w:hAnsi="Arial"/>
          <w:sz w:val="16"/>
          <w:szCs w:val="16"/>
          <w:color w:val="auto"/>
        </w:rPr>
      </w:pPr>
    </w:p>
    <w:p>
      <w:pPr>
        <w:ind w:left="1800" w:right="1100" w:hanging="352"/>
        <w:spacing w:after="0" w:line="254" w:lineRule="auto"/>
        <w:tabs>
          <w:tab w:leader="none" w:pos="18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All Other Compensation consists of amounts paid to Mr. Evans under a consulting arrangement, as amended, entered into between the Company and Mr. Evans in connection with his transition from executive officer and employee of the Company to executive consultant. Under the arrangement, Mr. Evans received a consulting fee in 2019 of $350,000 as well as parking and related expenses and compensation for his continued service as a director in accordance with the Company’s compensation policies for non-employee directors. In December 2019, the consulting arrangement was extended for 2020 at a reduced consulting fee of $150,000.</w:t>
      </w:r>
    </w:p>
    <w:p>
      <w:pPr>
        <w:spacing w:after="0" w:line="292" w:lineRule="exact"/>
        <w:rPr>
          <w:sz w:val="20"/>
          <w:szCs w:val="20"/>
          <w:color w:val="auto"/>
        </w:rPr>
      </w:pPr>
    </w:p>
    <w:tbl>
      <w:tblPr>
        <w:tblLayout w:type="fixed"/>
        <w:tblInd w:w="120" w:type="dxa"/>
        <w:tblCellMar>
          <w:top w:w="0" w:type="dxa"/>
          <w:left w:w="0" w:type="dxa"/>
          <w:bottom w:w="0" w:type="dxa"/>
          <w:right w:w="0" w:type="dxa"/>
        </w:tblCellMar>
      </w:tblPr>
      <w:tr>
        <w:trPr>
          <w:trHeight w:val="206"/>
        </w:trPr>
        <w:tc>
          <w:tcPr>
            <w:tcW w:w="7040" w:type="dxa"/>
            <w:vAlign w:val="bottom"/>
          </w:tcPr>
          <w:p>
            <w:pPr>
              <w:ind w:left="1040"/>
              <w:spacing w:after="0"/>
              <w:rPr>
                <w:sz w:val="20"/>
                <w:szCs w:val="20"/>
                <w:color w:val="auto"/>
              </w:rPr>
            </w:pPr>
            <w:r>
              <w:rPr>
                <w:rFonts w:ascii="Arial" w:cs="Arial" w:eastAsia="Arial" w:hAnsi="Arial"/>
                <w:sz w:val="16"/>
                <w:szCs w:val="16"/>
                <w:color w:val="auto"/>
              </w:rPr>
              <w:t>2020 Proxy Statement | Executive Compensation</w:t>
            </w:r>
          </w:p>
        </w:tc>
        <w:tc>
          <w:tcPr>
            <w:tcW w:w="3980" w:type="dxa"/>
            <w:vAlign w:val="bottom"/>
          </w:tcPr>
          <w:p>
            <w:pPr>
              <w:jc w:val="right"/>
              <w:ind w:right="919"/>
              <w:spacing w:after="0"/>
              <w:rPr>
                <w:sz w:val="20"/>
                <w:szCs w:val="20"/>
                <w:color w:val="auto"/>
              </w:rPr>
            </w:pPr>
            <w:r>
              <w:rPr>
                <w:rFonts w:ascii="Arial" w:cs="Arial" w:eastAsia="Arial" w:hAnsi="Arial"/>
                <w:sz w:val="16"/>
                <w:szCs w:val="16"/>
                <w:color w:val="auto"/>
              </w:rPr>
              <w:t>42</w:t>
            </w:r>
          </w:p>
        </w:tc>
      </w:tr>
      <w:tr>
        <w:trPr>
          <w:trHeight w:val="202"/>
        </w:trPr>
        <w:tc>
          <w:tcPr>
            <w:tcW w:w="7040" w:type="dxa"/>
            <w:vAlign w:val="bottom"/>
            <w:tcBorders>
              <w:bottom w:val="single" w:sz="8" w:color="auto"/>
            </w:tcBorders>
          </w:tcPr>
          <w:p>
            <w:pPr>
              <w:spacing w:after="0"/>
              <w:rPr>
                <w:sz w:val="17"/>
                <w:szCs w:val="17"/>
                <w:color w:val="auto"/>
              </w:rPr>
            </w:pPr>
          </w:p>
        </w:tc>
        <w:tc>
          <w:tcPr>
            <w:tcW w:w="3980" w:type="dxa"/>
            <w:vAlign w:val="bottom"/>
            <w:tcBorders>
              <w:bottom w:val="single" w:sz="8" w:color="auto"/>
            </w:tcBorders>
          </w:tcPr>
          <w:p>
            <w:pPr>
              <w:spacing w:after="0"/>
              <w:rPr>
                <w:sz w:val="17"/>
                <w:szCs w:val="17"/>
                <w:color w:val="auto"/>
              </w:rPr>
            </w:pPr>
          </w:p>
        </w:tc>
      </w:tr>
    </w:tbl>
    <w:p>
      <w:pPr>
        <w:sectPr>
          <w:pgSz w:w="11900" w:h="16838" w:orient="portrait"/>
          <w:cols w:equalWidth="0" w:num="1">
            <w:col w:w="11140"/>
          </w:cols>
          <w:pgMar w:left="320" w:top="265" w:right="439" w:bottom="1440" w:gutter="0" w:footer="0" w:header="0"/>
        </w:sectPr>
      </w:pPr>
    </w:p>
    <w:bookmarkStart w:id="50" w:name="page51"/>
    <w:bookmarkEnd w:id="50"/>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6515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651510"/>
                    </a:xfrm>
                    <a:prstGeom prst="rect">
                      <a:avLst/>
                    </a:prstGeom>
                    <a:noFill/>
                  </pic:spPr>
                </pic:pic>
              </a:graphicData>
            </a:graphic>
          </wp:anchor>
        </w:drawing>
      </w:r>
    </w:p>
    <w:p>
      <w:pPr>
        <w:sectPr>
          <w:pgSz w:w="11900" w:h="16838" w:orient="portrait"/>
          <w:cols w:equalWidth="0" w:num="1">
            <w:col w:w="10140"/>
          </w:cols>
          <w:pgMar w:left="320" w:top="265" w:right="1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080"/>
        <w:spacing w:after="0" w:line="267" w:lineRule="auto"/>
        <w:rPr>
          <w:sz w:val="20"/>
          <w:szCs w:val="20"/>
          <w:color w:val="auto"/>
        </w:rPr>
      </w:pPr>
      <w:r>
        <w:rPr>
          <w:rFonts w:ascii="Arial" w:cs="Arial" w:eastAsia="Arial" w:hAnsi="Arial"/>
          <w:sz w:val="20"/>
          <w:szCs w:val="20"/>
          <w:b w:val="1"/>
          <w:bCs w:val="1"/>
          <w:color w:val="3F3F3F"/>
        </w:rPr>
        <w:t>Ratio of Co-CEO Total Pay to “Median Employee” Total Pay</w:t>
      </w:r>
    </w:p>
    <w:p>
      <w:pPr>
        <w:spacing w:after="0" w:line="64" w:lineRule="exact"/>
        <w:rPr>
          <w:sz w:val="20"/>
          <w:szCs w:val="20"/>
          <w:color w:val="auto"/>
        </w:rPr>
      </w:pPr>
    </w:p>
    <w:p>
      <w:pPr>
        <w:ind w:left="1080" w:right="40"/>
        <w:spacing w:after="0" w:line="269" w:lineRule="auto"/>
        <w:rPr>
          <w:rFonts w:ascii="Arial" w:cs="Arial" w:eastAsia="Arial" w:hAnsi="Arial"/>
          <w:sz w:val="17"/>
          <w:szCs w:val="17"/>
          <w:color w:val="auto"/>
        </w:rPr>
      </w:pPr>
      <w:r>
        <w:rPr>
          <w:rFonts w:ascii="Arial" w:cs="Arial" w:eastAsia="Arial" w:hAnsi="Arial"/>
          <w:sz w:val="17"/>
          <w:szCs w:val="17"/>
          <w:color w:val="auto"/>
        </w:rPr>
        <w:t xml:space="preserve">Under rules adopted pursuant to the Dodd-Frank Wall Street Reform and Consumer Protection Act of 2010, the Company is providing the following information about the relationship of the annual total compensation of its employees and the annual total compensation of the Co-CEOs. The pay ratio included in this information is a reasonable estimate calculated in a manner consistent with SEC rules. This information should be read together with the “Compensation Discussion and Analysis” beginning on page </w:t>
      </w:r>
      <w:hyperlink w:anchor="page30">
        <w:r>
          <w:rPr>
            <w:rFonts w:ascii="Arial" w:cs="Arial" w:eastAsia="Arial" w:hAnsi="Arial"/>
            <w:sz w:val="17"/>
            <w:szCs w:val="17"/>
            <w:u w:val="single" w:color="auto"/>
            <w:color w:val="0000EE"/>
          </w:rPr>
          <w:t>23</w:t>
        </w:r>
      </w:hyperlink>
      <w:r>
        <w:rPr>
          <w:rFonts w:ascii="Arial" w:cs="Arial" w:eastAsia="Arial" w:hAnsi="Arial"/>
          <w:sz w:val="17"/>
          <w:szCs w:val="17"/>
          <w:color w:val="auto"/>
        </w:rPr>
        <w:t>.</w:t>
      </w:r>
    </w:p>
    <w:p>
      <w:pPr>
        <w:spacing w:after="0" w:line="77" w:lineRule="exact"/>
        <w:rPr>
          <w:sz w:val="20"/>
          <w:szCs w:val="20"/>
          <w:color w:val="auto"/>
        </w:rPr>
      </w:pPr>
    </w:p>
    <w:p>
      <w:pPr>
        <w:ind w:left="1080" w:right="20"/>
        <w:spacing w:after="0" w:line="268" w:lineRule="auto"/>
        <w:rPr>
          <w:sz w:val="20"/>
          <w:szCs w:val="20"/>
          <w:color w:val="auto"/>
        </w:rPr>
      </w:pPr>
      <w:r>
        <w:rPr>
          <w:rFonts w:ascii="Arial" w:cs="Arial" w:eastAsia="Arial" w:hAnsi="Arial"/>
          <w:sz w:val="17"/>
          <w:szCs w:val="17"/>
          <w:color w:val="auto"/>
        </w:rPr>
        <w:t>AFG’s employee base may differ from other companies in the insurance and financial service industry. AFG owns hotel and other resort and hospitality properties as investments. While a disproportionate number of these 452 employees are part-time employees, all are included in the total employee numbers. In addition, at December 31, 2019, AFG employed 509 part-time seasonal insurance adjusters which are included in the total employee numbers, but all earned less from the Company than the median employee in 2019. Together, these represented over 11% of AFG’s employees. As a result, the ratio set forth below may not be correlative to the ratio for other companies comparable in size or industry because of differences in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2020 Proxy Statement | Executive 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AFG utilized the following methodology and the material assumptions, adjustments, and estimates:</w:t>
      </w:r>
    </w:p>
    <w:p>
      <w:pPr>
        <w:spacing w:after="0" w:line="62" w:lineRule="exact"/>
        <w:rPr>
          <w:sz w:val="20"/>
          <w:szCs w:val="20"/>
          <w:color w:val="auto"/>
        </w:rPr>
      </w:pPr>
    </w:p>
    <w:p>
      <w:pPr>
        <w:ind w:left="360" w:right="160" w:hanging="360"/>
        <w:spacing w:after="0" w:line="268" w:lineRule="auto"/>
        <w:tabs>
          <w:tab w:leader="none" w:pos="3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As of December 31, 2019, our total employee population consisted of 8,422 individuals working at our parent company and consolidated subsidiaries, with approximately 92% of these individuals located in the United States, approximately 3% located in Europe (primarily England and Ireland), approximately 4% located in Mexico and less than 1% collectively located in Canada, Singapore and Australia.</w:t>
      </w:r>
    </w:p>
    <w:p>
      <w:pPr>
        <w:spacing w:after="0" w:line="6" w:lineRule="exact"/>
        <w:rPr>
          <w:rFonts w:ascii="Arial" w:cs="Arial" w:eastAsia="Arial" w:hAnsi="Arial"/>
          <w:sz w:val="17"/>
          <w:szCs w:val="17"/>
          <w:color w:val="auto"/>
        </w:rPr>
      </w:pPr>
    </w:p>
    <w:p>
      <w:pPr>
        <w:ind w:left="360" w:right="160" w:hanging="360"/>
        <w:spacing w:after="0" w:line="271" w:lineRule="auto"/>
        <w:tabs>
          <w:tab w:leader="none" w:pos="3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SEC rules permit us to exclude up to 5% of our non-U.S. employees when identifying the median employee. AFG excluded employees in England</w:t>
      </w:r>
    </w:p>
    <w:p>
      <w:pPr>
        <w:ind w:left="360"/>
        <w:spacing w:after="0"/>
        <w:rPr>
          <w:rFonts w:ascii="Arial" w:cs="Arial" w:eastAsia="Arial" w:hAnsi="Arial"/>
          <w:sz w:val="17"/>
          <w:szCs w:val="17"/>
          <w:color w:val="auto"/>
        </w:rPr>
      </w:pPr>
      <w:r>
        <w:rPr>
          <w:rFonts w:ascii="Arial" w:cs="Arial" w:eastAsia="Arial" w:hAnsi="Arial"/>
          <w:sz w:val="16"/>
          <w:szCs w:val="16"/>
          <w:color w:val="auto"/>
        </w:rPr>
        <w:t>(223 employees), Ireland (30 employees), Singapore</w:t>
      </w:r>
    </w:p>
    <w:p>
      <w:pPr>
        <w:spacing w:after="0" w:line="32" w:lineRule="exact"/>
        <w:rPr>
          <w:rFonts w:ascii="Arial" w:cs="Arial" w:eastAsia="Arial" w:hAnsi="Arial"/>
          <w:sz w:val="17"/>
          <w:szCs w:val="17"/>
          <w:color w:val="auto"/>
        </w:rPr>
      </w:pPr>
    </w:p>
    <w:p>
      <w:pPr>
        <w:ind w:left="360" w:right="120"/>
        <w:spacing w:after="0" w:line="250" w:lineRule="auto"/>
        <w:rPr>
          <w:rFonts w:ascii="Arial" w:cs="Arial" w:eastAsia="Arial" w:hAnsi="Arial"/>
          <w:sz w:val="17"/>
          <w:szCs w:val="17"/>
          <w:color w:val="auto"/>
        </w:rPr>
      </w:pPr>
      <w:r>
        <w:rPr>
          <w:rFonts w:ascii="Arial" w:cs="Arial" w:eastAsia="Arial" w:hAnsi="Arial"/>
          <w:sz w:val="18"/>
          <w:szCs w:val="18"/>
          <w:color w:val="auto"/>
        </w:rPr>
        <w:t>(80 employees) and Australia (one employee), which collectively represented less than 4% of AFG’s employees.</w:t>
      </w:r>
    </w:p>
    <w:p>
      <w:pPr>
        <w:spacing w:after="0" w:line="1" w:lineRule="exact"/>
        <w:rPr>
          <w:rFonts w:ascii="Arial" w:cs="Arial" w:eastAsia="Arial" w:hAnsi="Arial"/>
          <w:sz w:val="17"/>
          <w:szCs w:val="17"/>
          <w:color w:val="auto"/>
        </w:rPr>
      </w:pPr>
    </w:p>
    <w:p>
      <w:pPr>
        <w:ind w:left="360" w:right="320" w:hanging="360"/>
        <w:spacing w:after="0" w:line="290" w:lineRule="auto"/>
        <w:tabs>
          <w:tab w:leader="none" w:pos="3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For the remaining employees, AFG compiled total 2019 wages, tips, and other compensation from</w:t>
      </w:r>
    </w:p>
    <w:p>
      <w:pPr>
        <w:ind w:left="360" w:right="80"/>
        <w:spacing w:after="0" w:line="250" w:lineRule="auto"/>
        <w:rPr>
          <w:rFonts w:ascii="Arial" w:cs="Arial" w:eastAsia="Arial" w:hAnsi="Arial"/>
          <w:sz w:val="16"/>
          <w:szCs w:val="16"/>
          <w:color w:val="auto"/>
        </w:rPr>
      </w:pPr>
      <w:r>
        <w:rPr>
          <w:rFonts w:ascii="Arial" w:cs="Arial" w:eastAsia="Arial" w:hAnsi="Arial"/>
          <w:sz w:val="18"/>
          <w:szCs w:val="18"/>
          <w:color w:val="auto"/>
        </w:rPr>
        <w:t>2019 year-end tax reporting data. For amounts paid in foreign currencies, AFG converted 2019 wages based on the conversion rate on the last business day of 2019.</w:t>
      </w:r>
    </w:p>
    <w:p>
      <w:pPr>
        <w:spacing w:after="0" w:line="1" w:lineRule="exact"/>
        <w:rPr>
          <w:rFonts w:ascii="Arial" w:cs="Arial" w:eastAsia="Arial" w:hAnsi="Arial"/>
          <w:sz w:val="16"/>
          <w:szCs w:val="16"/>
          <w:color w:val="auto"/>
        </w:rPr>
      </w:pPr>
    </w:p>
    <w:p>
      <w:pPr>
        <w:ind w:left="360" w:right="160" w:hanging="360"/>
        <w:spacing w:after="0" w:line="293" w:lineRule="auto"/>
        <w:tabs>
          <w:tab w:leader="none" w:pos="3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Using this data, AFG determined that its “median employee” as of December 31, 2019 was a full-time, salaried employee located in the United States.</w:t>
      </w:r>
    </w:p>
    <w:p>
      <w:pPr>
        <w:ind w:left="360" w:right="40" w:hanging="360"/>
        <w:spacing w:after="0" w:line="268" w:lineRule="auto"/>
        <w:tabs>
          <w:tab w:leader="none" w:pos="3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 xml:space="preserve">AFG calculated the employee’s 2019 total compensation using the same methodology as used to determine the Co-CEOs total compensation as set forth in the Summary Compensation Table on page </w:t>
      </w:r>
      <w:hyperlink w:anchor="page43">
        <w:r>
          <w:rPr>
            <w:rFonts w:ascii="Arial" w:cs="Arial" w:eastAsia="Arial" w:hAnsi="Arial"/>
            <w:sz w:val="17"/>
            <w:szCs w:val="17"/>
            <w:u w:val="single" w:color="auto"/>
            <w:color w:val="0000EE"/>
          </w:rPr>
          <w:t>36</w:t>
        </w:r>
      </w:hyperlink>
      <w:r>
        <w:rPr>
          <w:rFonts w:ascii="Arial" w:cs="Arial" w:eastAsia="Arial" w:hAnsi="Arial"/>
          <w:sz w:val="17"/>
          <w:szCs w:val="17"/>
          <w:color w:val="auto"/>
        </w:rPr>
        <w:t xml:space="preserve"> of this proxy statement.</w:t>
      </w:r>
    </w:p>
    <w:p>
      <w:pPr>
        <w:spacing w:after="0" w:line="2" w:lineRule="exact"/>
        <w:rPr>
          <w:rFonts w:ascii="Arial" w:cs="Arial" w:eastAsia="Arial" w:hAnsi="Arial"/>
          <w:sz w:val="17"/>
          <w:szCs w:val="17"/>
          <w:color w:val="auto"/>
        </w:rPr>
      </w:pPr>
    </w:p>
    <w:p>
      <w:pPr>
        <w:ind w:left="360" w:right="200" w:hanging="360"/>
        <w:spacing w:after="0" w:line="301" w:lineRule="auto"/>
        <w:tabs>
          <w:tab w:leader="none" w:pos="3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 xml:space="preserve">With respect to the 2019 total compensation of each Co-CEO, the Company used the amount reported in the “Total” column of the Summary Compensation Table on page </w:t>
      </w:r>
      <w:hyperlink w:anchor="page43">
        <w:r>
          <w:rPr>
            <w:rFonts w:ascii="Arial" w:cs="Arial" w:eastAsia="Arial" w:hAnsi="Arial"/>
            <w:sz w:val="16"/>
            <w:szCs w:val="16"/>
            <w:u w:val="single" w:color="auto"/>
            <w:color w:val="0000EE"/>
          </w:rPr>
          <w:t>36</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this proxy statement.</w:t>
      </w:r>
    </w:p>
    <w:p>
      <w:pPr>
        <w:spacing w:after="0" w:line="48" w:lineRule="exact"/>
        <w:rPr>
          <w:rFonts w:ascii="Arial" w:cs="Arial" w:eastAsia="Arial" w:hAnsi="Arial"/>
          <w:sz w:val="17"/>
          <w:szCs w:val="17"/>
          <w:color w:val="auto"/>
        </w:rPr>
      </w:pPr>
    </w:p>
    <w:p>
      <w:pPr>
        <w:ind w:right="100"/>
        <w:spacing w:after="0" w:line="257" w:lineRule="auto"/>
        <w:rPr>
          <w:rFonts w:ascii="Arial" w:cs="Arial" w:eastAsia="Arial" w:hAnsi="Arial"/>
          <w:sz w:val="18"/>
          <w:szCs w:val="18"/>
          <w:color w:val="auto"/>
        </w:rPr>
      </w:pPr>
      <w:r>
        <w:rPr>
          <w:rFonts w:ascii="Arial" w:cs="Arial" w:eastAsia="Arial" w:hAnsi="Arial"/>
          <w:sz w:val="18"/>
          <w:szCs w:val="18"/>
          <w:color w:val="auto"/>
        </w:rPr>
        <w:t xml:space="preserve">The 2019 total compensation for the median employee (other than the Co-CEOs) was $73,634, and the 2019 total compensation of each Co-CEO is set forth under “Total Compensation” in the Summary Compensation Table on page </w:t>
      </w:r>
      <w:hyperlink w:anchor="page43">
        <w:r>
          <w:rPr>
            <w:rFonts w:ascii="Arial" w:cs="Arial" w:eastAsia="Arial" w:hAnsi="Arial"/>
            <w:sz w:val="18"/>
            <w:szCs w:val="18"/>
            <w:u w:val="single" w:color="auto"/>
            <w:color w:val="0000EE"/>
          </w:rPr>
          <w:t>36</w:t>
        </w:r>
      </w:hyperlink>
      <w:r>
        <w:rPr>
          <w:rFonts w:ascii="Arial" w:cs="Arial" w:eastAsia="Arial" w:hAnsi="Arial"/>
          <w:sz w:val="18"/>
          <w:szCs w:val="18"/>
          <w:color w:val="auto"/>
        </w:rPr>
        <w:t>.</w:t>
      </w:r>
    </w:p>
    <w:p>
      <w:pPr>
        <w:spacing w:after="0" w:line="80" w:lineRule="exact"/>
        <w:rPr>
          <w:rFonts w:ascii="Arial" w:cs="Arial" w:eastAsia="Arial" w:hAnsi="Arial"/>
          <w:sz w:val="17"/>
          <w:szCs w:val="17"/>
          <w:color w:val="auto"/>
        </w:rPr>
      </w:pPr>
    </w:p>
    <w:p>
      <w:pPr>
        <w:ind w:right="520"/>
        <w:spacing w:after="0" w:line="311" w:lineRule="auto"/>
        <w:rPr>
          <w:sz w:val="20"/>
          <w:szCs w:val="20"/>
          <w:color w:val="auto"/>
        </w:rPr>
      </w:pPr>
      <w:r>
        <w:rPr>
          <w:rFonts w:ascii="Arial" w:cs="Arial" w:eastAsia="Arial" w:hAnsi="Arial"/>
          <w:sz w:val="16"/>
          <w:szCs w:val="16"/>
          <w:color w:val="auto"/>
        </w:rPr>
        <w:t>Based on this information, the ratio of 2019 total compensation of each Co-CEO to the 2019 total compensation of the median employee was 142 to 1.</w:t>
      </w:r>
    </w:p>
    <w:p>
      <w:pPr>
        <w:spacing w:after="0" w:line="261" w:lineRule="exact"/>
        <w:rPr>
          <w:rFonts w:ascii="Arial" w:cs="Arial" w:eastAsia="Arial" w:hAnsi="Arial"/>
          <w:sz w:val="17"/>
          <w:szCs w:val="17"/>
          <w:color w:val="auto"/>
        </w:rPr>
      </w:pPr>
    </w:p>
    <w:p>
      <w:pPr>
        <w:jc w:val="right"/>
        <w:spacing w:after="0"/>
        <w:rPr>
          <w:sz w:val="20"/>
          <w:szCs w:val="20"/>
          <w:color w:val="auto"/>
        </w:rPr>
      </w:pPr>
      <w:r>
        <w:rPr>
          <w:rFonts w:ascii="Arial" w:cs="Arial" w:eastAsia="Arial" w:hAnsi="Arial"/>
          <w:sz w:val="16"/>
          <w:szCs w:val="16"/>
          <w:color w:val="auto"/>
        </w:rPr>
        <w:t>43</w:t>
      </w:r>
    </w:p>
    <w:p>
      <w:pPr>
        <w:spacing w:after="0" w:line="20" w:lineRule="exact"/>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column">
              <wp:posOffset>-3634105</wp:posOffset>
            </wp:positionH>
            <wp:positionV relativeFrom="paragraph">
              <wp:posOffset>129540</wp:posOffset>
            </wp:positionV>
            <wp:extent cx="699516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5400" w:space="440"/>
            <w:col w:w="4300"/>
          </w:cols>
          <w:pgMar w:left="320" w:top="265" w:right="1439" w:bottom="1440" w:gutter="0" w:footer="0" w:header="0"/>
          <w:type w:val="continuous"/>
        </w:sectPr>
      </w:pPr>
    </w:p>
    <w:bookmarkStart w:id="51" w:name="page52"/>
    <w:bookmarkEnd w:id="51"/>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6515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1080"/>
        <w:spacing w:after="0"/>
        <w:rPr>
          <w:sz w:val="20"/>
          <w:szCs w:val="20"/>
          <w:color w:val="auto"/>
        </w:rPr>
      </w:pPr>
      <w:r>
        <w:rPr>
          <w:rFonts w:ascii="Arial" w:cs="Arial" w:eastAsia="Arial" w:hAnsi="Arial"/>
          <w:sz w:val="20"/>
          <w:szCs w:val="20"/>
          <w:b w:val="1"/>
          <w:bCs w:val="1"/>
          <w:color w:val="3F3F3F"/>
        </w:rPr>
        <w:t>Equity Compensation Plan Information</w:t>
      </w:r>
    </w:p>
    <w:p>
      <w:pPr>
        <w:spacing w:after="0" w:line="116" w:lineRule="exact"/>
        <w:rPr>
          <w:sz w:val="20"/>
          <w:szCs w:val="20"/>
          <w:color w:val="auto"/>
        </w:rPr>
      </w:pPr>
    </w:p>
    <w:p>
      <w:pPr>
        <w:ind w:left="1080" w:right="1120"/>
        <w:spacing w:after="0" w:line="277" w:lineRule="auto"/>
        <w:rPr>
          <w:sz w:val="20"/>
          <w:szCs w:val="20"/>
          <w:color w:val="auto"/>
        </w:rPr>
      </w:pPr>
      <w:r>
        <w:rPr>
          <w:rFonts w:ascii="Arial" w:cs="Arial" w:eastAsia="Arial" w:hAnsi="Arial"/>
          <w:sz w:val="18"/>
          <w:szCs w:val="18"/>
          <w:color w:val="auto"/>
        </w:rPr>
        <w:t>The following reflects certain information about common shares authorized for issuance at December 31, 2019 under equity compensation plans.</w:t>
      </w:r>
    </w:p>
    <w:p>
      <w:pPr>
        <w:spacing w:after="0" w:line="151" w:lineRule="exact"/>
        <w:rPr>
          <w:sz w:val="20"/>
          <w:szCs w:val="20"/>
          <w:color w:val="auto"/>
        </w:rPr>
      </w:pPr>
    </w:p>
    <w:tbl>
      <w:tblPr>
        <w:tblLayout w:type="fixed"/>
        <w:tblInd w:w="1090" w:type="dxa"/>
        <w:tblCellMar>
          <w:top w:w="0" w:type="dxa"/>
          <w:left w:w="0" w:type="dxa"/>
          <w:bottom w:w="0" w:type="dxa"/>
          <w:right w:w="0" w:type="dxa"/>
        </w:tblCellMar>
      </w:tblPr>
      <w:tr>
        <w:trPr>
          <w:trHeight w:val="433"/>
        </w:trPr>
        <w:tc>
          <w:tcPr>
            <w:tcW w:w="2760" w:type="dxa"/>
            <w:vAlign w:val="bottom"/>
            <w:tcBorders>
              <w:top w:val="single" w:sz="8" w:color="auto"/>
              <w:left w:val="single" w:sz="8" w:color="auto"/>
              <w:right w:val="single" w:sz="8" w:color="auto"/>
            </w:tcBorders>
            <w:shd w:val="clear" w:color="auto" w:fill="BFBFBF"/>
          </w:tcPr>
          <w:p>
            <w:pPr>
              <w:spacing w:after="0"/>
              <w:rPr>
                <w:sz w:val="24"/>
                <w:szCs w:val="24"/>
                <w:color w:val="auto"/>
              </w:rPr>
            </w:pPr>
          </w:p>
        </w:tc>
        <w:tc>
          <w:tcPr>
            <w:tcW w:w="2100" w:type="dxa"/>
            <w:vAlign w:val="bottom"/>
            <w:tcBorders>
              <w:top w:val="single" w:sz="8" w:color="auto"/>
              <w:right w:val="single" w:sz="8" w:color="auto"/>
            </w:tcBorders>
            <w:shd w:val="clear" w:color="auto" w:fill="BFBFBF"/>
          </w:tcPr>
          <w:p>
            <w:pPr>
              <w:jc w:val="center"/>
              <w:ind w:right="5"/>
              <w:spacing w:after="0"/>
              <w:rPr>
                <w:sz w:val="20"/>
                <w:szCs w:val="20"/>
                <w:color w:val="auto"/>
              </w:rPr>
            </w:pPr>
            <w:r>
              <w:rPr>
                <w:rFonts w:ascii="Arial" w:cs="Arial" w:eastAsia="Arial" w:hAnsi="Arial"/>
                <w:sz w:val="14"/>
                <w:szCs w:val="14"/>
                <w:b w:val="1"/>
                <w:bCs w:val="1"/>
                <w:color w:val="auto"/>
              </w:rPr>
              <w:t>(a)</w:t>
            </w:r>
          </w:p>
        </w:tc>
        <w:tc>
          <w:tcPr>
            <w:tcW w:w="2100" w:type="dxa"/>
            <w:vAlign w:val="bottom"/>
            <w:tcBorders>
              <w:top w:val="single" w:sz="8" w:color="auto"/>
              <w:right w:val="single" w:sz="8" w:color="auto"/>
            </w:tcBorders>
            <w:shd w:val="clear" w:color="auto" w:fill="BFBFBF"/>
          </w:tcPr>
          <w:p>
            <w:pPr>
              <w:jc w:val="center"/>
              <w:ind w:right="5"/>
              <w:spacing w:after="0"/>
              <w:rPr>
                <w:sz w:val="20"/>
                <w:szCs w:val="20"/>
                <w:color w:val="auto"/>
              </w:rPr>
            </w:pPr>
            <w:r>
              <w:rPr>
                <w:rFonts w:ascii="Arial" w:cs="Arial" w:eastAsia="Arial" w:hAnsi="Arial"/>
                <w:sz w:val="14"/>
                <w:szCs w:val="14"/>
                <w:b w:val="1"/>
                <w:bCs w:val="1"/>
                <w:color w:val="auto"/>
              </w:rPr>
              <w:t>(b)</w:t>
            </w:r>
          </w:p>
        </w:tc>
        <w:tc>
          <w:tcPr>
            <w:tcW w:w="1400" w:type="dxa"/>
            <w:vAlign w:val="bottom"/>
            <w:tcBorders>
              <w:top w:val="single" w:sz="8" w:color="auto"/>
            </w:tcBorders>
            <w:shd w:val="clear" w:color="auto" w:fill="BFBFBF"/>
          </w:tcPr>
          <w:p>
            <w:pPr>
              <w:jc w:val="center"/>
              <w:ind w:left="605"/>
              <w:spacing w:after="0"/>
              <w:rPr>
                <w:sz w:val="20"/>
                <w:szCs w:val="20"/>
                <w:color w:val="auto"/>
              </w:rPr>
            </w:pPr>
            <w:r>
              <w:rPr>
                <w:rFonts w:ascii="Arial" w:cs="Arial" w:eastAsia="Arial" w:hAnsi="Arial"/>
                <w:sz w:val="14"/>
                <w:szCs w:val="14"/>
                <w:b w:val="1"/>
                <w:bCs w:val="1"/>
                <w:color w:val="auto"/>
                <w:w w:val="93"/>
              </w:rPr>
              <w:t>(c)</w:t>
            </w:r>
          </w:p>
        </w:tc>
        <w:tc>
          <w:tcPr>
            <w:tcW w:w="720" w:type="dxa"/>
            <w:vAlign w:val="bottom"/>
            <w:tcBorders>
              <w:top w:val="single" w:sz="8" w:color="auto"/>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760" w:type="dxa"/>
            <w:vAlign w:val="bottom"/>
            <w:tcBorders>
              <w:left w:val="single" w:sz="8" w:color="auto"/>
              <w:right w:val="single" w:sz="8" w:color="auto"/>
            </w:tcBorders>
            <w:shd w:val="clear" w:color="auto" w:fill="BFBFBF"/>
          </w:tcPr>
          <w:p>
            <w:pPr>
              <w:spacing w:after="0"/>
              <w:rPr>
                <w:sz w:val="22"/>
                <w:szCs w:val="22"/>
                <w:color w:val="auto"/>
              </w:rPr>
            </w:pPr>
          </w:p>
        </w:tc>
        <w:tc>
          <w:tcPr>
            <w:tcW w:w="2100" w:type="dxa"/>
            <w:vAlign w:val="bottom"/>
            <w:tcBorders>
              <w:right w:val="single" w:sz="8" w:color="auto"/>
            </w:tcBorders>
            <w:shd w:val="clear" w:color="auto" w:fill="BFBFBF"/>
          </w:tcPr>
          <w:p>
            <w:pPr>
              <w:spacing w:after="0"/>
              <w:rPr>
                <w:sz w:val="22"/>
                <w:szCs w:val="22"/>
                <w:color w:val="auto"/>
              </w:rPr>
            </w:pPr>
          </w:p>
        </w:tc>
        <w:tc>
          <w:tcPr>
            <w:tcW w:w="2100" w:type="dxa"/>
            <w:vAlign w:val="bottom"/>
            <w:tcBorders>
              <w:right w:val="single" w:sz="8" w:color="auto"/>
            </w:tcBorders>
            <w:shd w:val="clear" w:color="auto" w:fill="BFBFBF"/>
          </w:tcPr>
          <w:p>
            <w:pPr>
              <w:spacing w:after="0"/>
              <w:rPr>
                <w:sz w:val="22"/>
                <w:szCs w:val="22"/>
                <w:color w:val="auto"/>
              </w:rPr>
            </w:pPr>
          </w:p>
        </w:tc>
        <w:tc>
          <w:tcPr>
            <w:tcW w:w="2120" w:type="dxa"/>
            <w:vAlign w:val="bottom"/>
            <w:tcBorders>
              <w:right w:val="single" w:sz="8" w:color="auto"/>
            </w:tcBorders>
            <w:gridSpan w:val="2"/>
            <w:shd w:val="clear" w:color="auto" w:fill="BFBFBF"/>
          </w:tcPr>
          <w:p>
            <w:pPr>
              <w:jc w:val="center"/>
              <w:spacing w:after="0"/>
              <w:rPr>
                <w:sz w:val="20"/>
                <w:szCs w:val="20"/>
                <w:color w:val="auto"/>
              </w:rPr>
            </w:pPr>
            <w:r>
              <w:rPr>
                <w:rFonts w:ascii="Arial" w:cs="Arial" w:eastAsia="Arial" w:hAnsi="Arial"/>
                <w:sz w:val="14"/>
                <w:szCs w:val="14"/>
                <w:b w:val="1"/>
                <w:bCs w:val="1"/>
                <w:color w:val="auto"/>
                <w:w w:val="91"/>
              </w:rPr>
              <w:t>Number of securities</w:t>
            </w:r>
          </w:p>
        </w:tc>
        <w:tc>
          <w:tcPr>
            <w:tcW w:w="0" w:type="dxa"/>
            <w:vAlign w:val="bottom"/>
          </w:tcPr>
          <w:p>
            <w:pPr>
              <w:spacing w:after="0"/>
              <w:rPr>
                <w:sz w:val="1"/>
                <w:szCs w:val="1"/>
                <w:color w:val="auto"/>
              </w:rPr>
            </w:pPr>
          </w:p>
        </w:tc>
      </w:tr>
      <w:tr>
        <w:trPr>
          <w:trHeight w:val="148"/>
        </w:trPr>
        <w:tc>
          <w:tcPr>
            <w:tcW w:w="2760" w:type="dxa"/>
            <w:vAlign w:val="bottom"/>
            <w:tcBorders>
              <w:left w:val="single" w:sz="8" w:color="auto"/>
              <w:right w:val="single" w:sz="8" w:color="auto"/>
            </w:tcBorders>
            <w:shd w:val="clear" w:color="auto" w:fill="BFBFBF"/>
          </w:tcPr>
          <w:p>
            <w:pPr>
              <w:spacing w:after="0"/>
              <w:rPr>
                <w:sz w:val="12"/>
                <w:szCs w:val="12"/>
                <w:color w:val="auto"/>
              </w:rPr>
            </w:pPr>
          </w:p>
        </w:tc>
        <w:tc>
          <w:tcPr>
            <w:tcW w:w="2100" w:type="dxa"/>
            <w:vAlign w:val="bottom"/>
            <w:tcBorders>
              <w:right w:val="single" w:sz="8" w:color="auto"/>
            </w:tcBorders>
            <w:vMerge w:val="restart"/>
            <w:shd w:val="clear" w:color="auto" w:fill="BFBFBF"/>
          </w:tcPr>
          <w:p>
            <w:pPr>
              <w:jc w:val="center"/>
              <w:ind w:right="5"/>
              <w:spacing w:after="0"/>
              <w:rPr>
                <w:sz w:val="20"/>
                <w:szCs w:val="20"/>
                <w:color w:val="auto"/>
              </w:rPr>
            </w:pPr>
            <w:r>
              <w:rPr>
                <w:rFonts w:ascii="Arial" w:cs="Arial" w:eastAsia="Arial" w:hAnsi="Arial"/>
                <w:sz w:val="14"/>
                <w:szCs w:val="14"/>
                <w:b w:val="1"/>
                <w:bCs w:val="1"/>
                <w:color w:val="auto"/>
                <w:w w:val="91"/>
              </w:rPr>
              <w:t>Number of securities to be</w:t>
            </w:r>
          </w:p>
        </w:tc>
        <w:tc>
          <w:tcPr>
            <w:tcW w:w="2100" w:type="dxa"/>
            <w:vAlign w:val="bottom"/>
            <w:tcBorders>
              <w:right w:val="single" w:sz="8" w:color="auto"/>
            </w:tcBorders>
            <w:vMerge w:val="restart"/>
            <w:shd w:val="clear" w:color="auto" w:fill="BFBFBF"/>
          </w:tcPr>
          <w:p>
            <w:pPr>
              <w:jc w:val="center"/>
              <w:spacing w:after="0"/>
              <w:rPr>
                <w:sz w:val="20"/>
                <w:szCs w:val="20"/>
                <w:color w:val="auto"/>
              </w:rPr>
            </w:pPr>
            <w:r>
              <w:rPr>
                <w:rFonts w:ascii="Arial" w:cs="Arial" w:eastAsia="Arial" w:hAnsi="Arial"/>
                <w:sz w:val="14"/>
                <w:szCs w:val="14"/>
                <w:b w:val="1"/>
                <w:bCs w:val="1"/>
                <w:color w:val="auto"/>
                <w:w w:val="92"/>
              </w:rPr>
              <w:t>Weighted-average</w:t>
            </w:r>
          </w:p>
        </w:tc>
        <w:tc>
          <w:tcPr>
            <w:tcW w:w="2120" w:type="dxa"/>
            <w:vAlign w:val="bottom"/>
            <w:tcBorders>
              <w:right w:val="single" w:sz="8" w:color="auto"/>
            </w:tcBorders>
            <w:gridSpan w:val="2"/>
            <w:shd w:val="clear" w:color="auto" w:fill="BFBFBF"/>
          </w:tcPr>
          <w:p>
            <w:pPr>
              <w:jc w:val="center"/>
              <w:spacing w:after="0" w:line="149" w:lineRule="exact"/>
              <w:rPr>
                <w:sz w:val="20"/>
                <w:szCs w:val="20"/>
                <w:color w:val="auto"/>
              </w:rPr>
            </w:pPr>
            <w:r>
              <w:rPr>
                <w:rFonts w:ascii="Arial" w:cs="Arial" w:eastAsia="Arial" w:hAnsi="Arial"/>
                <w:sz w:val="14"/>
                <w:szCs w:val="14"/>
                <w:b w:val="1"/>
                <w:bCs w:val="1"/>
                <w:color w:val="auto"/>
                <w:w w:val="94"/>
              </w:rPr>
              <w:t>remaining available for</w:t>
            </w:r>
          </w:p>
        </w:tc>
        <w:tc>
          <w:tcPr>
            <w:tcW w:w="0" w:type="dxa"/>
            <w:vAlign w:val="bottom"/>
          </w:tcPr>
          <w:p>
            <w:pPr>
              <w:spacing w:after="0"/>
              <w:rPr>
                <w:sz w:val="1"/>
                <w:szCs w:val="1"/>
                <w:color w:val="auto"/>
              </w:rPr>
            </w:pPr>
          </w:p>
        </w:tc>
      </w:tr>
      <w:tr>
        <w:trPr>
          <w:trHeight w:val="149"/>
        </w:trPr>
        <w:tc>
          <w:tcPr>
            <w:tcW w:w="2760" w:type="dxa"/>
            <w:vAlign w:val="bottom"/>
            <w:tcBorders>
              <w:left w:val="single" w:sz="8" w:color="auto"/>
              <w:right w:val="single" w:sz="8" w:color="auto"/>
            </w:tcBorders>
            <w:shd w:val="clear" w:color="auto" w:fill="BFBFBF"/>
          </w:tcPr>
          <w:p>
            <w:pPr>
              <w:spacing w:after="0"/>
              <w:rPr>
                <w:sz w:val="12"/>
                <w:szCs w:val="12"/>
                <w:color w:val="auto"/>
              </w:rPr>
            </w:pPr>
          </w:p>
        </w:tc>
        <w:tc>
          <w:tcPr>
            <w:tcW w:w="2100" w:type="dxa"/>
            <w:vAlign w:val="bottom"/>
            <w:tcBorders>
              <w:right w:val="single" w:sz="8" w:color="auto"/>
            </w:tcBorders>
            <w:vMerge w:val="continue"/>
            <w:shd w:val="clear" w:color="auto" w:fill="BFBFBF"/>
          </w:tcPr>
          <w:p>
            <w:pPr>
              <w:spacing w:after="0"/>
              <w:rPr>
                <w:sz w:val="12"/>
                <w:szCs w:val="12"/>
                <w:color w:val="auto"/>
              </w:rPr>
            </w:pPr>
          </w:p>
        </w:tc>
        <w:tc>
          <w:tcPr>
            <w:tcW w:w="2100" w:type="dxa"/>
            <w:vAlign w:val="bottom"/>
            <w:tcBorders>
              <w:right w:val="single" w:sz="8" w:color="auto"/>
            </w:tcBorders>
            <w:vMerge w:val="continue"/>
            <w:shd w:val="clear" w:color="auto" w:fill="BFBFBF"/>
          </w:tcPr>
          <w:p>
            <w:pPr>
              <w:spacing w:after="0"/>
              <w:rPr>
                <w:sz w:val="12"/>
                <w:szCs w:val="12"/>
                <w:color w:val="auto"/>
              </w:rPr>
            </w:pPr>
          </w:p>
        </w:tc>
        <w:tc>
          <w:tcPr>
            <w:tcW w:w="2120" w:type="dxa"/>
            <w:vAlign w:val="bottom"/>
            <w:tcBorders>
              <w:right w:val="single" w:sz="8" w:color="auto"/>
            </w:tcBorders>
            <w:gridSpan w:val="2"/>
            <w:shd w:val="clear" w:color="auto" w:fill="BFBFBF"/>
          </w:tcPr>
          <w:p>
            <w:pPr>
              <w:jc w:val="center"/>
              <w:spacing w:after="0" w:line="149" w:lineRule="exact"/>
              <w:rPr>
                <w:sz w:val="20"/>
                <w:szCs w:val="20"/>
                <w:color w:val="auto"/>
              </w:rPr>
            </w:pPr>
            <w:r>
              <w:rPr>
                <w:rFonts w:ascii="Arial" w:cs="Arial" w:eastAsia="Arial" w:hAnsi="Arial"/>
                <w:sz w:val="14"/>
                <w:szCs w:val="14"/>
                <w:b w:val="1"/>
                <w:bCs w:val="1"/>
                <w:color w:val="auto"/>
                <w:w w:val="91"/>
              </w:rPr>
              <w:t>future issuance under equity</w:t>
            </w:r>
          </w:p>
        </w:tc>
        <w:tc>
          <w:tcPr>
            <w:tcW w:w="0" w:type="dxa"/>
            <w:vAlign w:val="bottom"/>
          </w:tcPr>
          <w:p>
            <w:pPr>
              <w:spacing w:after="0"/>
              <w:rPr>
                <w:sz w:val="1"/>
                <w:szCs w:val="1"/>
                <w:color w:val="auto"/>
              </w:rPr>
            </w:pPr>
          </w:p>
        </w:tc>
      </w:tr>
      <w:tr>
        <w:trPr>
          <w:trHeight w:val="148"/>
        </w:trPr>
        <w:tc>
          <w:tcPr>
            <w:tcW w:w="2760" w:type="dxa"/>
            <w:vAlign w:val="bottom"/>
            <w:tcBorders>
              <w:left w:val="single" w:sz="8" w:color="auto"/>
              <w:right w:val="single" w:sz="8" w:color="auto"/>
            </w:tcBorders>
            <w:shd w:val="clear" w:color="auto" w:fill="BFBFBF"/>
          </w:tcPr>
          <w:p>
            <w:pPr>
              <w:spacing w:after="0"/>
              <w:rPr>
                <w:sz w:val="12"/>
                <w:szCs w:val="12"/>
                <w:color w:val="auto"/>
              </w:rPr>
            </w:pPr>
          </w:p>
        </w:tc>
        <w:tc>
          <w:tcPr>
            <w:tcW w:w="2100" w:type="dxa"/>
            <w:vAlign w:val="bottom"/>
            <w:tcBorders>
              <w:right w:val="single" w:sz="8" w:color="auto"/>
            </w:tcBorders>
            <w:shd w:val="clear" w:color="auto" w:fill="BFBFBF"/>
          </w:tcPr>
          <w:p>
            <w:pPr>
              <w:jc w:val="center"/>
              <w:spacing w:after="0" w:line="149" w:lineRule="exact"/>
              <w:rPr>
                <w:sz w:val="20"/>
                <w:szCs w:val="20"/>
                <w:color w:val="auto"/>
              </w:rPr>
            </w:pPr>
            <w:r>
              <w:rPr>
                <w:rFonts w:ascii="Arial" w:cs="Arial" w:eastAsia="Arial" w:hAnsi="Arial"/>
                <w:sz w:val="14"/>
                <w:szCs w:val="14"/>
                <w:b w:val="1"/>
                <w:bCs w:val="1"/>
                <w:color w:val="auto"/>
                <w:w w:val="87"/>
              </w:rPr>
              <w:t>issued upon exercise of</w:t>
            </w:r>
          </w:p>
        </w:tc>
        <w:tc>
          <w:tcPr>
            <w:tcW w:w="2100" w:type="dxa"/>
            <w:vAlign w:val="bottom"/>
            <w:tcBorders>
              <w:right w:val="single" w:sz="8" w:color="auto"/>
            </w:tcBorders>
            <w:shd w:val="clear" w:color="auto" w:fill="BFBFBF"/>
          </w:tcPr>
          <w:p>
            <w:pPr>
              <w:jc w:val="center"/>
              <w:spacing w:after="0" w:line="149" w:lineRule="exact"/>
              <w:rPr>
                <w:sz w:val="20"/>
                <w:szCs w:val="20"/>
                <w:color w:val="auto"/>
              </w:rPr>
            </w:pPr>
            <w:r>
              <w:rPr>
                <w:rFonts w:ascii="Arial" w:cs="Arial" w:eastAsia="Arial" w:hAnsi="Arial"/>
                <w:sz w:val="14"/>
                <w:szCs w:val="14"/>
                <w:b w:val="1"/>
                <w:bCs w:val="1"/>
                <w:color w:val="auto"/>
                <w:w w:val="90"/>
              </w:rPr>
              <w:t>exercise price of</w:t>
            </w:r>
          </w:p>
        </w:tc>
        <w:tc>
          <w:tcPr>
            <w:tcW w:w="2120" w:type="dxa"/>
            <w:vAlign w:val="bottom"/>
            <w:tcBorders>
              <w:right w:val="single" w:sz="8" w:color="auto"/>
            </w:tcBorders>
            <w:gridSpan w:val="2"/>
            <w:shd w:val="clear" w:color="auto" w:fill="BFBFBF"/>
          </w:tcPr>
          <w:p>
            <w:pPr>
              <w:jc w:val="center"/>
              <w:spacing w:after="0" w:line="149" w:lineRule="exact"/>
              <w:rPr>
                <w:sz w:val="20"/>
                <w:szCs w:val="20"/>
                <w:color w:val="auto"/>
              </w:rPr>
            </w:pPr>
            <w:r>
              <w:rPr>
                <w:rFonts w:ascii="Arial" w:cs="Arial" w:eastAsia="Arial" w:hAnsi="Arial"/>
                <w:sz w:val="14"/>
                <w:szCs w:val="14"/>
                <w:b w:val="1"/>
                <w:bCs w:val="1"/>
                <w:color w:val="auto"/>
                <w:w w:val="88"/>
              </w:rPr>
              <w:t>compensation plans</w:t>
            </w:r>
          </w:p>
        </w:tc>
        <w:tc>
          <w:tcPr>
            <w:tcW w:w="0" w:type="dxa"/>
            <w:vAlign w:val="bottom"/>
          </w:tcPr>
          <w:p>
            <w:pPr>
              <w:spacing w:after="0"/>
              <w:rPr>
                <w:sz w:val="1"/>
                <w:szCs w:val="1"/>
                <w:color w:val="auto"/>
              </w:rPr>
            </w:pPr>
          </w:p>
        </w:tc>
      </w:tr>
      <w:tr>
        <w:trPr>
          <w:trHeight w:val="148"/>
        </w:trPr>
        <w:tc>
          <w:tcPr>
            <w:tcW w:w="2760" w:type="dxa"/>
            <w:vAlign w:val="bottom"/>
            <w:tcBorders>
              <w:left w:val="single" w:sz="8" w:color="auto"/>
              <w:right w:val="single" w:sz="8" w:color="auto"/>
            </w:tcBorders>
            <w:vMerge w:val="restart"/>
            <w:shd w:val="clear" w:color="auto" w:fill="BFBFBF"/>
          </w:tcPr>
          <w:p>
            <w:pPr>
              <w:ind w:left="940"/>
              <w:spacing w:after="0"/>
              <w:rPr>
                <w:sz w:val="20"/>
                <w:szCs w:val="20"/>
                <w:color w:val="auto"/>
              </w:rPr>
            </w:pPr>
            <w:r>
              <w:rPr>
                <w:rFonts w:ascii="Arial" w:cs="Arial" w:eastAsia="Arial" w:hAnsi="Arial"/>
                <w:sz w:val="14"/>
                <w:szCs w:val="14"/>
                <w:b w:val="1"/>
                <w:bCs w:val="1"/>
                <w:color w:val="auto"/>
              </w:rPr>
              <w:t>Plan category</w:t>
            </w:r>
          </w:p>
        </w:tc>
        <w:tc>
          <w:tcPr>
            <w:tcW w:w="2100" w:type="dxa"/>
            <w:vAlign w:val="bottom"/>
            <w:tcBorders>
              <w:right w:val="single" w:sz="8" w:color="auto"/>
            </w:tcBorders>
            <w:shd w:val="clear" w:color="auto" w:fill="BFBFBF"/>
          </w:tcPr>
          <w:p>
            <w:pPr>
              <w:jc w:val="center"/>
              <w:ind w:right="5"/>
              <w:spacing w:after="0" w:line="149" w:lineRule="exact"/>
              <w:rPr>
                <w:sz w:val="20"/>
                <w:szCs w:val="20"/>
                <w:color w:val="auto"/>
              </w:rPr>
            </w:pPr>
            <w:r>
              <w:rPr>
                <w:rFonts w:ascii="Arial" w:cs="Arial" w:eastAsia="Arial" w:hAnsi="Arial"/>
                <w:sz w:val="14"/>
                <w:szCs w:val="14"/>
                <w:b w:val="1"/>
                <w:bCs w:val="1"/>
                <w:color w:val="auto"/>
                <w:w w:val="90"/>
              </w:rPr>
              <w:t>outstanding options,</w:t>
            </w:r>
          </w:p>
        </w:tc>
        <w:tc>
          <w:tcPr>
            <w:tcW w:w="2100" w:type="dxa"/>
            <w:vAlign w:val="bottom"/>
            <w:tcBorders>
              <w:right w:val="single" w:sz="8" w:color="auto"/>
            </w:tcBorders>
            <w:shd w:val="clear" w:color="auto" w:fill="BFBFBF"/>
          </w:tcPr>
          <w:p>
            <w:pPr>
              <w:jc w:val="center"/>
              <w:spacing w:after="0" w:line="149" w:lineRule="exact"/>
              <w:rPr>
                <w:sz w:val="20"/>
                <w:szCs w:val="20"/>
                <w:color w:val="auto"/>
              </w:rPr>
            </w:pPr>
            <w:r>
              <w:rPr>
                <w:rFonts w:ascii="Arial" w:cs="Arial" w:eastAsia="Arial" w:hAnsi="Arial"/>
                <w:sz w:val="14"/>
                <w:szCs w:val="14"/>
                <w:b w:val="1"/>
                <w:bCs w:val="1"/>
                <w:color w:val="auto"/>
                <w:w w:val="89"/>
              </w:rPr>
              <w:t>outstanding options,</w:t>
            </w:r>
          </w:p>
        </w:tc>
        <w:tc>
          <w:tcPr>
            <w:tcW w:w="2120" w:type="dxa"/>
            <w:vAlign w:val="bottom"/>
            <w:tcBorders>
              <w:right w:val="single" w:sz="8" w:color="auto"/>
            </w:tcBorders>
            <w:gridSpan w:val="2"/>
            <w:shd w:val="clear" w:color="auto" w:fill="BFBFBF"/>
          </w:tcPr>
          <w:p>
            <w:pPr>
              <w:jc w:val="center"/>
              <w:spacing w:after="0" w:line="149" w:lineRule="exact"/>
              <w:rPr>
                <w:sz w:val="20"/>
                <w:szCs w:val="20"/>
                <w:color w:val="auto"/>
              </w:rPr>
            </w:pPr>
            <w:r>
              <w:rPr>
                <w:rFonts w:ascii="Arial" w:cs="Arial" w:eastAsia="Arial" w:hAnsi="Arial"/>
                <w:sz w:val="14"/>
                <w:szCs w:val="14"/>
                <w:b w:val="1"/>
                <w:bCs w:val="1"/>
                <w:color w:val="auto"/>
                <w:w w:val="90"/>
              </w:rPr>
              <w:t>(excluding securities reflected</w:t>
            </w:r>
          </w:p>
        </w:tc>
        <w:tc>
          <w:tcPr>
            <w:tcW w:w="0" w:type="dxa"/>
            <w:vAlign w:val="bottom"/>
          </w:tcPr>
          <w:p>
            <w:pPr>
              <w:spacing w:after="0"/>
              <w:rPr>
                <w:sz w:val="1"/>
                <w:szCs w:val="1"/>
                <w:color w:val="auto"/>
              </w:rPr>
            </w:pPr>
          </w:p>
        </w:tc>
      </w:tr>
      <w:tr>
        <w:trPr>
          <w:trHeight w:val="239"/>
        </w:trPr>
        <w:tc>
          <w:tcPr>
            <w:tcW w:w="2760" w:type="dxa"/>
            <w:vAlign w:val="bottom"/>
            <w:tcBorders>
              <w:left w:val="single" w:sz="8" w:color="auto"/>
              <w:bottom w:val="single" w:sz="8" w:color="BFBFBF"/>
              <w:right w:val="single" w:sz="8" w:color="auto"/>
            </w:tcBorders>
            <w:vMerge w:val="continue"/>
            <w:shd w:val="clear" w:color="auto" w:fill="BFBFBF"/>
          </w:tcPr>
          <w:p>
            <w:pPr>
              <w:spacing w:after="0"/>
              <w:rPr>
                <w:sz w:val="20"/>
                <w:szCs w:val="20"/>
                <w:color w:val="auto"/>
              </w:rPr>
            </w:pPr>
          </w:p>
        </w:tc>
        <w:tc>
          <w:tcPr>
            <w:tcW w:w="2100" w:type="dxa"/>
            <w:vAlign w:val="bottom"/>
            <w:tcBorders>
              <w:bottom w:val="single" w:sz="8" w:color="BFBFBF"/>
              <w:right w:val="single" w:sz="8" w:color="auto"/>
            </w:tcBorders>
            <w:shd w:val="clear" w:color="auto" w:fill="BFBFBF"/>
          </w:tcPr>
          <w:p>
            <w:pPr>
              <w:jc w:val="center"/>
              <w:spacing w:after="0"/>
              <w:rPr>
                <w:sz w:val="20"/>
                <w:szCs w:val="20"/>
                <w:color w:val="auto"/>
              </w:rPr>
            </w:pPr>
            <w:r>
              <w:rPr>
                <w:rFonts w:ascii="Arial" w:cs="Arial" w:eastAsia="Arial" w:hAnsi="Arial"/>
                <w:sz w:val="14"/>
                <w:szCs w:val="14"/>
                <w:b w:val="1"/>
                <w:bCs w:val="1"/>
                <w:color w:val="auto"/>
                <w:w w:val="94"/>
              </w:rPr>
              <w:t>warrants, and rights</w:t>
            </w:r>
          </w:p>
        </w:tc>
        <w:tc>
          <w:tcPr>
            <w:tcW w:w="2100" w:type="dxa"/>
            <w:vAlign w:val="bottom"/>
            <w:tcBorders>
              <w:bottom w:val="single" w:sz="8" w:color="BFBFBF"/>
              <w:right w:val="single" w:sz="8" w:color="auto"/>
            </w:tcBorders>
            <w:shd w:val="clear" w:color="auto" w:fill="BFBFBF"/>
          </w:tcPr>
          <w:p>
            <w:pPr>
              <w:jc w:val="center"/>
              <w:spacing w:after="0"/>
              <w:rPr>
                <w:sz w:val="20"/>
                <w:szCs w:val="20"/>
                <w:color w:val="auto"/>
              </w:rPr>
            </w:pPr>
            <w:r>
              <w:rPr>
                <w:rFonts w:ascii="Arial" w:cs="Arial" w:eastAsia="Arial" w:hAnsi="Arial"/>
                <w:sz w:val="14"/>
                <w:szCs w:val="14"/>
                <w:b w:val="1"/>
                <w:bCs w:val="1"/>
                <w:color w:val="auto"/>
                <w:w w:val="94"/>
              </w:rPr>
              <w:t>warrants, and rights</w:t>
            </w:r>
          </w:p>
        </w:tc>
        <w:tc>
          <w:tcPr>
            <w:tcW w:w="2120" w:type="dxa"/>
            <w:vAlign w:val="bottom"/>
            <w:tcBorders>
              <w:bottom w:val="single" w:sz="8" w:color="BFBFBF"/>
              <w:right w:val="single" w:sz="8" w:color="auto"/>
            </w:tcBorders>
            <w:gridSpan w:val="2"/>
            <w:shd w:val="clear" w:color="auto" w:fill="BFBFBF"/>
          </w:tcPr>
          <w:p>
            <w:pPr>
              <w:jc w:val="center"/>
              <w:spacing w:after="0"/>
              <w:rPr>
                <w:sz w:val="20"/>
                <w:szCs w:val="20"/>
                <w:color w:val="auto"/>
              </w:rPr>
            </w:pPr>
            <w:r>
              <w:rPr>
                <w:rFonts w:ascii="Arial" w:cs="Arial" w:eastAsia="Arial" w:hAnsi="Arial"/>
                <w:sz w:val="14"/>
                <w:szCs w:val="14"/>
                <w:b w:val="1"/>
                <w:bCs w:val="1"/>
                <w:color w:val="auto"/>
                <w:w w:val="91"/>
              </w:rPr>
              <w:t>in column (a)</w:t>
            </w:r>
          </w:p>
        </w:tc>
        <w:tc>
          <w:tcPr>
            <w:tcW w:w="0" w:type="dxa"/>
            <w:vAlign w:val="bottom"/>
          </w:tcPr>
          <w:p>
            <w:pPr>
              <w:spacing w:after="0"/>
              <w:rPr>
                <w:sz w:val="1"/>
                <w:szCs w:val="1"/>
                <w:color w:val="auto"/>
              </w:rPr>
            </w:pPr>
          </w:p>
        </w:tc>
      </w:tr>
      <w:tr>
        <w:trPr>
          <w:trHeight w:val="254"/>
        </w:trPr>
        <w:tc>
          <w:tcPr>
            <w:tcW w:w="276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6"/>
                <w:szCs w:val="16"/>
                <w:color w:val="auto"/>
                <w:w w:val="93"/>
              </w:rPr>
              <w:t>Equity compensation plans approved by</w:t>
            </w:r>
          </w:p>
        </w:tc>
        <w:tc>
          <w:tcPr>
            <w:tcW w:w="2100" w:type="dxa"/>
            <w:vAlign w:val="bottom"/>
            <w:tcBorders>
              <w:top w:val="single" w:sz="8" w:color="auto"/>
              <w:right w:val="single" w:sz="8" w:color="auto"/>
            </w:tcBorders>
          </w:tcPr>
          <w:p>
            <w:pPr>
              <w:spacing w:after="0"/>
              <w:rPr>
                <w:sz w:val="22"/>
                <w:szCs w:val="22"/>
                <w:color w:val="auto"/>
              </w:rPr>
            </w:pPr>
          </w:p>
        </w:tc>
        <w:tc>
          <w:tcPr>
            <w:tcW w:w="2100" w:type="dxa"/>
            <w:vAlign w:val="bottom"/>
            <w:tcBorders>
              <w:top w:val="single" w:sz="8" w:color="auto"/>
              <w:right w:val="single" w:sz="8" w:color="auto"/>
            </w:tcBorders>
          </w:tcPr>
          <w:p>
            <w:pPr>
              <w:spacing w:after="0"/>
              <w:rPr>
                <w:sz w:val="22"/>
                <w:szCs w:val="22"/>
                <w:color w:val="auto"/>
              </w:rPr>
            </w:pPr>
          </w:p>
        </w:tc>
        <w:tc>
          <w:tcPr>
            <w:tcW w:w="1400" w:type="dxa"/>
            <w:vAlign w:val="bottom"/>
            <w:tcBorders>
              <w:top w:val="single" w:sz="8" w:color="auto"/>
            </w:tcBorders>
          </w:tcPr>
          <w:p>
            <w:pPr>
              <w:spacing w:after="0"/>
              <w:rPr>
                <w:sz w:val="22"/>
                <w:szCs w:val="22"/>
                <w:color w:val="auto"/>
              </w:rPr>
            </w:pPr>
          </w:p>
        </w:tc>
        <w:tc>
          <w:tcPr>
            <w:tcW w:w="720" w:type="dxa"/>
            <w:vAlign w:val="bottom"/>
            <w:tcBorders>
              <w:top w:val="single" w:sz="8" w:color="auto"/>
              <w:right w:val="single" w:sz="8" w:color="auto"/>
            </w:tcBorders>
            <w:vMerge w:val="restart"/>
          </w:tcPr>
          <w:p>
            <w:pPr>
              <w:jc w:val="right"/>
              <w:ind w:right="493"/>
              <w:spacing w:after="0"/>
              <w:rPr>
                <w:sz w:val="20"/>
                <w:szCs w:val="20"/>
                <w:color w:val="auto"/>
              </w:rPr>
            </w:pPr>
            <w:r>
              <w:rPr>
                <w:rFonts w:ascii="Arial" w:cs="Arial" w:eastAsia="Arial" w:hAnsi="Arial"/>
                <w:sz w:val="13"/>
                <w:szCs w:val="13"/>
                <w:color w:val="auto"/>
                <w:w w:val="87"/>
              </w:rPr>
              <w:t>(1)</w:t>
            </w:r>
          </w:p>
        </w:tc>
        <w:tc>
          <w:tcPr>
            <w:tcW w:w="0" w:type="dxa"/>
            <w:vAlign w:val="bottom"/>
          </w:tcPr>
          <w:p>
            <w:pPr>
              <w:spacing w:after="0"/>
              <w:rPr>
                <w:sz w:val="1"/>
                <w:szCs w:val="1"/>
                <w:color w:val="auto"/>
              </w:rPr>
            </w:pPr>
          </w:p>
        </w:tc>
      </w:tr>
      <w:tr>
        <w:trPr>
          <w:trHeight w:val="206"/>
        </w:trPr>
        <w:tc>
          <w:tcPr>
            <w:tcW w:w="27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security holders</w:t>
            </w:r>
          </w:p>
        </w:tc>
        <w:tc>
          <w:tcPr>
            <w:tcW w:w="2100" w:type="dxa"/>
            <w:vAlign w:val="bottom"/>
            <w:tcBorders>
              <w:right w:val="single" w:sz="8" w:color="auto"/>
            </w:tcBorders>
          </w:tcPr>
          <w:p>
            <w:pPr>
              <w:jc w:val="right"/>
              <w:ind w:right="665"/>
              <w:spacing w:after="0"/>
              <w:rPr>
                <w:sz w:val="20"/>
                <w:szCs w:val="20"/>
                <w:color w:val="auto"/>
              </w:rPr>
            </w:pPr>
            <w:r>
              <w:rPr>
                <w:rFonts w:ascii="Arial" w:cs="Arial" w:eastAsia="Arial" w:hAnsi="Arial"/>
                <w:sz w:val="16"/>
                <w:szCs w:val="16"/>
                <w:color w:val="auto"/>
              </w:rPr>
              <w:t>1,917,790</w:t>
            </w:r>
          </w:p>
        </w:tc>
        <w:tc>
          <w:tcPr>
            <w:tcW w:w="2100" w:type="dxa"/>
            <w:vAlign w:val="bottom"/>
            <w:tcBorders>
              <w:right w:val="single" w:sz="8" w:color="auto"/>
            </w:tcBorders>
          </w:tcPr>
          <w:p>
            <w:pPr>
              <w:jc w:val="right"/>
              <w:ind w:right="765"/>
              <w:spacing w:after="0"/>
              <w:rPr>
                <w:sz w:val="20"/>
                <w:szCs w:val="20"/>
                <w:color w:val="auto"/>
              </w:rPr>
            </w:pPr>
            <w:r>
              <w:rPr>
                <w:rFonts w:ascii="Arial" w:cs="Arial" w:eastAsia="Arial" w:hAnsi="Arial"/>
                <w:sz w:val="16"/>
                <w:szCs w:val="16"/>
                <w:color w:val="auto"/>
              </w:rPr>
              <w:t>$50.93</w:t>
            </w:r>
          </w:p>
        </w:tc>
        <w:tc>
          <w:tcPr>
            <w:tcW w:w="1400" w:type="dxa"/>
            <w:vAlign w:val="bottom"/>
          </w:tcPr>
          <w:p>
            <w:pPr>
              <w:jc w:val="right"/>
              <w:spacing w:after="0"/>
              <w:rPr>
                <w:sz w:val="20"/>
                <w:szCs w:val="20"/>
                <w:color w:val="auto"/>
              </w:rPr>
            </w:pPr>
            <w:r>
              <w:rPr>
                <w:rFonts w:ascii="Arial" w:cs="Arial" w:eastAsia="Arial" w:hAnsi="Arial"/>
                <w:sz w:val="16"/>
                <w:szCs w:val="16"/>
                <w:color w:val="auto"/>
              </w:rPr>
              <w:t>3,421,135</w:t>
            </w:r>
          </w:p>
        </w:tc>
        <w:tc>
          <w:tcPr>
            <w:tcW w:w="72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73"/>
        </w:trPr>
        <w:tc>
          <w:tcPr>
            <w:tcW w:w="2760" w:type="dxa"/>
            <w:vAlign w:val="bottom"/>
            <w:tcBorders>
              <w:left w:val="single" w:sz="8" w:color="auto"/>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7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4"/>
        </w:trPr>
        <w:tc>
          <w:tcPr>
            <w:tcW w:w="27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Equity compensation plans not</w:t>
            </w:r>
          </w:p>
        </w:tc>
        <w:tc>
          <w:tcPr>
            <w:tcW w:w="2100" w:type="dxa"/>
            <w:vAlign w:val="bottom"/>
            <w:tcBorders>
              <w:right w:val="single" w:sz="8" w:color="auto"/>
            </w:tcBorders>
          </w:tcPr>
          <w:p>
            <w:pPr>
              <w:spacing w:after="0"/>
              <w:rPr>
                <w:sz w:val="22"/>
                <w:szCs w:val="22"/>
                <w:color w:val="auto"/>
              </w:rPr>
            </w:pPr>
          </w:p>
        </w:tc>
        <w:tc>
          <w:tcPr>
            <w:tcW w:w="2100" w:type="dxa"/>
            <w:vAlign w:val="bottom"/>
            <w:tcBorders>
              <w:right w:val="single" w:sz="8" w:color="auto"/>
            </w:tcBorders>
          </w:tcPr>
          <w:p>
            <w:pPr>
              <w:spacing w:after="0"/>
              <w:rPr>
                <w:sz w:val="22"/>
                <w:szCs w:val="22"/>
                <w:color w:val="auto"/>
              </w:rPr>
            </w:pPr>
          </w:p>
        </w:tc>
        <w:tc>
          <w:tcPr>
            <w:tcW w:w="1400" w:type="dxa"/>
            <w:vAlign w:val="bottom"/>
          </w:tcPr>
          <w:p>
            <w:pPr>
              <w:spacing w:after="0"/>
              <w:rPr>
                <w:sz w:val="22"/>
                <w:szCs w:val="22"/>
                <w:color w:val="auto"/>
              </w:rPr>
            </w:pPr>
          </w:p>
        </w:tc>
        <w:tc>
          <w:tcPr>
            <w:tcW w:w="720" w:type="dxa"/>
            <w:vAlign w:val="bottom"/>
            <w:tcBorders>
              <w:right w:val="single" w:sz="8" w:color="auto"/>
            </w:tcBorders>
            <w:vMerge w:val="restart"/>
          </w:tcPr>
          <w:p>
            <w:pPr>
              <w:jc w:val="right"/>
              <w:ind w:right="493"/>
              <w:spacing w:after="0"/>
              <w:rPr>
                <w:sz w:val="20"/>
                <w:szCs w:val="20"/>
                <w:color w:val="auto"/>
              </w:rPr>
            </w:pPr>
            <w:r>
              <w:rPr>
                <w:rFonts w:ascii="Arial" w:cs="Arial" w:eastAsia="Arial" w:hAnsi="Arial"/>
                <w:sz w:val="13"/>
                <w:szCs w:val="13"/>
                <w:color w:val="auto"/>
                <w:w w:val="87"/>
              </w:rPr>
              <w:t>(2)</w:t>
            </w:r>
          </w:p>
        </w:tc>
        <w:tc>
          <w:tcPr>
            <w:tcW w:w="0" w:type="dxa"/>
            <w:vAlign w:val="bottom"/>
          </w:tcPr>
          <w:p>
            <w:pPr>
              <w:spacing w:after="0"/>
              <w:rPr>
                <w:sz w:val="1"/>
                <w:szCs w:val="1"/>
                <w:color w:val="auto"/>
              </w:rPr>
            </w:pPr>
          </w:p>
        </w:tc>
      </w:tr>
      <w:tr>
        <w:trPr>
          <w:trHeight w:val="206"/>
        </w:trPr>
        <w:tc>
          <w:tcPr>
            <w:tcW w:w="27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approved by security holders</w:t>
            </w:r>
          </w:p>
        </w:tc>
        <w:tc>
          <w:tcPr>
            <w:tcW w:w="2100" w:type="dxa"/>
            <w:vAlign w:val="bottom"/>
            <w:tcBorders>
              <w:right w:val="single" w:sz="8" w:color="auto"/>
            </w:tcBorders>
          </w:tcPr>
          <w:p>
            <w:pPr>
              <w:jc w:val="right"/>
              <w:ind w:right="665"/>
              <w:spacing w:after="0"/>
              <w:rPr>
                <w:sz w:val="20"/>
                <w:szCs w:val="20"/>
                <w:color w:val="auto"/>
              </w:rPr>
            </w:pPr>
            <w:r>
              <w:rPr>
                <w:rFonts w:ascii="Arial" w:cs="Arial" w:eastAsia="Arial" w:hAnsi="Arial"/>
                <w:sz w:val="16"/>
                <w:szCs w:val="16"/>
                <w:color w:val="auto"/>
              </w:rPr>
              <w:t>—</w:t>
            </w:r>
          </w:p>
        </w:tc>
        <w:tc>
          <w:tcPr>
            <w:tcW w:w="2100" w:type="dxa"/>
            <w:vAlign w:val="bottom"/>
            <w:tcBorders>
              <w:right w:val="single" w:sz="8" w:color="auto"/>
            </w:tcBorders>
          </w:tcPr>
          <w:p>
            <w:pPr>
              <w:jc w:val="right"/>
              <w:ind w:right="765"/>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320,412</w:t>
            </w:r>
          </w:p>
        </w:tc>
        <w:tc>
          <w:tcPr>
            <w:tcW w:w="72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73"/>
        </w:trPr>
        <w:tc>
          <w:tcPr>
            <w:tcW w:w="2760" w:type="dxa"/>
            <w:vAlign w:val="bottom"/>
            <w:tcBorders>
              <w:left w:val="single" w:sz="8" w:color="auto"/>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7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60"/>
        </w:trPr>
        <w:tc>
          <w:tcPr>
            <w:tcW w:w="27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Total</w:t>
            </w:r>
          </w:p>
        </w:tc>
        <w:tc>
          <w:tcPr>
            <w:tcW w:w="2100" w:type="dxa"/>
            <w:vAlign w:val="bottom"/>
            <w:tcBorders>
              <w:bottom w:val="single" w:sz="8" w:color="auto"/>
              <w:right w:val="single" w:sz="8" w:color="auto"/>
            </w:tcBorders>
          </w:tcPr>
          <w:p>
            <w:pPr>
              <w:jc w:val="right"/>
              <w:ind w:right="665"/>
              <w:spacing w:after="0"/>
              <w:rPr>
                <w:sz w:val="20"/>
                <w:szCs w:val="20"/>
                <w:color w:val="auto"/>
              </w:rPr>
            </w:pPr>
            <w:r>
              <w:rPr>
                <w:rFonts w:ascii="Arial" w:cs="Arial" w:eastAsia="Arial" w:hAnsi="Arial"/>
                <w:sz w:val="16"/>
                <w:szCs w:val="16"/>
                <w:color w:val="auto"/>
              </w:rPr>
              <w:t>1,917,790</w:t>
            </w:r>
          </w:p>
        </w:tc>
        <w:tc>
          <w:tcPr>
            <w:tcW w:w="2100" w:type="dxa"/>
            <w:vAlign w:val="bottom"/>
            <w:tcBorders>
              <w:bottom w:val="single" w:sz="8" w:color="auto"/>
              <w:right w:val="single" w:sz="8" w:color="auto"/>
            </w:tcBorders>
          </w:tcPr>
          <w:p>
            <w:pPr>
              <w:jc w:val="right"/>
              <w:ind w:right="765"/>
              <w:spacing w:after="0"/>
              <w:rPr>
                <w:sz w:val="20"/>
                <w:szCs w:val="20"/>
                <w:color w:val="auto"/>
              </w:rPr>
            </w:pPr>
            <w:r>
              <w:rPr>
                <w:rFonts w:ascii="Arial" w:cs="Arial" w:eastAsia="Arial" w:hAnsi="Arial"/>
                <w:sz w:val="16"/>
                <w:szCs w:val="16"/>
                <w:color w:val="auto"/>
              </w:rPr>
              <w:t>$50.93</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3,741,547</w:t>
            </w:r>
          </w:p>
        </w:tc>
        <w:tc>
          <w:tcPr>
            <w:tcW w:w="72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1440" w:right="1260" w:hanging="352"/>
        <w:spacing w:after="0" w:line="246" w:lineRule="auto"/>
        <w:tabs>
          <w:tab w:leader="none" w:pos="14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Includes 2.54 million shares issuable under the Company’s equity incentive plans, 847,165 shares issuable under AFG’s Employee Stock Purchase Plan and 33,942 shares issuable under AFG’s Non-Employee Directors Compensation Plan.</w:t>
      </w:r>
    </w:p>
    <w:p>
      <w:pPr>
        <w:ind w:left="1440" w:right="1180" w:hanging="352"/>
        <w:spacing w:after="0" w:line="243" w:lineRule="auto"/>
        <w:tabs>
          <w:tab w:leader="none" w:pos="14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 xml:space="preserve">Represents shares issuable under AFG’s Deferred Compensation Plan. For a description of this plan, see “Compensation Discussion and Analysis— Retirement and Other Related Benefits” on page </w:t>
      </w:r>
      <w:hyperlink w:anchor="page42">
        <w:r>
          <w:rPr>
            <w:rFonts w:ascii="Arial" w:cs="Arial" w:eastAsia="Arial" w:hAnsi="Arial"/>
            <w:sz w:val="14"/>
            <w:szCs w:val="14"/>
            <w:u w:val="single" w:color="auto"/>
            <w:color w:val="0000EE"/>
          </w:rPr>
          <w:t>35</w:t>
        </w:r>
      </w:hyperlink>
      <w:r>
        <w:rPr>
          <w:rFonts w:ascii="Arial" w:cs="Arial" w:eastAsia="Arial" w:hAnsi="Arial"/>
          <w:sz w:val="14"/>
          <w:szCs w:val="14"/>
          <w:color w:val="auto"/>
        </w:rPr>
        <w:t>.</w:t>
      </w:r>
    </w:p>
    <w:p>
      <w:pPr>
        <w:spacing w:after="0" w:line="297" w:lineRule="exact"/>
        <w:rPr>
          <w:sz w:val="20"/>
          <w:szCs w:val="20"/>
          <w:color w:val="auto"/>
        </w:rPr>
      </w:pPr>
    </w:p>
    <w:tbl>
      <w:tblPr>
        <w:tblLayout w:type="fixed"/>
        <w:tblInd w:w="120" w:type="dxa"/>
        <w:tblCellMar>
          <w:top w:w="0" w:type="dxa"/>
          <w:left w:w="0" w:type="dxa"/>
          <w:bottom w:w="0" w:type="dxa"/>
          <w:right w:w="0" w:type="dxa"/>
        </w:tblCellMar>
      </w:tblPr>
      <w:tr>
        <w:trPr>
          <w:trHeight w:val="206"/>
        </w:trPr>
        <w:tc>
          <w:tcPr>
            <w:tcW w:w="7040" w:type="dxa"/>
            <w:vAlign w:val="bottom"/>
          </w:tcPr>
          <w:p>
            <w:pPr>
              <w:ind w:left="1040"/>
              <w:spacing w:after="0"/>
              <w:rPr>
                <w:sz w:val="20"/>
                <w:szCs w:val="20"/>
                <w:color w:val="auto"/>
              </w:rPr>
            </w:pPr>
            <w:r>
              <w:rPr>
                <w:rFonts w:ascii="Arial" w:cs="Arial" w:eastAsia="Arial" w:hAnsi="Arial"/>
                <w:sz w:val="16"/>
                <w:szCs w:val="16"/>
                <w:color w:val="auto"/>
              </w:rPr>
              <w:t>2020 Proxy Statement | Executive Compensation</w:t>
            </w:r>
          </w:p>
        </w:tc>
        <w:tc>
          <w:tcPr>
            <w:tcW w:w="3980" w:type="dxa"/>
            <w:vAlign w:val="bottom"/>
          </w:tcPr>
          <w:p>
            <w:pPr>
              <w:jc w:val="right"/>
              <w:ind w:right="919"/>
              <w:spacing w:after="0"/>
              <w:rPr>
                <w:sz w:val="20"/>
                <w:szCs w:val="20"/>
                <w:color w:val="auto"/>
              </w:rPr>
            </w:pPr>
            <w:r>
              <w:rPr>
                <w:rFonts w:ascii="Arial" w:cs="Arial" w:eastAsia="Arial" w:hAnsi="Arial"/>
                <w:sz w:val="16"/>
                <w:szCs w:val="16"/>
                <w:color w:val="auto"/>
              </w:rPr>
              <w:t>44</w:t>
            </w:r>
          </w:p>
        </w:tc>
      </w:tr>
      <w:tr>
        <w:trPr>
          <w:trHeight w:val="189"/>
        </w:trPr>
        <w:tc>
          <w:tcPr>
            <w:tcW w:w="7040" w:type="dxa"/>
            <w:vAlign w:val="bottom"/>
            <w:tcBorders>
              <w:bottom w:val="single" w:sz="8" w:color="auto"/>
            </w:tcBorders>
          </w:tcPr>
          <w:p>
            <w:pPr>
              <w:spacing w:after="0"/>
              <w:rPr>
                <w:sz w:val="16"/>
                <w:szCs w:val="16"/>
                <w:color w:val="auto"/>
              </w:rPr>
            </w:pPr>
          </w:p>
        </w:tc>
        <w:tc>
          <w:tcPr>
            <w:tcW w:w="3980" w:type="dxa"/>
            <w:vAlign w:val="bottom"/>
            <w:tcBorders>
              <w:bottom w:val="single" w:sz="8" w:color="auto"/>
            </w:tcBorders>
          </w:tcPr>
          <w:p>
            <w:pPr>
              <w:spacing w:after="0"/>
              <w:rPr>
                <w:sz w:val="16"/>
                <w:szCs w:val="16"/>
                <w:color w:val="auto"/>
              </w:rPr>
            </w:pPr>
          </w:p>
        </w:tc>
      </w:tr>
    </w:tbl>
    <w:p>
      <w:pPr>
        <w:sectPr>
          <w:pgSz w:w="11900" w:h="16838" w:orient="portrait"/>
          <w:cols w:equalWidth="0" w:num="1">
            <w:col w:w="11140"/>
          </w:cols>
          <w:pgMar w:left="320" w:top="265" w:right="439" w:bottom="1440" w:gutter="0" w:footer="0" w:header="0"/>
        </w:sectPr>
      </w:pPr>
    </w:p>
    <w:bookmarkStart w:id="52" w:name="page53"/>
    <w:bookmarkEnd w:id="52"/>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080"/>
        <w:spacing w:after="0"/>
        <w:rPr>
          <w:sz w:val="20"/>
          <w:szCs w:val="20"/>
          <w:color w:val="auto"/>
        </w:rPr>
      </w:pPr>
      <w:r>
        <w:rPr>
          <w:rFonts w:ascii="Arial" w:cs="Arial" w:eastAsia="Arial" w:hAnsi="Arial"/>
          <w:sz w:val="31"/>
          <w:szCs w:val="31"/>
          <w:b w:val="1"/>
          <w:bCs w:val="1"/>
          <w:color w:val="002875"/>
        </w:rPr>
        <w:t>Other Matters</w:t>
      </w:r>
    </w:p>
    <w:p>
      <w:pPr>
        <w:spacing w:after="0" w:line="130" w:lineRule="exact"/>
        <w:rPr>
          <w:sz w:val="20"/>
          <w:szCs w:val="20"/>
          <w:color w:val="auto"/>
        </w:rPr>
      </w:pPr>
    </w:p>
    <w:p>
      <w:pPr>
        <w:ind w:left="1080" w:right="160"/>
        <w:spacing w:after="0" w:line="267" w:lineRule="auto"/>
        <w:rPr>
          <w:sz w:val="20"/>
          <w:szCs w:val="20"/>
          <w:color w:val="auto"/>
        </w:rPr>
      </w:pPr>
      <w:r>
        <w:rPr>
          <w:rFonts w:ascii="Arial" w:cs="Arial" w:eastAsia="Arial" w:hAnsi="Arial"/>
          <w:sz w:val="20"/>
          <w:szCs w:val="20"/>
          <w:b w:val="1"/>
          <w:bCs w:val="1"/>
          <w:color w:val="3F3F3F"/>
        </w:rPr>
        <w:t>Electronic Access to Proxy Materials and Annual Report</w:t>
      </w:r>
    </w:p>
    <w:p>
      <w:pPr>
        <w:spacing w:after="0" w:line="64" w:lineRule="exact"/>
        <w:rPr>
          <w:sz w:val="20"/>
          <w:szCs w:val="20"/>
          <w:color w:val="auto"/>
        </w:rPr>
      </w:pPr>
    </w:p>
    <w:p>
      <w:pPr>
        <w:ind w:left="1080" w:right="20"/>
        <w:spacing w:after="0" w:line="271" w:lineRule="auto"/>
        <w:rPr>
          <w:sz w:val="20"/>
          <w:szCs w:val="20"/>
          <w:color w:val="auto"/>
        </w:rPr>
      </w:pPr>
      <w:r>
        <w:rPr>
          <w:rFonts w:ascii="Arial" w:cs="Arial" w:eastAsia="Arial" w:hAnsi="Arial"/>
          <w:sz w:val="17"/>
          <w:szCs w:val="17"/>
          <w:color w:val="auto"/>
        </w:rPr>
        <w:t>As we did last year, we are delivering a notice in lieu of a paper copy of the proxy statement and related materials and the Company’s Annual Report to Shareholders and</w:t>
      </w:r>
    </w:p>
    <w:p>
      <w:pPr>
        <w:ind w:left="1080" w:right="120"/>
        <w:spacing w:after="0" w:line="269" w:lineRule="auto"/>
        <w:rPr>
          <w:sz w:val="20"/>
          <w:szCs w:val="20"/>
          <w:color w:val="auto"/>
        </w:rPr>
      </w:pPr>
      <w:r>
        <w:rPr>
          <w:rFonts w:ascii="Arial" w:cs="Arial" w:eastAsia="Arial" w:hAnsi="Arial"/>
          <w:sz w:val="17"/>
          <w:szCs w:val="17"/>
          <w:color w:val="auto"/>
        </w:rPr>
        <w:t>Form 10-K. If you received a notice by mail, you will not receive a paper copy of the proxy materials unless you request one. Instead, the notice will instruct you as to how you may access the proxy materials and cast your vote. If you received a notice by mail and would like to receive a paper copy of our proxy materials, please follow the instructions included in the notice.</w:t>
      </w:r>
    </w:p>
    <w:p>
      <w:pPr>
        <w:spacing w:after="0" w:line="72" w:lineRule="exact"/>
        <w:rPr>
          <w:sz w:val="20"/>
          <w:szCs w:val="20"/>
          <w:color w:val="auto"/>
        </w:rPr>
      </w:pPr>
    </w:p>
    <w:p>
      <w:pPr>
        <w:ind w:left="1080"/>
        <w:spacing w:after="0" w:line="287" w:lineRule="auto"/>
        <w:rPr>
          <w:sz w:val="20"/>
          <w:szCs w:val="20"/>
          <w:color w:val="auto"/>
        </w:rPr>
      </w:pPr>
      <w:r>
        <w:rPr>
          <w:rFonts w:ascii="Arial" w:cs="Arial" w:eastAsia="Arial" w:hAnsi="Arial"/>
          <w:sz w:val="16"/>
          <w:szCs w:val="16"/>
          <w:color w:val="auto"/>
        </w:rPr>
        <w:t>Shareholders also can elect to receive an email message that will provide a link to the proxy materials on the Internet. By opting to access your proxy materials via email, you will save the Company the cost of producing and mailing documents to you, reduce the amount of mail you receive and help preserve environmental resources. Shareholders who have enrolled previously in the electronic access service will receive their proxy materials via email this year. If you received a notice by mail and would like to receive your proxy materials via email, please follow the instructions included in the notice.</w:t>
      </w:r>
    </w:p>
    <w:p>
      <w:pPr>
        <w:spacing w:after="0" w:line="204" w:lineRule="exact"/>
        <w:rPr>
          <w:sz w:val="20"/>
          <w:szCs w:val="20"/>
          <w:color w:val="auto"/>
        </w:rPr>
      </w:pPr>
    </w:p>
    <w:p>
      <w:pPr>
        <w:ind w:left="1080"/>
        <w:spacing w:after="0"/>
        <w:rPr>
          <w:sz w:val="20"/>
          <w:szCs w:val="20"/>
          <w:color w:val="auto"/>
        </w:rPr>
      </w:pPr>
      <w:r>
        <w:rPr>
          <w:rFonts w:ascii="Arial" w:cs="Arial" w:eastAsia="Arial" w:hAnsi="Arial"/>
          <w:sz w:val="20"/>
          <w:szCs w:val="20"/>
          <w:b w:val="1"/>
          <w:bCs w:val="1"/>
          <w:color w:val="3F3F3F"/>
        </w:rPr>
        <w:t>Copies of Annual Report on Form 10-K</w:t>
      </w:r>
    </w:p>
    <w:p>
      <w:pPr>
        <w:spacing w:after="0" w:line="116" w:lineRule="exact"/>
        <w:rPr>
          <w:sz w:val="20"/>
          <w:szCs w:val="20"/>
          <w:color w:val="auto"/>
        </w:rPr>
      </w:pPr>
    </w:p>
    <w:p>
      <w:pPr>
        <w:ind w:left="1080" w:right="120"/>
        <w:spacing w:after="0" w:line="287" w:lineRule="auto"/>
        <w:rPr>
          <w:sz w:val="20"/>
          <w:szCs w:val="20"/>
          <w:color w:val="auto"/>
        </w:rPr>
      </w:pPr>
      <w:r>
        <w:rPr>
          <w:rFonts w:ascii="Arial" w:cs="Arial" w:eastAsia="Arial" w:hAnsi="Arial"/>
          <w:sz w:val="16"/>
          <w:szCs w:val="16"/>
          <w:color w:val="auto"/>
        </w:rPr>
        <w:t>The Company makes available on its website all of its filings that are made electronically with the Securities and Exchange Commission (“SEC”), including Forms 10-K,</w:t>
      </w:r>
    </w:p>
    <w:p>
      <w:pPr>
        <w:spacing w:after="0" w:line="2" w:lineRule="exact"/>
        <w:rPr>
          <w:sz w:val="20"/>
          <w:szCs w:val="20"/>
          <w:color w:val="auto"/>
        </w:rPr>
      </w:pPr>
    </w:p>
    <w:p>
      <w:pPr>
        <w:ind w:left="1080" w:right="20"/>
        <w:spacing w:after="0" w:line="287" w:lineRule="auto"/>
        <w:rPr>
          <w:sz w:val="20"/>
          <w:szCs w:val="20"/>
          <w:color w:val="auto"/>
        </w:rPr>
      </w:pPr>
      <w:r>
        <w:rPr>
          <w:rFonts w:ascii="Arial" w:cs="Arial" w:eastAsia="Arial" w:hAnsi="Arial"/>
          <w:sz w:val="16"/>
          <w:szCs w:val="16"/>
          <w:color w:val="auto"/>
        </w:rPr>
        <w:t>10-Q and 8-K. To access these filings, go to the Company’s website (www.AFGinc.com), click on “Investor Relations” on the home page and select “Financial Information &amp; SEC Filings.” Copies of the Company’s Annual Report on Form 10-K for the year ended December 31, 2019, including financial statements and schedules, as filed with the SEC, are also available without charge to shareholders upon written request addressed to:</w:t>
      </w:r>
    </w:p>
    <w:p>
      <w:pPr>
        <w:spacing w:after="0" w:line="166" w:lineRule="exact"/>
        <w:rPr>
          <w:sz w:val="20"/>
          <w:szCs w:val="20"/>
          <w:color w:val="auto"/>
        </w:rPr>
      </w:pPr>
    </w:p>
    <w:p>
      <w:pPr>
        <w:jc w:val="center"/>
        <w:ind w:left="1100"/>
        <w:spacing w:after="0"/>
        <w:rPr>
          <w:sz w:val="20"/>
          <w:szCs w:val="20"/>
          <w:color w:val="auto"/>
        </w:rPr>
      </w:pPr>
      <w:r>
        <w:rPr>
          <w:rFonts w:ascii="Arial" w:cs="Arial" w:eastAsia="Arial" w:hAnsi="Arial"/>
          <w:sz w:val="18"/>
          <w:szCs w:val="18"/>
          <w:b w:val="1"/>
          <w:bCs w:val="1"/>
          <w:color w:val="auto"/>
        </w:rPr>
        <w:t>Investor Relations</w:t>
      </w:r>
    </w:p>
    <w:p>
      <w:pPr>
        <w:spacing w:after="0" w:line="27" w:lineRule="exact"/>
        <w:rPr>
          <w:sz w:val="20"/>
          <w:szCs w:val="20"/>
          <w:color w:val="auto"/>
        </w:rPr>
      </w:pPr>
    </w:p>
    <w:p>
      <w:pPr>
        <w:jc w:val="center"/>
        <w:ind w:left="1100"/>
        <w:spacing w:after="0"/>
        <w:rPr>
          <w:sz w:val="20"/>
          <w:szCs w:val="20"/>
          <w:color w:val="auto"/>
        </w:rPr>
      </w:pPr>
      <w:r>
        <w:rPr>
          <w:rFonts w:ascii="Arial" w:cs="Arial" w:eastAsia="Arial" w:hAnsi="Arial"/>
          <w:sz w:val="18"/>
          <w:szCs w:val="18"/>
          <w:b w:val="1"/>
          <w:bCs w:val="1"/>
          <w:color w:val="auto"/>
        </w:rPr>
        <w:t>American Financial Group, Inc.</w:t>
      </w:r>
    </w:p>
    <w:p>
      <w:pPr>
        <w:spacing w:after="0" w:line="9" w:lineRule="exact"/>
        <w:rPr>
          <w:sz w:val="20"/>
          <w:szCs w:val="20"/>
          <w:color w:val="auto"/>
        </w:rPr>
      </w:pPr>
    </w:p>
    <w:p>
      <w:pPr>
        <w:jc w:val="center"/>
        <w:ind w:left="1100"/>
        <w:spacing w:after="0"/>
        <w:rPr>
          <w:sz w:val="20"/>
          <w:szCs w:val="20"/>
          <w:color w:val="auto"/>
        </w:rPr>
      </w:pPr>
      <w:r>
        <w:rPr>
          <w:rFonts w:ascii="Arial" w:cs="Arial" w:eastAsia="Arial" w:hAnsi="Arial"/>
          <w:sz w:val="18"/>
          <w:szCs w:val="18"/>
          <w:b w:val="1"/>
          <w:bCs w:val="1"/>
          <w:color w:val="auto"/>
        </w:rPr>
        <w:t>Great American Insurance Group Tower</w:t>
      </w:r>
    </w:p>
    <w:p>
      <w:pPr>
        <w:spacing w:after="0" w:line="9" w:lineRule="exact"/>
        <w:rPr>
          <w:sz w:val="20"/>
          <w:szCs w:val="20"/>
          <w:color w:val="auto"/>
        </w:rPr>
      </w:pPr>
    </w:p>
    <w:p>
      <w:pPr>
        <w:jc w:val="center"/>
        <w:ind w:left="1100"/>
        <w:spacing w:after="0"/>
        <w:rPr>
          <w:sz w:val="20"/>
          <w:szCs w:val="20"/>
          <w:color w:val="auto"/>
        </w:rPr>
      </w:pPr>
      <w:r>
        <w:rPr>
          <w:rFonts w:ascii="Arial" w:cs="Arial" w:eastAsia="Arial" w:hAnsi="Arial"/>
          <w:sz w:val="18"/>
          <w:szCs w:val="18"/>
          <w:b w:val="1"/>
          <w:bCs w:val="1"/>
          <w:color w:val="auto"/>
        </w:rPr>
        <w:t>301 East Fourth Street</w:t>
      </w:r>
    </w:p>
    <w:p>
      <w:pPr>
        <w:spacing w:after="0" w:line="9" w:lineRule="exact"/>
        <w:rPr>
          <w:sz w:val="20"/>
          <w:szCs w:val="20"/>
          <w:color w:val="auto"/>
        </w:rPr>
      </w:pPr>
    </w:p>
    <w:p>
      <w:pPr>
        <w:jc w:val="center"/>
        <w:ind w:left="1100"/>
        <w:spacing w:after="0"/>
        <w:rPr>
          <w:sz w:val="20"/>
          <w:szCs w:val="20"/>
          <w:color w:val="auto"/>
        </w:rPr>
      </w:pPr>
      <w:r>
        <w:rPr>
          <w:rFonts w:ascii="Arial" w:cs="Arial" w:eastAsia="Arial" w:hAnsi="Arial"/>
          <w:sz w:val="18"/>
          <w:szCs w:val="18"/>
          <w:b w:val="1"/>
          <w:bCs w:val="1"/>
          <w:color w:val="auto"/>
        </w:rPr>
        <w:t>Cincinnati, Ohio 45202</w:t>
      </w:r>
    </w:p>
    <w:p>
      <w:pPr>
        <w:spacing w:after="0" w:line="323"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2020 Proxy Statement | Other Matters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360"/>
        <w:spacing w:after="0" w:line="267" w:lineRule="auto"/>
        <w:rPr>
          <w:sz w:val="20"/>
          <w:szCs w:val="20"/>
          <w:color w:val="auto"/>
        </w:rPr>
      </w:pPr>
      <w:r>
        <w:rPr>
          <w:rFonts w:ascii="Arial" w:cs="Arial" w:eastAsia="Arial" w:hAnsi="Arial"/>
          <w:sz w:val="20"/>
          <w:szCs w:val="20"/>
          <w:b w:val="1"/>
          <w:bCs w:val="1"/>
          <w:color w:val="3F3F3F"/>
        </w:rPr>
        <w:t>Submitting Shareholder Proposals for the 2021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-1466850</wp:posOffset>
            </wp:positionV>
            <wp:extent cx="7132320" cy="6515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651510"/>
                    </a:xfrm>
                    <a:prstGeom prst="rect">
                      <a:avLst/>
                    </a:prstGeom>
                    <a:noFill/>
                  </pic:spPr>
                </pic:pic>
              </a:graphicData>
            </a:graphic>
          </wp:anchor>
        </w:drawing>
      </w:r>
    </w:p>
    <w:p>
      <w:pPr>
        <w:spacing w:after="0" w:line="44" w:lineRule="exact"/>
        <w:rPr>
          <w:sz w:val="20"/>
          <w:szCs w:val="20"/>
          <w:color w:val="auto"/>
        </w:rPr>
      </w:pPr>
    </w:p>
    <w:p>
      <w:pPr>
        <w:ind w:right="160"/>
        <w:spacing w:after="0" w:line="287" w:lineRule="auto"/>
        <w:rPr>
          <w:sz w:val="20"/>
          <w:szCs w:val="20"/>
          <w:color w:val="auto"/>
        </w:rPr>
      </w:pPr>
      <w:r>
        <w:rPr>
          <w:rFonts w:ascii="Arial" w:cs="Arial" w:eastAsia="Arial" w:hAnsi="Arial"/>
          <w:sz w:val="16"/>
          <w:szCs w:val="16"/>
          <w:color w:val="auto"/>
        </w:rPr>
        <w:t>Under the rules and regulations of the SEC, any proposal which a shareholder of the Company intends to present at the annual meeting of shareholders to be held in 2021 and which such shareholder desires to have included in the Company’s proxy materials for such meeting must be received by the Secretary of the Company not less than 120 calendar days before the one-year anniversary date of this year’s proxy statement, or December 4, 2020. Our Regulations, as they may be amended from time to time, may contain additional requirements for matters to be properly presented at annual meetings of shareholders.</w:t>
      </w:r>
    </w:p>
    <w:p>
      <w:pPr>
        <w:spacing w:after="0" w:line="64"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proxy card used by AFG for the annual meeting typically grants authority to management to vote in its discretion on any matters that come before the meeting for which adequate notice has not been received. In order for a notice to be deemed adequate for the 2021 annual meeting, it must be received by February 17, 2021.</w:t>
      </w:r>
    </w:p>
    <w:p>
      <w:pPr>
        <w:spacing w:after="0" w:line="5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Shareholders wishing to nominate a director candidate must provide at least 90 and not more than 120 days prior written notice to the Secretary of the Company setting forth or accompanied by: (1) certain biographical, stock ownership and investment intent disclosures about the proposed nominee as set forth in the Regulations; (2) certain biographical, stock ownership and hedging or similar activity disclosures about the shareholder giving the notice and specified persons associated with such shareholder as set forth in the Regulations; (3) verification of the accuracy or completeness of any nomination information at the Company’s request; (4) a statement that a nomination that is inaccurate or incomplete in any manner shall be disregarded; (5) a representation that the shareholder was a record holder of the Company’s voting stock and intended to appear, in person or by proxy, at the meeting to make the nomination; and (6) the consent of each such nominee to serve as director if elected.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140"/>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-3634105</wp:posOffset>
            </wp:positionH>
            <wp:positionV relativeFrom="paragraph">
              <wp:posOffset>129540</wp:posOffset>
            </wp:positionV>
            <wp:extent cx="699516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5400" w:space="440"/>
            <w:col w:w="4320"/>
          </w:cols>
          <w:pgMar w:left="320" w:top="265" w:right="1419" w:bottom="1440" w:gutter="0" w:footer="0" w:header="0"/>
        </w:sectPr>
      </w:pPr>
    </w:p>
    <w:bookmarkStart w:id="53" w:name="page54"/>
    <w:bookmarkEnd w:id="53"/>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5021580</wp:posOffset>
            </wp:positionV>
            <wp:extent cx="699516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6515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651510"/>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3941445</wp:posOffset>
            </wp:positionV>
            <wp:extent cx="1543050" cy="8229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543050" cy="822960"/>
                    </a:xfrm>
                    <a:prstGeom prst="rect">
                      <a:avLst/>
                    </a:prstGeom>
                    <a:noFill/>
                  </pic:spPr>
                </pic:pic>
              </a:graphicData>
            </a:graphic>
          </wp:anchor>
        </w:drawing>
      </w:r>
    </w:p>
    <w:p>
      <w:pPr>
        <w:sectPr>
          <w:pgSz w:w="11900" w:h="16838" w:orient="portrait"/>
          <w:cols w:equalWidth="0" w:num="1">
            <w:col w:w="10139"/>
          </w:cols>
          <w:pgMar w:left="320" w:top="265" w:right="1440" w:bottom="1440" w:gutter="0" w:footer="0" w:header="0"/>
        </w:sectPr>
      </w:pPr>
    </w:p>
    <w:bookmarkStart w:id="54" w:name="page55"/>
    <w:bookmarkEnd w:id="54"/>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92075</wp:posOffset>
            </wp:positionV>
            <wp:extent cx="6995160" cy="84270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95160" cy="8427085"/>
                    </a:xfrm>
                    <a:prstGeom prst="rect">
                      <a:avLst/>
                    </a:prstGeom>
                    <a:noFill/>
                  </pic:spPr>
                </pic:pic>
              </a:graphicData>
            </a:graphic>
          </wp:anchor>
        </w:drawing>
      </w:r>
    </w:p>
    <w:p>
      <w:pPr>
        <w:sectPr>
          <w:pgSz w:w="11900" w:h="16838" w:orient="portrait"/>
          <w:cols w:equalWidth="0" w:num="1">
            <w:col w:w="10039"/>
          </w:cols>
          <w:pgMar w:left="420" w:top="265" w:right="1440" w:bottom="1440" w:gutter="0" w:footer="0" w:header="0"/>
        </w:sectPr>
      </w:pPr>
    </w:p>
    <w:bookmarkStart w:id="55" w:name="page56"/>
    <w:bookmarkEnd w:id="55"/>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92075</wp:posOffset>
            </wp:positionV>
            <wp:extent cx="6300470" cy="815213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300470" cy="8152130"/>
                    </a:xfrm>
                    <a:prstGeom prst="rect">
                      <a:avLst/>
                    </a:prstGeom>
                    <a:noFill/>
                  </pic:spPr>
                </pic:pic>
              </a:graphicData>
            </a:graphic>
          </wp:anchor>
        </w:drawing>
      </w:r>
    </w:p>
    <w:sectPr>
      <w:pgSz w:w="11900" w:h="16838" w:orient="portrait"/>
      <w:cols w:equalWidth="0" w:num="1">
        <w:col w:w="10039"/>
      </w:cols>
      <w:pgMar w:left="420" w:top="26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lvl w:ilvl="1">
      <w:lvlJc w:val="left"/>
      <w:lvlText w:val="☐"/>
      <w:numFmt w:val="bullet"/>
      <w:start w:val="1"/>
    </w:lvl>
  </w:abstractNum>
  <w:abstractNum w:abstractNumId="1">
    <w:nsid w:val="25E45D32"/>
    <w:multiLevelType w:val="hybridMultilevel"/>
    <w:lvl w:ilvl="0">
      <w:lvlJc w:val="left"/>
      <w:lvlText w:val="☒"/>
      <w:numFmt w:val="bullet"/>
      <w:start w:val="1"/>
    </w:lvl>
    <w:lvl w:ilvl="1">
      <w:lvlJc w:val="left"/>
      <w:lvlText w:val="☐"/>
      <w:numFmt w:val="bullet"/>
      <w:start w:val="1"/>
    </w:lvl>
    <w:lvl w:ilvl="2">
      <w:lvlJc w:val="left"/>
      <w:lvlText w:val="(%3)"/>
      <w:numFmt w:val="decimal"/>
      <w:start w:val="1"/>
    </w:lvl>
  </w:abstractNum>
  <w:abstractNum w:abstractNumId="2">
    <w:nsid w:val="519B500D"/>
    <w:multiLevelType w:val="hybridMultilevel"/>
    <w:lvl w:ilvl="0">
      <w:lvlJc w:val="left"/>
      <w:lvlText w:val="%1."/>
      <w:numFmt w:val="decimal"/>
      <w:start w:val="1"/>
    </w:lvl>
  </w:abstractNum>
  <w:abstractNum w:abstractNumId="3">
    <w:nsid w:val="431BD7B7"/>
    <w:multiLevelType w:val="hybridMultilevel"/>
    <w:lvl w:ilvl="0">
      <w:lvlJc w:val="left"/>
      <w:lvlText w:val="(%1)"/>
      <w:numFmt w:val="decimal"/>
      <w:start w:val="1"/>
    </w:lvl>
  </w:abstractNum>
  <w:abstractNum w:abstractNumId="4">
    <w:nsid w:val="3F2DBA31"/>
    <w:multiLevelType w:val="hybridMultilevel"/>
    <w:lvl w:ilvl="0">
      <w:lvlJc w:val="left"/>
      <w:lvlText w:val="(%1)"/>
      <w:numFmt w:val="decimal"/>
      <w:start w:val="2"/>
    </w:lvl>
  </w:abstractNum>
  <w:abstractNum w:abstractNumId="5">
    <w:nsid w:val="7C83E458"/>
    <w:multiLevelType w:val="hybridMultilevel"/>
    <w:lvl w:ilvl="0">
      <w:lvlJc w:val="left"/>
      <w:lvlText w:val="•"/>
      <w:numFmt w:val="bullet"/>
      <w:start w:val="1"/>
    </w:lvl>
  </w:abstractNum>
  <w:abstractNum w:abstractNumId="6">
    <w:nsid w:val="257130A3"/>
    <w:multiLevelType w:val="hybridMultilevel"/>
    <w:lvl w:ilvl="0">
      <w:lvlJc w:val="left"/>
      <w:lvlText w:val="&amp;"/>
      <w:numFmt w:val="bullet"/>
      <w:start w:val="1"/>
    </w:lvl>
  </w:abstractNum>
  <w:abstractNum w:abstractNumId="7">
    <w:nsid w:val="62BBD95A"/>
    <w:multiLevelType w:val="hybridMultilevel"/>
    <w:lvl w:ilvl="0">
      <w:lvlJc w:val="left"/>
      <w:lvlText w:val="(%1)"/>
      <w:numFmt w:val="decimal"/>
      <w:start w:val="1"/>
    </w:lvl>
  </w:abstractNum>
  <w:abstractNum w:abstractNumId="8">
    <w:nsid w:val="436C6125"/>
    <w:multiLevelType w:val="hybridMultilevel"/>
    <w:lvl w:ilvl="0">
      <w:lvlJc w:val="left"/>
      <w:lvlText w:val="(%1)"/>
      <w:numFmt w:val="decimal"/>
      <w:start w:val="1"/>
    </w:lvl>
  </w:abstractNum>
  <w:abstractNum w:abstractNumId="9">
    <w:nsid w:val="628C895D"/>
    <w:multiLevelType w:val="hybridMultilevel"/>
    <w:lvl w:ilvl="0">
      <w:lvlJc w:val="left"/>
      <w:lvlText w:val="(%1)"/>
      <w:numFmt w:val="decimal"/>
      <w:start w:val="7"/>
    </w:lvl>
  </w:abstractNum>
  <w:abstractNum w:abstractNumId="10">
    <w:nsid w:val="333AB105"/>
    <w:multiLevelType w:val="hybridMultilevel"/>
    <w:lvl w:ilvl="0">
      <w:lvlJc w:val="left"/>
      <w:lvlText w:val="•"/>
      <w:numFmt w:val="bullet"/>
      <w:start w:val="1"/>
    </w:lvl>
  </w:abstractNum>
  <w:abstractNum w:abstractNumId="11">
    <w:nsid w:val="721DA317"/>
    <w:multiLevelType w:val="hybridMultilevel"/>
    <w:lvl w:ilvl="0">
      <w:lvlJc w:val="left"/>
      <w:lvlText w:val="•"/>
      <w:numFmt w:val="bullet"/>
      <w:start w:val="1"/>
    </w:lvl>
  </w:abstractNum>
  <w:abstractNum w:abstractNumId="12">
    <w:nsid w:val="2443A858"/>
    <w:multiLevelType w:val="hybridMultilevel"/>
    <w:lvl w:ilvl="0">
      <w:lvlJc w:val="left"/>
      <w:lvlText w:val="•"/>
      <w:numFmt w:val="bullet"/>
      <w:start w:val="1"/>
    </w:lvl>
  </w:abstractNum>
  <w:abstractNum w:abstractNumId="13">
    <w:nsid w:val="2D1D5AE9"/>
    <w:multiLevelType w:val="hybridMultilevel"/>
    <w:lvl w:ilvl="0">
      <w:lvlJc w:val="left"/>
      <w:lvlText w:val="•"/>
      <w:numFmt w:val="bullet"/>
      <w:start w:val="1"/>
    </w:lvl>
  </w:abstractNum>
  <w:abstractNum w:abstractNumId="14">
    <w:nsid w:val="6763845E"/>
    <w:multiLevelType w:val="hybridMultilevel"/>
    <w:lvl w:ilvl="0">
      <w:lvlJc w:val="left"/>
      <w:lvlText w:val="%1."/>
      <w:numFmt w:val="decimal"/>
      <w:start w:val="1"/>
    </w:lvl>
  </w:abstractNum>
  <w:abstractNum w:abstractNumId="15">
    <w:nsid w:val="75A2A8D4"/>
    <w:multiLevelType w:val="hybridMultilevel"/>
    <w:lvl w:ilvl="0">
      <w:lvlJc w:val="left"/>
      <w:lvlText w:val="•"/>
      <w:numFmt w:val="bullet"/>
      <w:start w:val="1"/>
    </w:lvl>
  </w:abstractNum>
  <w:abstractNum w:abstractNumId="16">
    <w:nsid w:val="8EDBDAB"/>
    <w:multiLevelType w:val="hybridMultilevel"/>
    <w:lvl w:ilvl="0">
      <w:lvlJc w:val="left"/>
      <w:lvlText w:val="(%1)"/>
      <w:numFmt w:val="decimal"/>
      <w:start w:val="1"/>
    </w:lvl>
  </w:abstractNum>
  <w:abstractNum w:abstractNumId="17">
    <w:nsid w:val="79838CB2"/>
    <w:multiLevelType w:val="hybridMultilevel"/>
    <w:lvl w:ilvl="0">
      <w:lvlJc w:val="left"/>
      <w:lvlText w:val="(%1)"/>
      <w:numFmt w:val="decimal"/>
      <w:start w:val="1"/>
    </w:lvl>
  </w:abstractNum>
  <w:abstractNum w:abstractNumId="18">
    <w:nsid w:val="4353D0CD"/>
    <w:multiLevelType w:val="hybridMultilevel"/>
    <w:lvl w:ilvl="0">
      <w:lvlJc w:val="left"/>
      <w:lvlText w:val="(%1)"/>
      <w:numFmt w:val="decimal"/>
      <w:start w:val="4"/>
    </w:lvl>
  </w:abstractNum>
  <w:abstractNum w:abstractNumId="19">
    <w:nsid w:val="B03E0C6"/>
    <w:multiLevelType w:val="hybridMultilevel"/>
    <w:lvl w:ilvl="0">
      <w:lvlJc w:val="left"/>
      <w:lvlText w:val="%1."/>
      <w:numFmt w:val="decimal"/>
      <w:start w:val="1"/>
    </w:lvl>
  </w:abstractNum>
  <w:abstractNum w:abstractNumId="20">
    <w:nsid w:val="189A769B"/>
    <w:multiLevelType w:val="hybridMultilevel"/>
    <w:lvl w:ilvl="0">
      <w:lvlJc w:val="left"/>
      <w:lvlText w:val="%1."/>
      <w:numFmt w:val="decimal"/>
      <w:start w:val="4"/>
    </w:lvl>
  </w:abstractNum>
  <w:abstractNum w:abstractNumId="21">
    <w:nsid w:val="54E49EB4"/>
    <w:multiLevelType w:val="hybridMultilevel"/>
    <w:lvl w:ilvl="0">
      <w:lvlJc w:val="left"/>
      <w:lvlText w:val="(%1)"/>
      <w:numFmt w:val="decimal"/>
      <w:start w:val="1"/>
    </w:lvl>
  </w:abstractNum>
  <w:abstractNum w:abstractNumId="22">
    <w:nsid w:val="71F32454"/>
    <w:multiLevelType w:val="hybridMultilevel"/>
    <w:lvl w:ilvl="0">
      <w:lvlJc w:val="left"/>
      <w:lvlText w:val="(%1)"/>
      <w:numFmt w:val="decimal"/>
      <w:start w:val="1"/>
    </w:lvl>
  </w:abstractNum>
  <w:abstractNum w:abstractNumId="23">
    <w:nsid w:val="2CA88611"/>
    <w:multiLevelType w:val="hybridMultilevel"/>
    <w:lvl w:ilvl="0">
      <w:lvlJc w:val="left"/>
      <w:lvlText w:val="(%1)"/>
      <w:numFmt w:val="decimal"/>
      <w:start w:val="1"/>
    </w:lvl>
  </w:abstractNum>
  <w:abstractNum w:abstractNumId="24">
    <w:nsid w:val="836C40E"/>
    <w:multiLevelType w:val="hybridMultilevel"/>
    <w:lvl w:ilvl="0">
      <w:lvlJc w:val="left"/>
      <w:lvlText w:val="(%1)"/>
      <w:numFmt w:val="decimal"/>
      <w:start w:val="1"/>
    </w:lvl>
  </w:abstractNum>
  <w:abstractNum w:abstractNumId="25">
    <w:nsid w:val="2901D82"/>
    <w:multiLevelType w:val="hybridMultilevel"/>
    <w:lvl w:ilvl="0">
      <w:lvlJc w:val="left"/>
      <w:lvlText w:val="(%1)"/>
      <w:numFmt w:val="decimal"/>
      <w:start w:val="2"/>
    </w:lvl>
  </w:abstractNum>
  <w:abstractNum w:abstractNumId="26">
    <w:nsid w:val="3A95F874"/>
    <w:multiLevelType w:val="hybridMultilevel"/>
    <w:lvl w:ilvl="0">
      <w:lvlJc w:val="left"/>
      <w:lvlText w:val="(%1)"/>
      <w:numFmt w:val="decimal"/>
      <w:start w:val="1"/>
    </w:lvl>
  </w:abstractNum>
  <w:abstractNum w:abstractNumId="27">
    <w:nsid w:val="8138641"/>
    <w:multiLevelType w:val="hybridMultilevel"/>
    <w:lvl w:ilvl="0">
      <w:lvlJc w:val="left"/>
      <w:lvlText w:val="(%1)"/>
      <w:numFmt w:val="decimal"/>
      <w:start w:val="1"/>
    </w:lvl>
  </w:abstractNum>
  <w:abstractNum w:abstractNumId="28">
    <w:nsid w:val="1E7FF521"/>
    <w:multiLevelType w:val="hybridMultilevel"/>
    <w:lvl w:ilvl="0">
      <w:lvlJc w:val="left"/>
      <w:lvlText w:val="(%1)"/>
      <w:numFmt w:val="decimal"/>
      <w:start w:val="1"/>
    </w:lvl>
  </w:abstractNum>
  <w:abstractNum w:abstractNumId="29">
    <w:nsid w:val="7C3DBD3D"/>
    <w:multiLevelType w:val="hybridMultilevel"/>
    <w:lvl w:ilvl="0">
      <w:lvlJc w:val="left"/>
      <w:lvlText w:val="(%1)"/>
      <w:numFmt w:val="decimal"/>
      <w:start w:val="1"/>
    </w:lvl>
  </w:abstractNum>
  <w:abstractNum w:abstractNumId="30">
    <w:nsid w:val="737B8DDC"/>
    <w:multiLevelType w:val="hybridMultilevel"/>
    <w:lvl w:ilvl="0">
      <w:lvlJc w:val="left"/>
      <w:lvlText w:val="•"/>
      <w:numFmt w:val="bullet"/>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2020-04-03T06:55:41Z</dcterms:created>
  <dcterms:modified xsi:type="dcterms:W3CDTF">2020-04-03T06:55:41Z</dcterms:modified>
</cp:coreProperties>
</file>