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5</w:t>
      </w:r>
    </w:p>
    <w:p>
      <w:pPr>
        <w:spacing w:after="0" w:line="52"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5</w:t>
      </w:r>
    </w:p>
    <w:p>
      <w:pPr>
        <w:spacing w:after="0" w:line="165" w:lineRule="exact"/>
        <w:rPr>
          <w:sz w:val="24"/>
          <w:szCs w:val="24"/>
          <w:color w:val="auto"/>
        </w:rPr>
      </w:pPr>
    </w:p>
    <w:p>
      <w:pPr>
        <w:ind w:left="3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76835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107950</wp:posOffset>
            </wp:positionV>
            <wp:extent cx="127000" cy="12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6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4 Transactions Reported.</w:t>
      </w:r>
    </w:p>
    <w:p>
      <w:pPr>
        <w:spacing w:after="0" w:line="156"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-411480</wp:posOffset>
            </wp:positionV>
            <wp:extent cx="127000" cy="12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2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4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restart"/>
          </w:tcPr>
          <w:p>
            <w:pPr>
              <w:jc w:val="center"/>
              <w:ind w:right="43"/>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5312410</wp:posOffset>
            </wp:positionH>
            <wp:positionV relativeFrom="paragraph">
              <wp:posOffset>-648335</wp:posOffset>
            </wp:positionV>
            <wp:extent cx="59055" cy="661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-648335</wp:posOffset>
            </wp:positionV>
            <wp:extent cx="59055" cy="661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spacing w:after="0" w:line="74"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9"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766445</wp:posOffset>
            </wp:positionV>
            <wp:extent cx="6988810" cy="5283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8810" cy="5283835"/>
                    </a:xfrm>
                    <a:prstGeom prst="rect">
                      <a:avLst/>
                    </a:prstGeom>
                    <a:noFill/>
                  </pic:spPr>
                </pic:pic>
              </a:graphicData>
            </a:graphic>
          </wp:anchor>
        </w:drawing>
      </w:r>
    </w:p>
    <w:p>
      <w:pPr>
        <w:spacing w:after="0" w:line="1278" w:lineRule="exact"/>
        <w:rPr>
          <w:sz w:val="24"/>
          <w:szCs w:val="24"/>
          <w:color w:val="auto"/>
        </w:rPr>
      </w:pPr>
    </w:p>
    <w:p>
      <w:pPr>
        <w:sectPr>
          <w:pgSz w:w="11900" w:h="16838" w:orient="portrait"/>
          <w:cols w:equalWidth="0" w:num="2">
            <w:col w:w="2340" w:space="14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Hertzman Brian S.</w:t>
        </w:r>
      </w:hyperlink>
    </w:p>
    <w:p>
      <w:pPr>
        <w:spacing w:after="0" w:line="31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0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301 EAST FOURTH STREET</w:t>
            </w:r>
          </w:p>
        </w:tc>
        <w:tc>
          <w:tcPr>
            <w:tcW w:w="132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CINCINNATI</w:t>
            </w:r>
          </w:p>
        </w:tc>
        <w:tc>
          <w:tcPr>
            <w:tcW w:w="11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45202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10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760" w:type="dxa"/>
            <w:vAlign w:val="bottom"/>
            <w:gridSpan w:val="2"/>
          </w:tcPr>
          <w:p>
            <w:pPr>
              <w:spacing w:after="0" w:line="214"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 xml:space="preserve">AMERICAN FINANCIAL GROUP INC </w:t>
              </w:r>
            </w:hyperlink>
            <w:r>
              <w:rPr>
                <w:rFonts w:ascii="Times New Roman" w:cs="Times New Roman" w:eastAsia="Times New Roman" w:hAnsi="Times New Roman"/>
                <w:sz w:val="21"/>
                <w:szCs w:val="21"/>
                <w:color w:val="000000"/>
              </w:rPr>
              <w:t>[</w:t>
            </w:r>
          </w:p>
        </w:tc>
        <w:tc>
          <w:tcPr>
            <w:tcW w:w="208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5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AFG </w:t>
            </w:r>
            <w:r>
              <w:rPr>
                <w:rFonts w:ascii="Times New Roman" w:cs="Times New Roman" w:eastAsia="Times New Roman" w:hAnsi="Times New Roman"/>
                <w:sz w:val="21"/>
                <w:szCs w:val="21"/>
                <w:color w:val="000000"/>
              </w:rPr>
              <w:t>]</w:t>
            </w:r>
          </w:p>
        </w:tc>
        <w:tc>
          <w:tcPr>
            <w:tcW w:w="200" w:type="dxa"/>
            <w:vAlign w:val="bottom"/>
            <w:vMerge w:val="restart"/>
          </w:tcPr>
          <w:p>
            <w:pPr>
              <w:spacing w:after="0"/>
              <w:rPr>
                <w:sz w:val="12"/>
                <w:szCs w:val="12"/>
                <w:color w:val="auto"/>
              </w:rPr>
            </w:pPr>
          </w:p>
        </w:tc>
        <w:tc>
          <w:tcPr>
            <w:tcW w:w="2080" w:type="dxa"/>
            <w:vAlign w:val="bottom"/>
          </w:tcPr>
          <w:p>
            <w:pPr>
              <w:ind w:left="600"/>
              <w:spacing w:after="0" w:line="148" w:lineRule="exact"/>
              <w:rPr>
                <w:sz w:val="20"/>
                <w:szCs w:val="20"/>
                <w:color w:val="auto"/>
              </w:rPr>
            </w:pPr>
            <w:r>
              <w:rPr>
                <w:rFonts w:ascii="Arial" w:cs="Arial" w:eastAsia="Arial" w:hAnsi="Arial"/>
                <w:sz w:val="13"/>
                <w:szCs w:val="13"/>
                <w:color w:val="auto"/>
              </w:rPr>
              <w:t>Director</w:t>
            </w:r>
          </w:p>
        </w:tc>
        <w:tc>
          <w:tcPr>
            <w:tcW w:w="1220" w:type="dxa"/>
            <w:vAlign w:val="bottom"/>
          </w:tcPr>
          <w:p>
            <w:pPr>
              <w:ind w:left="8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20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080" w:type="dxa"/>
            <w:vAlign w:val="bottom"/>
            <w:vMerge w:val="restart"/>
          </w:tcPr>
          <w:p>
            <w:pPr>
              <w:ind w:left="1280"/>
              <w:spacing w:after="0"/>
              <w:rPr>
                <w:sz w:val="20"/>
                <w:szCs w:val="20"/>
                <w:color w:val="auto"/>
              </w:rPr>
            </w:pPr>
            <w:r>
              <w:rPr>
                <w:rFonts w:ascii="Times New Roman" w:cs="Times New Roman" w:eastAsia="Times New Roman" w:hAnsi="Times New Roman"/>
                <w:sz w:val="17"/>
                <w:szCs w:val="17"/>
                <w:color w:val="0000FF"/>
              </w:rPr>
              <w:t>SVP, CFO</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12/31/2025</w:t>
            </w:r>
          </w:p>
        </w:tc>
        <w:tc>
          <w:tcPr>
            <w:tcW w:w="2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2"/>
                <w:szCs w:val="12"/>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8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(D) (Instr. 3, 4 and 5)</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5"/>
                <w:szCs w:val="5"/>
                <w:color w:val="auto"/>
              </w:rPr>
            </w:pPr>
          </w:p>
        </w:tc>
        <w:tc>
          <w:tcPr>
            <w:tcW w:w="82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5"/>
                <w:szCs w:val="5"/>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11,300</w:t>
            </w:r>
          </w:p>
        </w:tc>
        <w:tc>
          <w:tcPr>
            <w:tcW w:w="26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1,853.8053</w:t>
            </w:r>
            <w:r>
              <w:rPr>
                <w:rFonts w:ascii="Times New Roman" w:cs="Times New Roman" w:eastAsia="Times New Roman" w:hAnsi="Times New Roman"/>
                <w:sz w:val="22"/>
                <w:szCs w:val="22"/>
                <w:color w:val="008000"/>
                <w:w w:val="98"/>
                <w:vertAlign w:val="superscript"/>
              </w:rPr>
              <w:t>(1)</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ESPP</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71.709</w:t>
            </w:r>
            <w:r>
              <w:rPr>
                <w:rFonts w:ascii="Times New Roman" w:cs="Times New Roman" w:eastAsia="Times New Roman" w:hAnsi="Times New Roman"/>
                <w:sz w:val="22"/>
                <w:szCs w:val="22"/>
                <w:color w:val="008000"/>
                <w:w w:val="93"/>
                <w:vertAlign w:val="superscript"/>
              </w:rPr>
              <w:t>(2)</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DRIP</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3,955.7345</w:t>
            </w:r>
            <w:r>
              <w:rPr>
                <w:rFonts w:ascii="Times New Roman" w:cs="Times New Roman" w:eastAsia="Times New Roman" w:hAnsi="Times New Roman"/>
                <w:sz w:val="22"/>
                <w:szCs w:val="22"/>
                <w:color w:val="008000"/>
                <w:w w:val="98"/>
                <w:vertAlign w:val="superscript"/>
              </w:rPr>
              <w:t>(3)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RASP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2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Transaction</w:t>
            </w:r>
          </w:p>
        </w:tc>
        <w:tc>
          <w:tcPr>
            <w:tcW w:w="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spacing w:after="0"/>
              <w:rPr>
                <w:sz w:val="11"/>
                <w:szCs w:val="11"/>
                <w:color w:val="auto"/>
              </w:rPr>
            </w:pPr>
          </w:p>
        </w:tc>
        <w:tc>
          <w:tcPr>
            <w:tcW w:w="8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 in the Issuer's Employee Stock Purchase Plan (the "ESPP"). All ESPP information reporting herein is based on a plan statement dated as of 12/31/2025.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in the Company's Dividend Reinvestment Plan based on plan statement dated as of 12/31/2025.</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6"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amounts held by the Reporting Person in the Issuer's retirement plan based on a statement dated 12/31/2025. Each share is the economic equivalent of one share of common stock. Upon termination of employment or earlier, if so elected, the Reporting Person's account balances may be distributed, at the option of the Issuer, either in cash or in shares of the Issuer's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Brian S. Hertzman By: Joseph </w:t>
      </w:r>
      <w:r>
        <w:rPr>
          <w:rFonts w:ascii="Times New Roman" w:cs="Times New Roman" w:eastAsia="Times New Roman" w:hAnsi="Times New Roman"/>
          <w:sz w:val="33"/>
          <w:szCs w:val="33"/>
          <w:color w:val="0000FF"/>
          <w:vertAlign w:val="subscript"/>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-27940</wp:posOffset>
            </wp:positionV>
            <wp:extent cx="133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 Alter,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-16510</wp:posOffset>
            </wp:positionV>
            <wp:extent cx="1266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661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-84455</wp:posOffset>
            </wp:positionV>
            <wp:extent cx="502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5" Type="http://schemas.openxmlformats.org/officeDocument/2006/relationships/hyperlink" Target="http://www.sec.gov/cgi-bin/browse-edgar?action=getcompany&amp;CIK=0001816887" TargetMode="External"/><Relationship Id="rId16" Type="http://schemas.openxmlformats.org/officeDocument/2006/relationships/hyperlink" Target="http://www.sec.gov/cgi-bin/browse-edgar?action=getcompany&amp;CIK=0001042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2026-02-05T17:05:18Z</dcterms:created>
  <dcterms:modified xsi:type="dcterms:W3CDTF">2026-02-05T17:05:18Z</dcterms:modified>
</cp:coreProperties>
</file>