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 the Quarterly Period Ended September 30, 2022</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jc w:val="center"/>
        <w:ind w:left="3920" w:right="1680" w:hanging="2181"/>
        <w:spacing w:after="0" w:line="271"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172720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003366"/>
        </w:rPr>
        <w:t>AMERICAN FINANCIAL GROUP, INC.</w:t>
      </w:r>
    </w:p>
    <w:p>
      <w:pPr>
        <w:spacing w:after="0" w:line="137"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2"/>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1"/>
                <w:szCs w:val="21"/>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97" w:lineRule="exact"/>
        <w:rPr>
          <w:sz w:val="24"/>
          <w:szCs w:val="24"/>
          <w:color w:val="auto"/>
        </w:rPr>
      </w:pPr>
    </w:p>
    <w:p>
      <w:pPr>
        <w:ind w:right="100"/>
        <w:spacing w:after="0" w:line="23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4" w:lineRule="exact"/>
        <w:rPr>
          <w:sz w:val="24"/>
          <w:szCs w:val="24"/>
          <w:color w:val="auto"/>
        </w:rPr>
      </w:pPr>
    </w:p>
    <w:p>
      <w:pPr>
        <w:ind w:right="100"/>
        <w:spacing w:after="0" w:line="23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182" w:right="399" w:bottom="1440" w:gutter="0" w:footer="0" w:header="0"/>
        </w:sectPr>
      </w:pPr>
    </w:p>
    <w:p>
      <w:pPr>
        <w:spacing w:after="0" w:line="63"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6">
            <w:col w:w="3420" w:space="100"/>
            <w:col w:w="640" w:space="720"/>
            <w:col w:w="1280" w:space="100"/>
            <w:col w:w="700" w:space="720"/>
            <w:col w:w="1660" w:space="100"/>
            <w:col w:w="1740"/>
          </w:cols>
          <w:pgMar w:left="320" w:top="1182" w:right="399" w:bottom="1440" w:gutter="0" w:footer="0" w:header="0"/>
          <w:type w:val="continuous"/>
        </w:sectPr>
      </w:pPr>
    </w:p>
    <w:p>
      <w:pPr>
        <w:spacing w:after="0" w:line="28"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5" w:lineRule="exact"/>
        <w:rPr>
          <w:sz w:val="24"/>
          <w:szCs w:val="24"/>
          <w:color w:val="auto"/>
        </w:rPr>
      </w:pPr>
    </w:p>
    <w:p>
      <w:pPr>
        <w:sectPr>
          <w:pgSz w:w="11900" w:h="16838" w:orient="portrait"/>
          <w:cols w:equalWidth="0" w:num="4">
            <w:col w:w="4940" w:space="100"/>
            <w:col w:w="300" w:space="720"/>
            <w:col w:w="2140" w:space="80"/>
            <w:col w:w="2900"/>
          </w:cols>
          <w:pgMar w:left="320" w:top="1182" w:right="399" w:bottom="1440" w:gutter="0" w:footer="0" w:header="0"/>
          <w:type w:val="continuous"/>
        </w:sectPr>
      </w:pPr>
    </w:p>
    <w:p>
      <w:pPr>
        <w:ind w:right="14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5"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As of November 1, 2022, there were 85,143,503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182"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7"/>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3</w:t>
            </w:r>
          </w:p>
        </w:tc>
        <w:tc>
          <w:tcPr>
            <w:tcW w:w="9980" w:type="dxa"/>
            <w:vAlign w:val="bottom"/>
          </w:tcPr>
          <w:p>
            <w:pPr>
              <w:ind w:left="20"/>
              <w:spacing w:after="0"/>
              <w:rPr>
                <w:sz w:val="20"/>
                <w:szCs w:val="20"/>
                <w:color w:val="auto"/>
              </w:rPr>
            </w:pPr>
            <w:r>
              <w:rPr>
                <w:rFonts w:ascii="Arial" w:cs="Arial" w:eastAsia="Arial" w:hAnsi="Arial"/>
                <w:sz w:val="16"/>
                <w:szCs w:val="16"/>
                <w:color w:val="0000FF"/>
              </w:rPr>
              <w:t>—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1"/>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color w:val="auto"/>
              </w:rPr>
              <w:t>September 30,</w:t>
            </w:r>
          </w:p>
        </w:tc>
        <w:tc>
          <w:tcPr>
            <w:tcW w:w="140" w:type="dxa"/>
            <w:vAlign w:val="bottom"/>
          </w:tcPr>
          <w:p>
            <w:pPr>
              <w:spacing w:after="0"/>
              <w:rPr>
                <w:sz w:val="14"/>
                <w:szCs w:val="14"/>
                <w:color w:val="auto"/>
              </w:rPr>
            </w:pP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December 31,</w:t>
            </w:r>
          </w:p>
        </w:tc>
      </w:tr>
      <w:tr>
        <w:trPr>
          <w:trHeight w:val="210"/>
        </w:trPr>
        <w:tc>
          <w:tcPr>
            <w:tcW w:w="8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2021</w:t>
            </w: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1"/>
        </w:trPr>
        <w:tc>
          <w:tcPr>
            <w:tcW w:w="8420" w:type="dxa"/>
            <w:vAlign w:val="bottom"/>
          </w:tcPr>
          <w:p>
            <w:pPr>
              <w:ind w:left="360"/>
              <w:spacing w:after="0"/>
              <w:rPr>
                <w:sz w:val="20"/>
                <w:szCs w:val="20"/>
                <w:color w:val="auto"/>
              </w:rPr>
            </w:pPr>
            <w:r>
              <w:rPr>
                <w:rFonts w:ascii="Arial" w:cs="Arial" w:eastAsia="Arial" w:hAnsi="Arial"/>
                <w:sz w:val="15"/>
                <w:szCs w:val="15"/>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2,131</w:t>
            </w:r>
          </w:p>
        </w:tc>
      </w:tr>
      <w:tr>
        <w:trPr>
          <w:trHeight w:val="20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Investments: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49"/>
        </w:trPr>
        <w:tc>
          <w:tcPr>
            <w:tcW w:w="8420" w:type="dxa"/>
            <w:vAlign w:val="bottom"/>
          </w:tcPr>
          <w:p>
            <w:pPr>
              <w:ind w:left="680"/>
              <w:spacing w:after="0" w:line="149" w:lineRule="exact"/>
              <w:rPr>
                <w:sz w:val="20"/>
                <w:szCs w:val="20"/>
                <w:color w:val="auto"/>
              </w:rPr>
            </w:pPr>
            <w:r>
              <w:rPr>
                <w:rFonts w:ascii="Arial" w:cs="Arial" w:eastAsia="Arial" w:hAnsi="Arial"/>
                <w:sz w:val="15"/>
                <w:szCs w:val="15"/>
                <w:color w:val="auto"/>
              </w:rPr>
              <w:t>Fixed maturities, available for sale at fair value (amortized cost — $10,744 and $10,193; allowance for expected</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3"/>
        </w:trPr>
        <w:tc>
          <w:tcPr>
            <w:tcW w:w="8420" w:type="dxa"/>
            <w:vAlign w:val="bottom"/>
          </w:tcPr>
          <w:p>
            <w:pPr>
              <w:ind w:left="1000"/>
              <w:spacing w:after="0"/>
              <w:rPr>
                <w:sz w:val="20"/>
                <w:szCs w:val="20"/>
                <w:color w:val="auto"/>
              </w:rPr>
            </w:pPr>
            <w:r>
              <w:rPr>
                <w:rFonts w:ascii="Arial" w:cs="Arial" w:eastAsia="Arial" w:hAnsi="Arial"/>
                <w:sz w:val="15"/>
                <w:szCs w:val="15"/>
                <w:color w:val="auto"/>
              </w:rPr>
              <w:t>credit losses of $9 and $9)</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10,357</w:t>
            </w:r>
          </w:p>
        </w:tc>
      </w:tr>
      <w:tr>
        <w:trPr>
          <w:trHeight w:val="206"/>
        </w:trPr>
        <w:tc>
          <w:tcPr>
            <w:tcW w:w="84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Fixed maturities, trading at fair value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01"/>
        </w:trPr>
        <w:tc>
          <w:tcPr>
            <w:tcW w:w="8420" w:type="dxa"/>
            <w:vAlign w:val="bottom"/>
          </w:tcPr>
          <w:p>
            <w:pPr>
              <w:ind w:left="680"/>
              <w:spacing w:after="0"/>
              <w:rPr>
                <w:sz w:val="20"/>
                <w:szCs w:val="20"/>
                <w:color w:val="auto"/>
              </w:rPr>
            </w:pPr>
            <w:r>
              <w:rPr>
                <w:rFonts w:ascii="Arial" w:cs="Arial" w:eastAsia="Arial" w:hAnsi="Arial"/>
                <w:sz w:val="15"/>
                <w:szCs w:val="15"/>
                <w:color w:val="auto"/>
              </w:rPr>
              <w:t>Equity securities, at fair value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1,042</w:t>
            </w:r>
          </w:p>
        </w:tc>
      </w:tr>
      <w:tr>
        <w:trPr>
          <w:trHeight w:val="204"/>
        </w:trPr>
        <w:tc>
          <w:tcPr>
            <w:tcW w:w="84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Investments accounted for using the equity method</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1,517</w:t>
            </w:r>
          </w:p>
        </w:tc>
      </w:tr>
      <w:tr>
        <w:trPr>
          <w:trHeight w:val="201"/>
        </w:trPr>
        <w:tc>
          <w:tcPr>
            <w:tcW w:w="8420" w:type="dxa"/>
            <w:vAlign w:val="bottom"/>
          </w:tcPr>
          <w:p>
            <w:pPr>
              <w:ind w:left="680"/>
              <w:spacing w:after="0"/>
              <w:rPr>
                <w:sz w:val="20"/>
                <w:szCs w:val="20"/>
                <w:color w:val="auto"/>
              </w:rPr>
            </w:pPr>
            <w:r>
              <w:rPr>
                <w:rFonts w:ascii="Arial" w:cs="Arial" w:eastAsia="Arial" w:hAnsi="Arial"/>
                <w:sz w:val="15"/>
                <w:szCs w:val="15"/>
                <w:color w:val="auto"/>
              </w:rPr>
              <w:t>Mortgage loans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520</w:t>
            </w:r>
          </w:p>
        </w:tc>
      </w:tr>
      <w:tr>
        <w:trPr>
          <w:trHeight w:val="204"/>
        </w:trPr>
        <w:tc>
          <w:tcPr>
            <w:tcW w:w="84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Real estate and other investments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195"/>
        </w:trPr>
        <w:tc>
          <w:tcPr>
            <w:tcW w:w="8420" w:type="dxa"/>
            <w:vAlign w:val="bottom"/>
          </w:tcPr>
          <w:p>
            <w:pPr>
              <w:ind w:left="1440"/>
              <w:spacing w:after="0"/>
              <w:rPr>
                <w:sz w:val="20"/>
                <w:szCs w:val="20"/>
                <w:color w:val="auto"/>
              </w:rPr>
            </w:pPr>
            <w:r>
              <w:rPr>
                <w:rFonts w:ascii="Arial" w:cs="Arial" w:eastAsia="Arial" w:hAnsi="Arial"/>
                <w:sz w:val="15"/>
                <w:szCs w:val="15"/>
                <w:color w:val="auto"/>
              </w:rPr>
              <w:t>Total cash and investments</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14,322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15,745</w:t>
            </w:r>
          </w:p>
        </w:tc>
      </w:tr>
      <w:tr>
        <w:trPr>
          <w:trHeight w:val="20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Recoverables from reinsurers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3,519</w:t>
            </w:r>
          </w:p>
        </w:tc>
      </w:tr>
      <w:tr>
        <w:trPr>
          <w:trHeight w:val="201"/>
        </w:trPr>
        <w:tc>
          <w:tcPr>
            <w:tcW w:w="8420" w:type="dxa"/>
            <w:vAlign w:val="bottom"/>
          </w:tcPr>
          <w:p>
            <w:pPr>
              <w:ind w:left="360"/>
              <w:spacing w:after="0"/>
              <w:rPr>
                <w:sz w:val="20"/>
                <w:szCs w:val="20"/>
                <w:color w:val="auto"/>
              </w:rPr>
            </w:pPr>
            <w:r>
              <w:rPr>
                <w:rFonts w:ascii="Arial" w:cs="Arial" w:eastAsia="Arial" w:hAnsi="Arial"/>
                <w:sz w:val="15"/>
                <w:szCs w:val="15"/>
                <w:color w:val="auto"/>
              </w:rPr>
              <w:t>Prepaid reinsurance premiums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834</w:t>
            </w:r>
          </w:p>
        </w:tc>
      </w:tr>
      <w:tr>
        <w:trPr>
          <w:trHeight w:val="20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Agents’ balances and premiums receivable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w:t>
            </w:r>
          </w:p>
        </w:tc>
      </w:tr>
      <w:tr>
        <w:trPr>
          <w:trHeight w:val="201"/>
        </w:trPr>
        <w:tc>
          <w:tcPr>
            <w:tcW w:w="8420" w:type="dxa"/>
            <w:vAlign w:val="bottom"/>
          </w:tcPr>
          <w:p>
            <w:pPr>
              <w:ind w:left="360"/>
              <w:spacing w:after="0"/>
              <w:rPr>
                <w:sz w:val="20"/>
                <w:szCs w:val="20"/>
                <w:color w:val="auto"/>
              </w:rPr>
            </w:pPr>
            <w:r>
              <w:rPr>
                <w:rFonts w:ascii="Arial" w:cs="Arial" w:eastAsia="Arial" w:hAnsi="Arial"/>
                <w:sz w:val="15"/>
                <w:szCs w:val="15"/>
                <w:color w:val="auto"/>
              </w:rPr>
              <w:t>Deferred policy acquisition costs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267</w:t>
            </w:r>
          </w:p>
        </w:tc>
      </w:tr>
      <w:tr>
        <w:trPr>
          <w:trHeight w:val="20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Assets of managed investment entities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5,296</w:t>
            </w:r>
          </w:p>
        </w:tc>
      </w:tr>
      <w:tr>
        <w:trPr>
          <w:trHeight w:val="201"/>
        </w:trPr>
        <w:tc>
          <w:tcPr>
            <w:tcW w:w="8420" w:type="dxa"/>
            <w:vAlign w:val="bottom"/>
          </w:tcPr>
          <w:p>
            <w:pPr>
              <w:ind w:left="360"/>
              <w:spacing w:after="0"/>
              <w:rPr>
                <w:sz w:val="20"/>
                <w:szCs w:val="20"/>
                <w:color w:val="auto"/>
              </w:rPr>
            </w:pPr>
            <w:r>
              <w:rPr>
                <w:rFonts w:ascii="Arial" w:cs="Arial" w:eastAsia="Arial" w:hAnsi="Arial"/>
                <w:sz w:val="15"/>
                <w:szCs w:val="15"/>
                <w:color w:val="auto"/>
              </w:rPr>
              <w:t>Other receivables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857</w:t>
            </w:r>
          </w:p>
        </w:tc>
      </w:tr>
      <w:tr>
        <w:trPr>
          <w:trHeight w:val="20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w:t>
            </w:r>
          </w:p>
        </w:tc>
      </w:tr>
      <w:tr>
        <w:trPr>
          <w:trHeight w:val="201"/>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Goodwill</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w:t>
            </w:r>
          </w:p>
        </w:tc>
      </w:tr>
      <w:tr>
        <w:trPr>
          <w:trHeight w:val="222"/>
        </w:trPr>
        <w:tc>
          <w:tcPr>
            <w:tcW w:w="842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5"/>
                <w:szCs w:val="15"/>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28,931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1"/>
        </w:trPr>
        <w:tc>
          <w:tcPr>
            <w:tcW w:w="8420" w:type="dxa"/>
            <w:vAlign w:val="bottom"/>
          </w:tcPr>
          <w:p>
            <w:pPr>
              <w:ind w:left="360"/>
              <w:spacing w:after="0"/>
              <w:rPr>
                <w:sz w:val="20"/>
                <w:szCs w:val="20"/>
                <w:color w:val="auto"/>
              </w:rPr>
            </w:pPr>
            <w:r>
              <w:rPr>
                <w:rFonts w:ascii="Arial" w:cs="Arial" w:eastAsia="Arial" w:hAnsi="Arial"/>
                <w:sz w:val="15"/>
                <w:szCs w:val="15"/>
                <w:color w:val="auto"/>
              </w:rPr>
              <w:t>Unpaid losses and loss adjustment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12,067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11,074</w:t>
            </w:r>
          </w:p>
        </w:tc>
      </w:tr>
      <w:tr>
        <w:trPr>
          <w:trHeight w:val="20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Unearned premiums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3,041</w:t>
            </w:r>
          </w:p>
        </w:tc>
      </w:tr>
      <w:tr>
        <w:trPr>
          <w:trHeight w:val="201"/>
        </w:trPr>
        <w:tc>
          <w:tcPr>
            <w:tcW w:w="8420" w:type="dxa"/>
            <w:vAlign w:val="bottom"/>
          </w:tcPr>
          <w:p>
            <w:pPr>
              <w:ind w:left="360"/>
              <w:spacing w:after="0"/>
              <w:rPr>
                <w:sz w:val="20"/>
                <w:szCs w:val="20"/>
                <w:color w:val="auto"/>
              </w:rPr>
            </w:pPr>
            <w:r>
              <w:rPr>
                <w:rFonts w:ascii="Arial" w:cs="Arial" w:eastAsia="Arial" w:hAnsi="Arial"/>
                <w:sz w:val="15"/>
                <w:szCs w:val="15"/>
                <w:color w:val="auto"/>
              </w:rPr>
              <w:t>Payable to reinsurers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920</w:t>
            </w:r>
          </w:p>
        </w:tc>
      </w:tr>
      <w:tr>
        <w:trPr>
          <w:trHeight w:val="20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Liabilities of managed investment entities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5,220</w:t>
            </w:r>
          </w:p>
        </w:tc>
      </w:tr>
      <w:tr>
        <w:trPr>
          <w:trHeight w:val="201"/>
        </w:trPr>
        <w:tc>
          <w:tcPr>
            <w:tcW w:w="8420" w:type="dxa"/>
            <w:vAlign w:val="bottom"/>
          </w:tcPr>
          <w:p>
            <w:pPr>
              <w:ind w:left="36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1,964</w:t>
            </w:r>
          </w:p>
        </w:tc>
      </w:tr>
      <w:tr>
        <w:trPr>
          <w:trHeight w:val="204"/>
        </w:trPr>
        <w:tc>
          <w:tcPr>
            <w:tcW w:w="8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1,700</w:t>
            </w:r>
          </w:p>
        </w:tc>
      </w:tr>
      <w:tr>
        <w:trPr>
          <w:trHeight w:val="195"/>
        </w:trPr>
        <w:tc>
          <w:tcPr>
            <w:tcW w:w="8420" w:type="dxa"/>
            <w:vAlign w:val="bottom"/>
          </w:tcPr>
          <w:p>
            <w:pPr>
              <w:ind w:left="1440"/>
              <w:spacing w:after="0"/>
              <w:rPr>
                <w:sz w:val="20"/>
                <w:szCs w:val="20"/>
                <w:color w:val="auto"/>
              </w:rPr>
            </w:pPr>
            <w:r>
              <w:rPr>
                <w:rFonts w:ascii="Arial" w:cs="Arial" w:eastAsia="Arial" w:hAnsi="Arial"/>
                <w:sz w:val="15"/>
                <w:szCs w:val="15"/>
                <w:color w:val="auto"/>
              </w:rPr>
              <w:t>Total liabilities</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25,600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23,919</w:t>
            </w:r>
          </w:p>
        </w:tc>
      </w:tr>
      <w:tr>
        <w:trPr>
          <w:trHeight w:val="163"/>
        </w:trPr>
        <w:tc>
          <w:tcPr>
            <w:tcW w:w="8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01"/>
        </w:trPr>
        <w:tc>
          <w:tcPr>
            <w:tcW w:w="8420" w:type="dxa"/>
            <w:vAlign w:val="bottom"/>
          </w:tcPr>
          <w:p>
            <w:pPr>
              <w:ind w:left="360"/>
              <w:spacing w:after="0"/>
              <w:rPr>
                <w:sz w:val="20"/>
                <w:szCs w:val="20"/>
                <w:color w:val="auto"/>
              </w:rPr>
            </w:pPr>
            <w:r>
              <w:rPr>
                <w:rFonts w:ascii="Arial" w:cs="Arial" w:eastAsia="Arial" w:hAnsi="Arial"/>
                <w:sz w:val="15"/>
                <w:szCs w:val="15"/>
                <w:color w:val="auto"/>
              </w:rPr>
              <w:t>Shareholders’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50"/>
        </w:trPr>
        <w:tc>
          <w:tcPr>
            <w:tcW w:w="8420" w:type="dxa"/>
            <w:vAlign w:val="bottom"/>
            <w:shd w:val="clear" w:color="auto" w:fill="CCEEFF"/>
          </w:tcPr>
          <w:p>
            <w:pPr>
              <w:ind w:left="680"/>
              <w:spacing w:after="0" w:line="150" w:lineRule="exact"/>
              <w:rPr>
                <w:sz w:val="20"/>
                <w:szCs w:val="20"/>
                <w:color w:val="auto"/>
              </w:rPr>
            </w:pPr>
            <w:r>
              <w:rPr>
                <w:rFonts w:ascii="Arial" w:cs="Arial" w:eastAsia="Arial" w:hAnsi="Arial"/>
                <w:sz w:val="15"/>
                <w:szCs w:val="15"/>
                <w:color w:val="auto"/>
              </w:rPr>
              <w:t>Common Stock, no par value</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48"/>
        </w:trPr>
        <w:tc>
          <w:tcPr>
            <w:tcW w:w="8420" w:type="dxa"/>
            <w:vAlign w:val="bottom"/>
            <w:shd w:val="clear" w:color="auto" w:fill="CCEEFF"/>
          </w:tcPr>
          <w:p>
            <w:pPr>
              <w:ind w:left="980"/>
              <w:spacing w:after="0" w:line="149" w:lineRule="exact"/>
              <w:rPr>
                <w:sz w:val="20"/>
                <w:szCs w:val="20"/>
                <w:color w:val="auto"/>
              </w:rPr>
            </w:pPr>
            <w:r>
              <w:rPr>
                <w:rFonts w:ascii="Arial" w:cs="Arial" w:eastAsia="Arial" w:hAnsi="Arial"/>
                <w:sz w:val="15"/>
                <w:szCs w:val="15"/>
                <w:color w:val="auto"/>
              </w:rPr>
              <w:t>— 200,000,000 shares authorized</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16"/>
        </w:trPr>
        <w:tc>
          <w:tcPr>
            <w:tcW w:w="8420" w:type="dxa"/>
            <w:vAlign w:val="bottom"/>
            <w:shd w:val="clear" w:color="auto" w:fill="CCEEFF"/>
          </w:tcPr>
          <w:p>
            <w:pPr>
              <w:ind w:left="980"/>
              <w:spacing w:after="0"/>
              <w:rPr>
                <w:sz w:val="20"/>
                <w:szCs w:val="20"/>
                <w:color w:val="auto"/>
              </w:rPr>
            </w:pPr>
            <w:r>
              <w:rPr>
                <w:rFonts w:ascii="Arial" w:cs="Arial" w:eastAsia="Arial" w:hAnsi="Arial"/>
                <w:sz w:val="15"/>
                <w:szCs w:val="15"/>
                <w:color w:val="auto"/>
              </w:rPr>
              <w:t>— 85,140,521 and 84,920,965 shares outstanding</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201"/>
        </w:trPr>
        <w:tc>
          <w:tcPr>
            <w:tcW w:w="8420" w:type="dxa"/>
            <w:vAlign w:val="bottom"/>
          </w:tcPr>
          <w:p>
            <w:pPr>
              <w:ind w:left="680"/>
              <w:spacing w:after="0"/>
              <w:rPr>
                <w:sz w:val="20"/>
                <w:szCs w:val="20"/>
                <w:color w:val="auto"/>
              </w:rPr>
            </w:pPr>
            <w:r>
              <w:rPr>
                <w:rFonts w:ascii="Arial" w:cs="Arial" w:eastAsia="Arial" w:hAnsi="Arial"/>
                <w:sz w:val="15"/>
                <w:szCs w:val="15"/>
                <w:color w:val="auto"/>
              </w:rPr>
              <w:t>Capital surplus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1,330</w:t>
            </w:r>
          </w:p>
        </w:tc>
      </w:tr>
      <w:tr>
        <w:trPr>
          <w:trHeight w:val="204"/>
        </w:trPr>
        <w:tc>
          <w:tcPr>
            <w:tcW w:w="84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Retained earnings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3,478</w:t>
            </w:r>
          </w:p>
        </w:tc>
      </w:tr>
      <w:tr>
        <w:trPr>
          <w:trHeight w:val="201"/>
        </w:trPr>
        <w:tc>
          <w:tcPr>
            <w:tcW w:w="842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Accumulated other comprehensive income (loss), net of tax</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r>
      <w:tr>
        <w:trPr>
          <w:trHeight w:val="197"/>
        </w:trPr>
        <w:tc>
          <w:tcPr>
            <w:tcW w:w="8420" w:type="dxa"/>
            <w:vAlign w:val="bottom"/>
            <w:shd w:val="clear" w:color="auto" w:fill="CCEEFF"/>
          </w:tcPr>
          <w:p>
            <w:pPr>
              <w:ind w:left="1440"/>
              <w:spacing w:after="0"/>
              <w:rPr>
                <w:sz w:val="20"/>
                <w:szCs w:val="20"/>
                <w:color w:val="auto"/>
              </w:rPr>
            </w:pPr>
            <w:r>
              <w:rPr>
                <w:rFonts w:ascii="Arial" w:cs="Arial" w:eastAsia="Arial" w:hAnsi="Arial"/>
                <w:sz w:val="15"/>
                <w:szCs w:val="15"/>
                <w:color w:val="auto"/>
              </w:rPr>
              <w:t>Total shareholders’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3,932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5,012</w:t>
            </w:r>
          </w:p>
        </w:tc>
      </w:tr>
      <w:tr>
        <w:trPr>
          <w:trHeight w:val="196"/>
        </w:trPr>
        <w:tc>
          <w:tcPr>
            <w:tcW w:w="8420" w:type="dxa"/>
            <w:vAlign w:val="bottom"/>
          </w:tcPr>
          <w:p>
            <w:pPr>
              <w:ind w:left="1440"/>
              <w:spacing w:after="0"/>
              <w:rPr>
                <w:sz w:val="20"/>
                <w:szCs w:val="20"/>
                <w:color w:val="auto"/>
              </w:rPr>
            </w:pPr>
            <w:r>
              <w:rPr>
                <w:rFonts w:ascii="Arial" w:cs="Arial" w:eastAsia="Arial" w:hAnsi="Arial"/>
                <w:sz w:val="15"/>
                <w:szCs w:val="15"/>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28,931</w:t>
            </w:r>
          </w:p>
        </w:tc>
      </w:tr>
      <w:tr>
        <w:trPr>
          <w:trHeight w:val="21"/>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3040" w:type="dxa"/>
            <w:vAlign w:val="bottom"/>
            <w:gridSpan w:val="6"/>
          </w:tcPr>
          <w:p>
            <w:pPr>
              <w:ind w:left="32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20" w:type="dxa"/>
            <w:vAlign w:val="bottom"/>
            <w:gridSpan w:val="4"/>
          </w:tcPr>
          <w:p>
            <w:pPr>
              <w:jc w:val="right"/>
              <w:ind w:right="284"/>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24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color w:val="auto"/>
              </w:rPr>
              <w:t>2021</w:t>
            </w:r>
          </w:p>
        </w:tc>
      </w:tr>
      <w:tr>
        <w:trPr>
          <w:trHeight w:val="187"/>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1"/>
        </w:trPr>
        <w:tc>
          <w:tcPr>
            <w:tcW w:w="5240" w:type="dxa"/>
            <w:vAlign w:val="bottom"/>
          </w:tcPr>
          <w:p>
            <w:pPr>
              <w:ind w:left="360"/>
              <w:spacing w:after="0"/>
              <w:rPr>
                <w:sz w:val="20"/>
                <w:szCs w:val="20"/>
                <w:color w:val="auto"/>
              </w:rPr>
            </w:pPr>
            <w:r>
              <w:rPr>
                <w:rFonts w:ascii="Arial" w:cs="Arial" w:eastAsia="Arial" w:hAnsi="Arial"/>
                <w:sz w:val="15"/>
                <w:szCs w:val="15"/>
                <w:color w:val="auto"/>
              </w:rPr>
              <w:t>Property and casualty insurance net earned premiums</w:t>
            </w:r>
          </w:p>
        </w:tc>
        <w:tc>
          <w:tcPr>
            <w:tcW w:w="920" w:type="dxa"/>
            <w:vAlign w:val="bottom"/>
          </w:tcPr>
          <w:p>
            <w:pPr>
              <w:jc w:val="right"/>
              <w:ind w:right="745"/>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1,767</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1,529</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4,462</w:t>
            </w:r>
          </w:p>
        </w:tc>
        <w:tc>
          <w:tcPr>
            <w:tcW w:w="8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3,952</w:t>
            </w:r>
          </w:p>
        </w:tc>
      </w:tr>
      <w:tr>
        <w:trPr>
          <w:trHeight w:val="204"/>
        </w:trPr>
        <w:tc>
          <w:tcPr>
            <w:tcW w:w="5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investment income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r>
      <w:tr>
        <w:trPr>
          <w:trHeight w:val="201"/>
        </w:trPr>
        <w:tc>
          <w:tcPr>
            <w:tcW w:w="5240" w:type="dxa"/>
            <w:vAlign w:val="bottom"/>
          </w:tcPr>
          <w:p>
            <w:pPr>
              <w:ind w:left="360"/>
              <w:spacing w:after="0"/>
              <w:rPr>
                <w:sz w:val="20"/>
                <w:szCs w:val="20"/>
                <w:color w:val="auto"/>
              </w:rPr>
            </w:pPr>
            <w:r>
              <w:rPr>
                <w:rFonts w:ascii="Arial" w:cs="Arial" w:eastAsia="Arial" w:hAnsi="Arial"/>
                <w:sz w:val="15"/>
                <w:szCs w:val="15"/>
                <w:color w:val="auto"/>
              </w:rPr>
              <w:t>Realized gains (losses) on:</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4"/>
        </w:trPr>
        <w:tc>
          <w:tcPr>
            <w:tcW w:w="52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Securities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r>
      <w:tr>
        <w:trPr>
          <w:trHeight w:val="201"/>
        </w:trPr>
        <w:tc>
          <w:tcPr>
            <w:tcW w:w="5240" w:type="dxa"/>
            <w:vAlign w:val="bottom"/>
          </w:tcPr>
          <w:p>
            <w:pPr>
              <w:ind w:left="680"/>
              <w:spacing w:after="0"/>
              <w:rPr>
                <w:sz w:val="20"/>
                <w:szCs w:val="20"/>
                <w:color w:val="auto"/>
              </w:rPr>
            </w:pPr>
            <w:r>
              <w:rPr>
                <w:rFonts w:ascii="Arial" w:cs="Arial" w:eastAsia="Arial" w:hAnsi="Arial"/>
                <w:sz w:val="15"/>
                <w:szCs w:val="15"/>
                <w:color w:val="auto"/>
              </w:rPr>
              <w:t>Subsidiaries</w:t>
            </w:r>
          </w:p>
        </w:tc>
        <w:tc>
          <w:tcPr>
            <w:tcW w:w="9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4"/>
        </w:trPr>
        <w:tc>
          <w:tcPr>
            <w:tcW w:w="5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of managed investment entities: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5240" w:type="dxa"/>
            <w:vAlign w:val="bottom"/>
          </w:tcPr>
          <w:p>
            <w:pPr>
              <w:ind w:left="680"/>
              <w:spacing w:after="0"/>
              <w:rPr>
                <w:sz w:val="20"/>
                <w:szCs w:val="20"/>
                <w:color w:val="auto"/>
              </w:rPr>
            </w:pPr>
            <w:r>
              <w:rPr>
                <w:rFonts w:ascii="Arial" w:cs="Arial" w:eastAsia="Arial" w:hAnsi="Arial"/>
                <w:sz w:val="15"/>
                <w:szCs w:val="15"/>
                <w:color w:val="auto"/>
              </w:rPr>
              <w:t>Investment income</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204"/>
        </w:trPr>
        <w:tc>
          <w:tcPr>
            <w:tcW w:w="52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Gain (loss) on change in fair value of assets/liabilities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01"/>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income</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r>
      <w:tr>
        <w:trPr>
          <w:trHeight w:val="197"/>
        </w:trPr>
        <w:tc>
          <w:tcPr>
            <w:tcW w:w="52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revenues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4,794</w:t>
            </w:r>
          </w:p>
        </w:tc>
      </w:tr>
      <w:tr>
        <w:trPr>
          <w:trHeight w:val="270"/>
        </w:trPr>
        <w:tc>
          <w:tcPr>
            <w:tcW w:w="5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Costs and Expenses: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5240" w:type="dxa"/>
            <w:vAlign w:val="bottom"/>
          </w:tcPr>
          <w:p>
            <w:pPr>
              <w:ind w:left="360"/>
              <w:spacing w:after="0"/>
              <w:rPr>
                <w:sz w:val="20"/>
                <w:szCs w:val="20"/>
                <w:color w:val="auto"/>
              </w:rPr>
            </w:pPr>
            <w:r>
              <w:rPr>
                <w:rFonts w:ascii="Arial" w:cs="Arial" w:eastAsia="Arial" w:hAnsi="Arial"/>
                <w:sz w:val="15"/>
                <w:szCs w:val="15"/>
                <w:color w:val="auto"/>
              </w:rPr>
              <w:t>Property and casualty insurance:</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4"/>
        </w:trPr>
        <w:tc>
          <w:tcPr>
            <w:tcW w:w="52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Losses and loss adjustment expenses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2,335</w:t>
            </w:r>
          </w:p>
        </w:tc>
      </w:tr>
      <w:tr>
        <w:trPr>
          <w:trHeight w:val="201"/>
        </w:trPr>
        <w:tc>
          <w:tcPr>
            <w:tcW w:w="5240" w:type="dxa"/>
            <w:vAlign w:val="bottom"/>
          </w:tcPr>
          <w:p>
            <w:pPr>
              <w:ind w:left="680"/>
              <w:spacing w:after="0"/>
              <w:rPr>
                <w:sz w:val="20"/>
                <w:szCs w:val="20"/>
                <w:color w:val="auto"/>
              </w:rPr>
            </w:pPr>
            <w:r>
              <w:rPr>
                <w:rFonts w:ascii="Arial" w:cs="Arial" w:eastAsia="Arial" w:hAnsi="Arial"/>
                <w:sz w:val="15"/>
                <w:szCs w:val="15"/>
                <w:color w:val="auto"/>
              </w:rPr>
              <w:t>Commissions and other underwriting expenses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1,291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1,187</w:t>
            </w:r>
          </w:p>
        </w:tc>
      </w:tr>
      <w:tr>
        <w:trPr>
          <w:trHeight w:val="204"/>
        </w:trPr>
        <w:tc>
          <w:tcPr>
            <w:tcW w:w="5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charges on borrowed money</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r>
      <w:tr>
        <w:trPr>
          <w:trHeight w:val="201"/>
        </w:trPr>
        <w:tc>
          <w:tcPr>
            <w:tcW w:w="5240" w:type="dxa"/>
            <w:vAlign w:val="bottom"/>
          </w:tcPr>
          <w:p>
            <w:pPr>
              <w:ind w:left="360"/>
              <w:spacing w:after="0"/>
              <w:rPr>
                <w:sz w:val="20"/>
                <w:szCs w:val="20"/>
                <w:color w:val="auto"/>
              </w:rPr>
            </w:pPr>
            <w:r>
              <w:rPr>
                <w:rFonts w:ascii="Arial" w:cs="Arial" w:eastAsia="Arial" w:hAnsi="Arial"/>
                <w:sz w:val="15"/>
                <w:szCs w:val="15"/>
                <w:color w:val="auto"/>
              </w:rPr>
              <w:t>Expenses of managed investment entities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04"/>
        </w:trPr>
        <w:tc>
          <w:tcPr>
            <w:tcW w:w="5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expenses</w:t>
            </w:r>
          </w:p>
        </w:tc>
        <w:tc>
          <w:tcPr>
            <w:tcW w:w="9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w:t>
            </w:r>
          </w:p>
        </w:tc>
      </w:tr>
      <w:tr>
        <w:trPr>
          <w:trHeight w:val="195"/>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costs and expenses</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4,334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3,904</w:t>
            </w:r>
          </w:p>
        </w:tc>
      </w:tr>
      <w:tr>
        <w:trPr>
          <w:trHeight w:val="197"/>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from continuing operations before income taxes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w:t>
            </w:r>
          </w:p>
        </w:tc>
      </w:tr>
      <w:tr>
        <w:trPr>
          <w:trHeight w:val="201"/>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r>
      <w:tr>
        <w:trPr>
          <w:trHeight w:val="197"/>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earnings from continuing operations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r>
      <w:tr>
        <w:trPr>
          <w:trHeight w:val="201"/>
        </w:trPr>
        <w:tc>
          <w:tcPr>
            <w:tcW w:w="5240" w:type="dxa"/>
            <w:vAlign w:val="bottom"/>
          </w:tcPr>
          <w:p>
            <w:pPr>
              <w:ind w:left="20"/>
              <w:spacing w:after="0"/>
              <w:rPr>
                <w:sz w:val="20"/>
                <w:szCs w:val="20"/>
                <w:color w:val="auto"/>
              </w:rPr>
            </w:pPr>
            <w:r>
              <w:rPr>
                <w:rFonts w:ascii="Arial" w:cs="Arial" w:eastAsia="Arial" w:hAnsi="Arial"/>
                <w:sz w:val="15"/>
                <w:szCs w:val="15"/>
                <w:color w:val="auto"/>
              </w:rPr>
              <w:t>Net earnings from discontinued operations</w:t>
            </w:r>
          </w:p>
        </w:tc>
        <w:tc>
          <w:tcPr>
            <w:tcW w:w="9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914</w:t>
            </w:r>
          </w:p>
        </w:tc>
      </w:tr>
      <w:tr>
        <w:trPr>
          <w:trHeight w:val="222"/>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Earnings</w:t>
            </w:r>
          </w:p>
        </w:tc>
        <w:tc>
          <w:tcPr>
            <w:tcW w:w="92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Earnings per Basic Common Share: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5240" w:type="dxa"/>
            <w:vAlign w:val="bottom"/>
          </w:tcPr>
          <w:p>
            <w:pPr>
              <w:ind w:left="360"/>
              <w:spacing w:after="0"/>
              <w:rPr>
                <w:sz w:val="20"/>
                <w:szCs w:val="20"/>
                <w:color w:val="auto"/>
              </w:rPr>
            </w:pPr>
            <w:r>
              <w:rPr>
                <w:rFonts w:ascii="Arial" w:cs="Arial" w:eastAsia="Arial" w:hAnsi="Arial"/>
                <w:sz w:val="15"/>
                <w:szCs w:val="15"/>
                <w:color w:val="auto"/>
              </w:rPr>
              <w:t>Continuing operations</w:t>
            </w:r>
          </w:p>
        </w:tc>
        <w:tc>
          <w:tcPr>
            <w:tcW w:w="920" w:type="dxa"/>
            <w:vAlign w:val="bottom"/>
          </w:tcPr>
          <w:p>
            <w:pPr>
              <w:jc w:val="right"/>
              <w:ind w:right="745"/>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7.30</w:t>
            </w:r>
          </w:p>
        </w:tc>
        <w:tc>
          <w:tcPr>
            <w:tcW w:w="8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8.52</w:t>
            </w:r>
          </w:p>
        </w:tc>
      </w:tr>
      <w:tr>
        <w:trPr>
          <w:trHeight w:val="203"/>
        </w:trPr>
        <w:tc>
          <w:tcPr>
            <w:tcW w:w="5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Discontinued operations</w:t>
            </w:r>
          </w:p>
        </w:tc>
        <w:tc>
          <w:tcPr>
            <w:tcW w:w="9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w:t>
            </w:r>
          </w:p>
        </w:tc>
      </w:tr>
      <w:tr>
        <w:trPr>
          <w:trHeight w:val="197"/>
        </w:trPr>
        <w:tc>
          <w:tcPr>
            <w:tcW w:w="5240" w:type="dxa"/>
            <w:vAlign w:val="bottom"/>
          </w:tcPr>
          <w:p>
            <w:pPr>
              <w:ind w:left="460"/>
              <w:spacing w:after="0"/>
              <w:rPr>
                <w:sz w:val="20"/>
                <w:szCs w:val="20"/>
                <w:color w:val="auto"/>
              </w:rPr>
            </w:pPr>
            <w:r>
              <w:rPr>
                <w:rFonts w:ascii="Arial" w:cs="Arial" w:eastAsia="Arial" w:hAnsi="Arial"/>
                <w:sz w:val="15"/>
                <w:szCs w:val="15"/>
                <w:color w:val="auto"/>
              </w:rPr>
              <w:t>Total basic earnings</w:t>
            </w:r>
          </w:p>
        </w:tc>
        <w:tc>
          <w:tcPr>
            <w:tcW w:w="92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7.30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19.24</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52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Earnings per Diluted Common Share: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1"/>
        </w:trPr>
        <w:tc>
          <w:tcPr>
            <w:tcW w:w="5240" w:type="dxa"/>
            <w:vAlign w:val="bottom"/>
          </w:tcPr>
          <w:p>
            <w:pPr>
              <w:ind w:left="360"/>
              <w:spacing w:after="0"/>
              <w:rPr>
                <w:sz w:val="20"/>
                <w:szCs w:val="20"/>
                <w:color w:val="auto"/>
              </w:rPr>
            </w:pPr>
            <w:r>
              <w:rPr>
                <w:rFonts w:ascii="Arial" w:cs="Arial" w:eastAsia="Arial" w:hAnsi="Arial"/>
                <w:sz w:val="15"/>
                <w:szCs w:val="15"/>
                <w:color w:val="auto"/>
              </w:rPr>
              <w:t>Continuing operations</w:t>
            </w:r>
          </w:p>
        </w:tc>
        <w:tc>
          <w:tcPr>
            <w:tcW w:w="920" w:type="dxa"/>
            <w:vAlign w:val="bottom"/>
          </w:tcPr>
          <w:p>
            <w:pPr>
              <w:jc w:val="right"/>
              <w:ind w:right="745"/>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7.29</w:t>
            </w:r>
          </w:p>
        </w:tc>
        <w:tc>
          <w:tcPr>
            <w:tcW w:w="8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8.45</w:t>
            </w:r>
          </w:p>
        </w:tc>
      </w:tr>
      <w:tr>
        <w:trPr>
          <w:trHeight w:val="203"/>
        </w:trPr>
        <w:tc>
          <w:tcPr>
            <w:tcW w:w="5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Discontinued operations</w:t>
            </w:r>
          </w:p>
        </w:tc>
        <w:tc>
          <w:tcPr>
            <w:tcW w:w="9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w:t>
            </w:r>
          </w:p>
        </w:tc>
      </w:tr>
      <w:tr>
        <w:trPr>
          <w:trHeight w:val="197"/>
        </w:trPr>
        <w:tc>
          <w:tcPr>
            <w:tcW w:w="5240" w:type="dxa"/>
            <w:vAlign w:val="bottom"/>
          </w:tcPr>
          <w:p>
            <w:pPr>
              <w:ind w:left="460"/>
              <w:spacing w:after="0"/>
              <w:rPr>
                <w:sz w:val="20"/>
                <w:szCs w:val="20"/>
                <w:color w:val="auto"/>
              </w:rPr>
            </w:pPr>
            <w:r>
              <w:rPr>
                <w:rFonts w:ascii="Arial" w:cs="Arial" w:eastAsia="Arial" w:hAnsi="Arial"/>
                <w:sz w:val="15"/>
                <w:szCs w:val="15"/>
                <w:color w:val="auto"/>
              </w:rPr>
              <w:t>Total diluted earnings</w:t>
            </w:r>
          </w:p>
        </w:tc>
        <w:tc>
          <w:tcPr>
            <w:tcW w:w="92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7.29</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19.11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52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Average number of Common Shares: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1"/>
        </w:trPr>
        <w:tc>
          <w:tcPr>
            <w:tcW w:w="5240" w:type="dxa"/>
            <w:vAlign w:val="bottom"/>
          </w:tcPr>
          <w:p>
            <w:pPr>
              <w:ind w:left="360"/>
              <w:spacing w:after="0"/>
              <w:rPr>
                <w:sz w:val="20"/>
                <w:szCs w:val="20"/>
                <w:color w:val="auto"/>
              </w:rPr>
            </w:pPr>
            <w:r>
              <w:rPr>
                <w:rFonts w:ascii="Arial" w:cs="Arial" w:eastAsia="Arial" w:hAnsi="Arial"/>
                <w:sz w:val="15"/>
                <w:szCs w:val="15"/>
                <w:color w:val="auto"/>
              </w:rPr>
              <w:t>Basic</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85.2</w:t>
            </w:r>
          </w:p>
        </w:tc>
      </w:tr>
      <w:tr>
        <w:trPr>
          <w:trHeight w:val="204"/>
        </w:trPr>
        <w:tc>
          <w:tcPr>
            <w:tcW w:w="5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Diluted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color w:val="auto"/>
              </w:rPr>
              <w:t>2021</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losses on securities arising during the</w:t>
            </w:r>
          </w:p>
        </w:tc>
        <w:tc>
          <w:tcPr>
            <w:tcW w:w="104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period</w:t>
            </w:r>
          </w:p>
        </w:tc>
        <w:tc>
          <w:tcPr>
            <w:tcW w:w="104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realized (gains) losses</w:t>
            </w:r>
          </w:p>
        </w:tc>
        <w:tc>
          <w:tcPr>
            <w:tcW w:w="10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4740" w:type="dxa"/>
            <w:vAlign w:val="bottom"/>
          </w:tcPr>
          <w:p>
            <w:pPr>
              <w:ind w:left="400"/>
              <w:spacing w:after="0"/>
              <w:rPr>
                <w:sz w:val="20"/>
                <w:szCs w:val="20"/>
                <w:color w:val="auto"/>
              </w:rPr>
            </w:pPr>
            <w:r>
              <w:rPr>
                <w:rFonts w:ascii="Arial" w:cs="Arial" w:eastAsia="Arial" w:hAnsi="Arial"/>
                <w:sz w:val="16"/>
                <w:szCs w:val="16"/>
                <w:color w:val="auto"/>
              </w:rPr>
              <w:t>included in net earnings</w:t>
            </w:r>
          </w:p>
        </w:tc>
        <w:tc>
          <w:tcPr>
            <w:tcW w:w="10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Reclassification adjustment for unrealized gains of</w:t>
            </w:r>
          </w:p>
        </w:tc>
        <w:tc>
          <w:tcPr>
            <w:tcW w:w="10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subsidiaries sold</w:t>
            </w:r>
          </w:p>
        </w:tc>
        <w:tc>
          <w:tcPr>
            <w:tcW w:w="104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400"/>
              <w:spacing w:after="0"/>
              <w:rPr>
                <w:sz w:val="20"/>
                <w:szCs w:val="20"/>
                <w:color w:val="auto"/>
              </w:rPr>
            </w:pPr>
            <w:r>
              <w:rPr>
                <w:rFonts w:ascii="Arial" w:cs="Arial" w:eastAsia="Arial" w:hAnsi="Arial"/>
                <w:sz w:val="16"/>
                <w:szCs w:val="16"/>
                <w:color w:val="auto"/>
              </w:rPr>
              <w:t>Total net unrealized losses on securities</w:t>
            </w: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unrealized losses on cash flow hedges: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Unrealized holding gains (losses) on cash flow hedges arising</w:t>
            </w:r>
          </w:p>
        </w:tc>
        <w:tc>
          <w:tcPr>
            <w:tcW w:w="10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40" w:type="dxa"/>
            <w:vAlign w:val="bottom"/>
          </w:tcPr>
          <w:p>
            <w:pPr>
              <w:ind w:left="400"/>
              <w:spacing w:after="0"/>
              <w:rPr>
                <w:sz w:val="20"/>
                <w:szCs w:val="20"/>
                <w:color w:val="auto"/>
              </w:rPr>
            </w:pPr>
            <w:r>
              <w:rPr>
                <w:rFonts w:ascii="Arial" w:cs="Arial" w:eastAsia="Arial" w:hAnsi="Arial"/>
                <w:sz w:val="16"/>
                <w:szCs w:val="16"/>
                <w:color w:val="auto"/>
              </w:rPr>
              <w:t>during the period</w:t>
            </w:r>
          </w:p>
        </w:tc>
        <w:tc>
          <w:tcPr>
            <w:tcW w:w="10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Reclassification adjustment for investment income included in</w:t>
            </w:r>
          </w:p>
        </w:tc>
        <w:tc>
          <w:tcPr>
            <w:tcW w:w="10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earnings</w:t>
            </w:r>
          </w:p>
        </w:tc>
        <w:tc>
          <w:tcPr>
            <w:tcW w:w="104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unrealized gains on cash flow</w:t>
            </w:r>
          </w:p>
        </w:tc>
        <w:tc>
          <w:tcPr>
            <w:tcW w:w="104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4740" w:type="dxa"/>
            <w:vAlign w:val="bottom"/>
          </w:tcPr>
          <w:p>
            <w:pPr>
              <w:ind w:left="400"/>
              <w:spacing w:after="0"/>
              <w:rPr>
                <w:sz w:val="20"/>
                <w:szCs w:val="20"/>
                <w:color w:val="auto"/>
              </w:rPr>
            </w:pPr>
            <w:r>
              <w:rPr>
                <w:rFonts w:ascii="Arial" w:cs="Arial" w:eastAsia="Arial" w:hAnsi="Arial"/>
                <w:sz w:val="16"/>
                <w:szCs w:val="16"/>
                <w:color w:val="auto"/>
              </w:rPr>
              <w:t>hedges of subsidiaries sold</w:t>
            </w:r>
          </w:p>
        </w:tc>
        <w:tc>
          <w:tcPr>
            <w:tcW w:w="10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net unrealized losses on cash flow hedges</w:t>
            </w: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other postretirement plans adjustments (“OPRP”):</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Unrealized holding losses on pension and OPRP arising</w:t>
            </w:r>
          </w:p>
        </w:tc>
        <w:tc>
          <w:tcPr>
            <w:tcW w:w="104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40" w:type="dxa"/>
            <w:vAlign w:val="bottom"/>
          </w:tcPr>
          <w:p>
            <w:pPr>
              <w:ind w:left="400"/>
              <w:spacing w:after="0"/>
              <w:rPr>
                <w:sz w:val="20"/>
                <w:szCs w:val="20"/>
                <w:color w:val="auto"/>
              </w:rPr>
            </w:pPr>
            <w:r>
              <w:rPr>
                <w:rFonts w:ascii="Arial" w:cs="Arial" w:eastAsia="Arial" w:hAnsi="Arial"/>
                <w:sz w:val="16"/>
                <w:szCs w:val="16"/>
                <w:color w:val="auto"/>
              </w:rPr>
              <w:t>during the period</w:t>
            </w:r>
          </w:p>
        </w:tc>
        <w:tc>
          <w:tcPr>
            <w:tcW w:w="10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Reclassification adjustment for pension settlement loss</w:t>
            </w:r>
          </w:p>
        </w:tc>
        <w:tc>
          <w:tcPr>
            <w:tcW w:w="10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included in net earnings</w:t>
            </w:r>
          </w:p>
        </w:tc>
        <w:tc>
          <w:tcPr>
            <w:tcW w:w="104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pension and OPRP adjustments</w:t>
            </w:r>
          </w:p>
        </w:tc>
        <w:tc>
          <w:tcPr>
            <w:tcW w:w="10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189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40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and Capital</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Other Comp.</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40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Surplus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Income (Loss)</w:t>
            </w:r>
          </w:p>
        </w:tc>
        <w:tc>
          <w:tcPr>
            <w:tcW w:w="220" w:type="dxa"/>
            <w:vAlign w:val="bottom"/>
          </w:tcPr>
          <w:p>
            <w:pPr>
              <w:spacing w:after="0"/>
              <w:rPr>
                <w:sz w:val="17"/>
                <w:szCs w:val="17"/>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85,154,263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($0.56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14,553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19,220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85,140,521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3,932</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280" w:type="dxa"/>
            <w:vAlign w:val="bottom"/>
          </w:tcPr>
          <w:p>
            <w:pPr>
              <w:jc w:val="right"/>
              <w:spacing w:after="0"/>
              <w:rPr>
                <w:sz w:val="20"/>
                <w:szCs w:val="20"/>
                <w:color w:val="auto"/>
              </w:rPr>
            </w:pPr>
            <w:r>
              <w:rPr>
                <w:rFonts w:ascii="Arial" w:cs="Arial" w:eastAsia="Arial" w:hAnsi="Arial"/>
                <w:sz w:val="16"/>
                <w:szCs w:val="16"/>
                <w:color w:val="auto"/>
              </w:rPr>
              <w:t>84,713,927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1,388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4,023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5,601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($6.50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153,842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6,272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(94,960)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84,795,008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003366"/>
        </w:rPr>
        <w:t>CONSOLIDATED STATEMENT OF CHANGES IN EQUITY (UNAUDITED) — CONTINUED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40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and Capital</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Other Comp.</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40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Surplus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Income (Loss)</w:t>
            </w:r>
          </w:p>
        </w:tc>
        <w:tc>
          <w:tcPr>
            <w:tcW w:w="220" w:type="dxa"/>
            <w:vAlign w:val="bottom"/>
          </w:tcPr>
          <w:p>
            <w:pPr>
              <w:spacing w:after="0"/>
              <w:rPr>
                <w:sz w:val="17"/>
                <w:szCs w:val="17"/>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84,920,965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($11.68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138,498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151,080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54,171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(80,701)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(57,195)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85,140,521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3,932</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80" w:type="dxa"/>
            <w:vAlign w:val="bottom"/>
          </w:tcPr>
          <w:p>
            <w:pPr>
              <w:jc w:val="right"/>
              <w:spacing w:after="0"/>
              <w:rPr>
                <w:sz w:val="20"/>
                <w:szCs w:val="20"/>
                <w:color w:val="auto"/>
              </w:rPr>
            </w:pPr>
            <w:r>
              <w:rPr>
                <w:rFonts w:ascii="Arial" w:cs="Arial" w:eastAsia="Arial" w:hAnsi="Arial"/>
                <w:sz w:val="16"/>
                <w:szCs w:val="16"/>
                <w:color w:val="auto"/>
              </w:rPr>
              <w:t>86,345,246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1,367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4,149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1,273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6,789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($21.50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1,118,586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207,020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60,494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42,926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(2,769,182)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(91,926)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(118,156)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84,795,008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83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2021</w:t>
            </w:r>
          </w:p>
        </w:tc>
      </w:tr>
      <w:tr>
        <w:trPr>
          <w:trHeight w:val="187"/>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8"/>
        </w:trPr>
        <w:tc>
          <w:tcPr>
            <w:tcW w:w="8340" w:type="dxa"/>
            <w:vAlign w:val="bottom"/>
          </w:tcPr>
          <w:p>
            <w:pPr>
              <w:ind w:left="360"/>
              <w:spacing w:after="0"/>
              <w:rPr>
                <w:sz w:val="20"/>
                <w:szCs w:val="20"/>
                <w:color w:val="auto"/>
              </w:rPr>
            </w:pPr>
            <w:r>
              <w:rPr>
                <w:rFonts w:ascii="Arial" w:cs="Arial" w:eastAsia="Arial" w:hAnsi="Arial"/>
                <w:sz w:val="14"/>
                <w:szCs w:val="14"/>
                <w:color w:val="auto"/>
              </w:rPr>
              <w:t>Net earnings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1,640</w:t>
            </w:r>
          </w:p>
        </w:tc>
      </w:tr>
      <w:tr>
        <w:trPr>
          <w:trHeight w:val="207"/>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Annuity benefits</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Realized (gains) losses on investing activities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(1,111)</w:t>
            </w: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purchases of trading securities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Deferred annuity and life policy acquisition costs</w:t>
            </w:r>
          </w:p>
        </w:tc>
        <w:tc>
          <w:tcPr>
            <w:tcW w:w="8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Change in:</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8340" w:type="dxa"/>
            <w:vAlign w:val="bottom"/>
          </w:tcPr>
          <w:p>
            <w:pPr>
              <w:ind w:left="1120"/>
              <w:spacing w:after="0"/>
              <w:rPr>
                <w:sz w:val="20"/>
                <w:szCs w:val="20"/>
                <w:color w:val="auto"/>
              </w:rPr>
            </w:pPr>
            <w:r>
              <w:rPr>
                <w:rFonts w:ascii="Arial" w:cs="Arial" w:eastAsia="Arial" w:hAnsi="Arial"/>
                <w:sz w:val="14"/>
                <w:szCs w:val="14"/>
                <w:color w:val="auto"/>
              </w:rPr>
              <w:t>Reinsurance and other receivables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(987)</w:t>
            </w:r>
          </w:p>
        </w:tc>
      </w:tr>
      <w:tr>
        <w:trPr>
          <w:trHeight w:val="207"/>
        </w:trPr>
        <w:tc>
          <w:tcPr>
            <w:tcW w:w="83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assets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198"/>
        </w:trPr>
        <w:tc>
          <w:tcPr>
            <w:tcW w:w="8340" w:type="dxa"/>
            <w:vAlign w:val="bottom"/>
          </w:tcPr>
          <w:p>
            <w:pPr>
              <w:ind w:left="1120"/>
              <w:spacing w:after="0"/>
              <w:rPr>
                <w:sz w:val="20"/>
                <w:szCs w:val="20"/>
                <w:color w:val="auto"/>
              </w:rPr>
            </w:pPr>
            <w:r>
              <w:rPr>
                <w:rFonts w:ascii="Arial" w:cs="Arial" w:eastAsia="Arial" w:hAnsi="Arial"/>
                <w:sz w:val="14"/>
                <w:szCs w:val="14"/>
                <w:color w:val="auto"/>
              </w:rPr>
              <w:t>Insurance claims and reserves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1,204</w:t>
            </w:r>
          </w:p>
        </w:tc>
      </w:tr>
      <w:tr>
        <w:trPr>
          <w:trHeight w:val="207"/>
        </w:trPr>
        <w:tc>
          <w:tcPr>
            <w:tcW w:w="83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Payable to reinsurers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198"/>
        </w:trPr>
        <w:tc>
          <w:tcPr>
            <w:tcW w:w="8340" w:type="dxa"/>
            <w:vAlign w:val="bottom"/>
          </w:tcPr>
          <w:p>
            <w:pPr>
              <w:ind w:left="1120"/>
              <w:spacing w:after="0"/>
              <w:rPr>
                <w:sz w:val="20"/>
                <w:szCs w:val="20"/>
                <w:color w:val="auto"/>
              </w:rPr>
            </w:pPr>
            <w:r>
              <w:rPr>
                <w:rFonts w:ascii="Arial" w:cs="Arial" w:eastAsia="Arial" w:hAnsi="Arial"/>
                <w:sz w:val="14"/>
                <w:szCs w:val="14"/>
                <w:color w:val="auto"/>
              </w:rPr>
              <w:t>Other liabilities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7"/>
        </w:trPr>
        <w:tc>
          <w:tcPr>
            <w:tcW w:w="83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Managed investment entities’ assets/liabilities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198"/>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Other operating activities, net</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r>
      <w:tr>
        <w:trPr>
          <w:trHeight w:val="196"/>
        </w:trPr>
        <w:tc>
          <w:tcPr>
            <w:tcW w:w="834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w:t>
            </w:r>
          </w:p>
        </w:tc>
      </w:tr>
      <w:tr>
        <w:trPr>
          <w:trHeight w:val="146"/>
        </w:trPr>
        <w:tc>
          <w:tcPr>
            <w:tcW w:w="8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3"/>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8340" w:type="dxa"/>
            <w:vAlign w:val="bottom"/>
          </w:tcPr>
          <w:p>
            <w:pPr>
              <w:ind w:left="360"/>
              <w:spacing w:after="0"/>
              <w:rPr>
                <w:sz w:val="20"/>
                <w:szCs w:val="20"/>
                <w:color w:val="auto"/>
              </w:rPr>
            </w:pPr>
            <w:r>
              <w:rPr>
                <w:rFonts w:ascii="Arial" w:cs="Arial" w:eastAsia="Arial" w:hAnsi="Arial"/>
                <w:sz w:val="14"/>
                <w:szCs w:val="14"/>
                <w:color w:val="auto"/>
              </w:rPr>
              <w:t>Purchases of:</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Fixed maturities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(6,907)</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Equity securities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06"/>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Mortgage loans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Equity index options and other investments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(313)</w:t>
            </w: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Real estate, property and equipment</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Businesses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Maturities and redemptions of fixed maturities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4,075</w:t>
            </w: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Repayments of mortgage loans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Sales of fixed maturities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Sales of equity securities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Sales and settlements of equity index options and other investments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562</w:t>
            </w: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Sales of real estate, property and equipment</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Sales of businesses</w:t>
            </w:r>
          </w:p>
        </w:tc>
        <w:tc>
          <w:tcPr>
            <w:tcW w:w="8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3,547</w:t>
            </w:r>
          </w:p>
        </w:tc>
      </w:tr>
      <w:tr>
        <w:trPr>
          <w:trHeight w:val="207"/>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 of businesses sold</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r>
      <w:tr>
        <w:trPr>
          <w:trHeight w:val="198"/>
        </w:trPr>
        <w:tc>
          <w:tcPr>
            <w:tcW w:w="8340" w:type="dxa"/>
            <w:vAlign w:val="bottom"/>
          </w:tcPr>
          <w:p>
            <w:pPr>
              <w:ind w:left="360"/>
              <w:spacing w:after="0"/>
              <w:rPr>
                <w:sz w:val="20"/>
                <w:szCs w:val="20"/>
                <w:color w:val="auto"/>
              </w:rPr>
            </w:pPr>
            <w:r>
              <w:rPr>
                <w:rFonts w:ascii="Arial" w:cs="Arial" w:eastAsia="Arial" w:hAnsi="Arial"/>
                <w:sz w:val="14"/>
                <w:szCs w:val="14"/>
                <w:color w:val="auto"/>
              </w:rPr>
              <w:t>Managed investment entities:</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83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Purchases of investments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w:t>
            </w:r>
          </w:p>
        </w:tc>
      </w:tr>
      <w:tr>
        <w:trPr>
          <w:trHeight w:val="198"/>
        </w:trPr>
        <w:tc>
          <w:tcPr>
            <w:tcW w:w="8340" w:type="dxa"/>
            <w:vAlign w:val="bottom"/>
          </w:tcPr>
          <w:p>
            <w:pPr>
              <w:ind w:left="680"/>
              <w:spacing w:after="0"/>
              <w:rPr>
                <w:sz w:val="20"/>
                <w:szCs w:val="20"/>
                <w:color w:val="auto"/>
              </w:rPr>
            </w:pPr>
            <w:r>
              <w:rPr>
                <w:rFonts w:ascii="Arial" w:cs="Arial" w:eastAsia="Arial" w:hAnsi="Arial"/>
                <w:sz w:val="14"/>
                <w:szCs w:val="14"/>
                <w:color w:val="auto"/>
              </w:rPr>
              <w:t>Proceeds from sales and redemptions of investments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1,579</w:t>
            </w:r>
          </w:p>
        </w:tc>
      </w:tr>
      <w:tr>
        <w:trPr>
          <w:trHeight w:val="207"/>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investing activities, net</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2"/>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used in investing activities</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146"/>
        </w:trPr>
        <w:tc>
          <w:tcPr>
            <w:tcW w:w="8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02"/>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Reductions of long-term debt</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tcPr>
          <w:p>
            <w:pPr>
              <w:ind w:left="360"/>
              <w:spacing w:after="0"/>
              <w:rPr>
                <w:sz w:val="20"/>
                <w:szCs w:val="20"/>
                <w:color w:val="auto"/>
              </w:rPr>
            </w:pPr>
            <w:r>
              <w:rPr>
                <w:rFonts w:ascii="Arial" w:cs="Arial" w:eastAsia="Arial" w:hAnsi="Arial"/>
                <w:sz w:val="14"/>
                <w:szCs w:val="14"/>
                <w:color w:val="auto"/>
              </w:rPr>
              <w:t>Issuances of Common Stock</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6"/>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Repurchases of Common Stock</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9"/>
        </w:trPr>
        <w:tc>
          <w:tcPr>
            <w:tcW w:w="8340" w:type="dxa"/>
            <w:vAlign w:val="bottom"/>
          </w:tcPr>
          <w:p>
            <w:pPr>
              <w:ind w:left="360"/>
              <w:spacing w:after="0"/>
              <w:rPr>
                <w:sz w:val="20"/>
                <w:szCs w:val="20"/>
                <w:color w:val="auto"/>
              </w:rPr>
            </w:pPr>
            <w:r>
              <w:rPr>
                <w:rFonts w:ascii="Arial" w:cs="Arial" w:eastAsia="Arial" w:hAnsi="Arial"/>
                <w:sz w:val="14"/>
                <w:szCs w:val="14"/>
                <w:color w:val="auto"/>
              </w:rPr>
              <w:t>Cash dividends paid on Common Stock</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(1,482)</w:t>
            </w:r>
          </w:p>
        </w:tc>
      </w:tr>
      <w:tr>
        <w:trPr>
          <w:trHeight w:val="206"/>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Annuity receipts</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r>
      <w:tr>
        <w:trPr>
          <w:trHeight w:val="199"/>
        </w:trPr>
        <w:tc>
          <w:tcPr>
            <w:tcW w:w="8340" w:type="dxa"/>
            <w:vAlign w:val="bottom"/>
          </w:tcPr>
          <w:p>
            <w:pPr>
              <w:ind w:left="360"/>
              <w:spacing w:after="0"/>
              <w:rPr>
                <w:sz w:val="20"/>
                <w:szCs w:val="20"/>
                <w:color w:val="auto"/>
              </w:rPr>
            </w:pPr>
            <w:r>
              <w:rPr>
                <w:rFonts w:ascii="Arial" w:cs="Arial" w:eastAsia="Arial" w:hAnsi="Arial"/>
                <w:sz w:val="14"/>
                <w:szCs w:val="14"/>
                <w:color w:val="auto"/>
              </w:rPr>
              <w:t>Ceded annuity receipts</w:t>
            </w:r>
          </w:p>
        </w:tc>
        <w:tc>
          <w:tcPr>
            <w:tcW w:w="8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206"/>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Annuity surrenders, benefits and withdrawals</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r>
      <w:tr>
        <w:trPr>
          <w:trHeight w:val="198"/>
        </w:trPr>
        <w:tc>
          <w:tcPr>
            <w:tcW w:w="8340" w:type="dxa"/>
            <w:vAlign w:val="bottom"/>
          </w:tcPr>
          <w:p>
            <w:pPr>
              <w:ind w:left="360"/>
              <w:spacing w:after="0"/>
              <w:rPr>
                <w:sz w:val="20"/>
                <w:szCs w:val="20"/>
                <w:color w:val="auto"/>
              </w:rPr>
            </w:pPr>
            <w:r>
              <w:rPr>
                <w:rFonts w:ascii="Arial" w:cs="Arial" w:eastAsia="Arial" w:hAnsi="Arial"/>
                <w:sz w:val="14"/>
                <w:szCs w:val="14"/>
                <w:color w:val="auto"/>
              </w:rPr>
              <w:t>Ceded annuity surrenders, benefits and withdrawals</w:t>
            </w:r>
          </w:p>
        </w:tc>
        <w:tc>
          <w:tcPr>
            <w:tcW w:w="8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6"/>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transfers from variable annuity assets</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99"/>
        </w:trPr>
        <w:tc>
          <w:tcPr>
            <w:tcW w:w="8340" w:type="dxa"/>
            <w:vAlign w:val="bottom"/>
          </w:tcPr>
          <w:p>
            <w:pPr>
              <w:ind w:left="360"/>
              <w:spacing w:after="0"/>
              <w:rPr>
                <w:sz w:val="20"/>
                <w:szCs w:val="20"/>
                <w:color w:val="auto"/>
              </w:rPr>
            </w:pPr>
            <w:r>
              <w:rPr>
                <w:rFonts w:ascii="Arial" w:cs="Arial" w:eastAsia="Arial" w:hAnsi="Arial"/>
                <w:sz w:val="14"/>
                <w:szCs w:val="14"/>
                <w:color w:val="auto"/>
              </w:rPr>
              <w:t>Issuances of managed investment entities’ liabilities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1,665</w:t>
            </w:r>
          </w:p>
        </w:tc>
      </w:tr>
      <w:tr>
        <w:trPr>
          <w:trHeight w:val="206"/>
        </w:trPr>
        <w:tc>
          <w:tcPr>
            <w:tcW w:w="8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Retirements of managed investment entities’ liabilities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w:t>
            </w:r>
          </w:p>
        </w:tc>
      </w:tr>
      <w:tr>
        <w:trPr>
          <w:trHeight w:val="192"/>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used in financing activities</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w:t>
            </w:r>
          </w:p>
        </w:tc>
      </w:tr>
      <w:tr>
        <w:trPr>
          <w:trHeight w:val="200"/>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w:t>
            </w:r>
          </w:p>
        </w:tc>
      </w:tr>
      <w:tr>
        <w:trPr>
          <w:trHeight w:val="22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40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4840" w:type="dxa"/>
            <w:vAlign w:val="bottom"/>
            <w:gridSpan w:val="2"/>
          </w:tcPr>
          <w:p>
            <w:pPr>
              <w:ind w:left="42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00" w:type="dxa"/>
            <w:vAlign w:val="bottom"/>
          </w:tcPr>
          <w:p>
            <w:pPr>
              <w:spacing w:after="0"/>
              <w:rPr>
                <w:sz w:val="20"/>
                <w:szCs w:val="20"/>
                <w:color w:val="auto"/>
              </w:rPr>
            </w:pPr>
            <w:r>
              <w:rPr>
                <w:rFonts w:ascii="Arial" w:cs="Arial" w:eastAsia="Arial" w:hAnsi="Arial"/>
                <w:sz w:val="20"/>
                <w:szCs w:val="20"/>
                <w:b w:val="1"/>
                <w:bCs w:val="1"/>
                <w:color w:val="003366"/>
              </w:rPr>
              <w:t>A.</w:t>
            </w:r>
          </w:p>
        </w:tc>
        <w:tc>
          <w:tcPr>
            <w:tcW w:w="396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1720" w:type="dxa"/>
            <w:vAlign w:val="bottom"/>
          </w:tcPr>
          <w:p>
            <w:pPr>
              <w:ind w:left="1300"/>
              <w:spacing w:after="0"/>
              <w:rPr>
                <w:sz w:val="20"/>
                <w:szCs w:val="20"/>
                <w:color w:val="auto"/>
              </w:rPr>
            </w:pPr>
            <w:r>
              <w:rPr>
                <w:rFonts w:ascii="Arial" w:cs="Arial" w:eastAsia="Arial" w:hAnsi="Arial"/>
                <w:sz w:val="20"/>
                <w:szCs w:val="20"/>
                <w:b w:val="1"/>
                <w:bCs w:val="1"/>
                <w:color w:val="003366"/>
              </w:rPr>
              <w:t>H.</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w w:val="98"/>
              </w:rPr>
              <w:t>Goodwill and Other Intangibles</w:t>
            </w:r>
          </w:p>
        </w:tc>
      </w:tr>
      <w:tr>
        <w:trPr>
          <w:trHeight w:val="321"/>
        </w:trPr>
        <w:tc>
          <w:tcPr>
            <w:tcW w:w="400" w:type="dxa"/>
            <w:vAlign w:val="bottom"/>
          </w:tcPr>
          <w:p>
            <w:pPr>
              <w:spacing w:after="0"/>
              <w:rPr>
                <w:sz w:val="20"/>
                <w:szCs w:val="20"/>
                <w:color w:val="auto"/>
              </w:rPr>
            </w:pPr>
            <w:r>
              <w:rPr>
                <w:rFonts w:ascii="Arial" w:cs="Arial" w:eastAsia="Arial" w:hAnsi="Arial"/>
                <w:sz w:val="20"/>
                <w:szCs w:val="20"/>
                <w:b w:val="1"/>
                <w:bCs w:val="1"/>
                <w:color w:val="003366"/>
              </w:rPr>
              <w:t>B.</w:t>
            </w:r>
          </w:p>
        </w:tc>
        <w:tc>
          <w:tcPr>
            <w:tcW w:w="3960" w:type="dxa"/>
            <w:vAlign w:val="bottom"/>
          </w:tcPr>
          <w:p>
            <w:pPr>
              <w:ind w:left="200"/>
              <w:spacing w:after="0"/>
              <w:rPr>
                <w:sz w:val="20"/>
                <w:szCs w:val="20"/>
                <w:color w:val="auto"/>
              </w:rPr>
            </w:pPr>
            <w:r>
              <w:rPr>
                <w:rFonts w:ascii="Arial" w:cs="Arial" w:eastAsia="Arial" w:hAnsi="Arial"/>
                <w:sz w:val="20"/>
                <w:szCs w:val="20"/>
                <w:b w:val="1"/>
                <w:bCs w:val="1"/>
                <w:color w:val="003366"/>
              </w:rPr>
              <w:t>Discontinued Operations</w:t>
            </w:r>
          </w:p>
        </w:tc>
        <w:tc>
          <w:tcPr>
            <w:tcW w:w="1720" w:type="dxa"/>
            <w:vAlign w:val="bottom"/>
          </w:tcPr>
          <w:p>
            <w:pPr>
              <w:ind w:left="1300"/>
              <w:spacing w:after="0"/>
              <w:rPr>
                <w:sz w:val="20"/>
                <w:szCs w:val="20"/>
                <w:color w:val="auto"/>
              </w:rPr>
            </w:pPr>
            <w:r>
              <w:rPr>
                <w:rFonts w:ascii="Arial" w:cs="Arial" w:eastAsia="Arial" w:hAnsi="Arial"/>
                <w:sz w:val="20"/>
                <w:szCs w:val="20"/>
                <w:b w:val="1"/>
                <w:bCs w:val="1"/>
                <w:color w:val="003366"/>
              </w:rPr>
              <w:t>I.</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73"/>
        </w:trPr>
        <w:tc>
          <w:tcPr>
            <w:tcW w:w="400" w:type="dxa"/>
            <w:vAlign w:val="bottom"/>
          </w:tcPr>
          <w:p>
            <w:pPr>
              <w:spacing w:after="0"/>
              <w:rPr>
                <w:sz w:val="20"/>
                <w:szCs w:val="20"/>
                <w:color w:val="auto"/>
              </w:rPr>
            </w:pPr>
            <w:r>
              <w:rPr>
                <w:rFonts w:ascii="Arial" w:cs="Arial" w:eastAsia="Arial" w:hAnsi="Arial"/>
                <w:sz w:val="20"/>
                <w:szCs w:val="20"/>
                <w:b w:val="1"/>
                <w:bCs w:val="1"/>
                <w:color w:val="003366"/>
              </w:rPr>
              <w:t>C.</w:t>
            </w:r>
          </w:p>
        </w:tc>
        <w:tc>
          <w:tcPr>
            <w:tcW w:w="3960" w:type="dxa"/>
            <w:vAlign w:val="bottom"/>
          </w:tcPr>
          <w:p>
            <w:pPr>
              <w:ind w:left="200"/>
              <w:spacing w:after="0"/>
              <w:rPr>
                <w:sz w:val="20"/>
                <w:szCs w:val="20"/>
                <w:color w:val="auto"/>
              </w:rPr>
            </w:pPr>
            <w:r>
              <w:rPr>
                <w:rFonts w:ascii="Arial" w:cs="Arial" w:eastAsia="Arial" w:hAnsi="Arial"/>
                <w:sz w:val="20"/>
                <w:szCs w:val="20"/>
                <w:b w:val="1"/>
                <w:bCs w:val="1"/>
                <w:color w:val="003366"/>
              </w:rPr>
              <w:t>Acquisition and Sale of Businesses</w:t>
            </w:r>
          </w:p>
        </w:tc>
        <w:tc>
          <w:tcPr>
            <w:tcW w:w="1720" w:type="dxa"/>
            <w:vAlign w:val="bottom"/>
          </w:tcPr>
          <w:p>
            <w:pPr>
              <w:ind w:left="1300"/>
              <w:spacing w:after="0"/>
              <w:rPr>
                <w:sz w:val="20"/>
                <w:szCs w:val="20"/>
                <w:color w:val="auto"/>
              </w:rPr>
            </w:pPr>
            <w:r>
              <w:rPr>
                <w:rFonts w:ascii="Arial" w:cs="Arial" w:eastAsia="Arial" w:hAnsi="Arial"/>
                <w:sz w:val="20"/>
                <w:szCs w:val="20"/>
                <w:b w:val="1"/>
                <w:bCs w:val="1"/>
                <w:color w:val="003366"/>
              </w:rPr>
              <w:t>J.</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Shareholders’ Equity</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D.</w:t>
            </w:r>
          </w:p>
        </w:tc>
        <w:tc>
          <w:tcPr>
            <w:tcW w:w="396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1720" w:type="dxa"/>
            <w:vAlign w:val="bottom"/>
          </w:tcPr>
          <w:p>
            <w:pPr>
              <w:ind w:left="1300"/>
              <w:spacing w:after="0"/>
              <w:rPr>
                <w:sz w:val="20"/>
                <w:szCs w:val="20"/>
                <w:color w:val="auto"/>
              </w:rPr>
            </w:pPr>
            <w:r>
              <w:rPr>
                <w:rFonts w:ascii="Arial" w:cs="Arial" w:eastAsia="Arial" w:hAnsi="Arial"/>
                <w:sz w:val="20"/>
                <w:szCs w:val="20"/>
                <w:b w:val="1"/>
                <w:bCs w:val="1"/>
                <w:color w:val="003366"/>
              </w:rPr>
              <w:t>K.</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E.</w:t>
            </w:r>
          </w:p>
        </w:tc>
        <w:tc>
          <w:tcPr>
            <w:tcW w:w="396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1720" w:type="dxa"/>
            <w:vAlign w:val="bottom"/>
          </w:tcPr>
          <w:p>
            <w:pPr>
              <w:ind w:left="1300"/>
              <w:spacing w:after="0"/>
              <w:rPr>
                <w:sz w:val="20"/>
                <w:szCs w:val="20"/>
                <w:color w:val="auto"/>
              </w:rPr>
            </w:pPr>
            <w:r>
              <w:rPr>
                <w:rFonts w:ascii="Arial" w:cs="Arial" w:eastAsia="Arial" w:hAnsi="Arial"/>
                <w:sz w:val="20"/>
                <w:szCs w:val="20"/>
                <w:b w:val="1"/>
                <w:bCs w:val="1"/>
                <w:color w:val="003366"/>
              </w:rPr>
              <w:t>L.</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F.</w:t>
            </w:r>
          </w:p>
        </w:tc>
        <w:tc>
          <w:tcPr>
            <w:tcW w:w="396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1720" w:type="dxa"/>
            <w:vAlign w:val="bottom"/>
          </w:tcPr>
          <w:p>
            <w:pPr>
              <w:ind w:left="1300"/>
              <w:spacing w:after="0"/>
              <w:rPr>
                <w:sz w:val="20"/>
                <w:szCs w:val="20"/>
                <w:color w:val="auto"/>
              </w:rPr>
            </w:pPr>
            <w:r>
              <w:rPr>
                <w:rFonts w:ascii="Arial" w:cs="Arial" w:eastAsia="Arial" w:hAnsi="Arial"/>
                <w:sz w:val="20"/>
                <w:szCs w:val="20"/>
                <w:b w:val="1"/>
                <w:bCs w:val="1"/>
                <w:color w:val="003366"/>
              </w:rPr>
              <w:t>M.</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bl>
    <w:p>
      <w:pPr>
        <w:spacing w:after="0" w:line="24" w:lineRule="exact"/>
        <w:rPr>
          <w:sz w:val="20"/>
          <w:szCs w:val="20"/>
          <w:color w:val="auto"/>
        </w:rPr>
      </w:pPr>
    </w:p>
    <w:p>
      <w:pPr>
        <w:ind w:left="620" w:hanging="594"/>
        <w:spacing w:after="0"/>
        <w:tabs>
          <w:tab w:leader="none" w:pos="620" w:val="left"/>
        </w:tabs>
        <w:numPr>
          <w:ilvl w:val="0"/>
          <w:numId w:val="3"/>
        </w:numPr>
        <w:rPr>
          <w:rFonts w:ascii="Arial" w:cs="Arial" w:eastAsia="Arial" w:hAnsi="Arial"/>
          <w:sz w:val="20"/>
          <w:szCs w:val="20"/>
          <w:b w:val="1"/>
          <w:bCs w:val="1"/>
          <w:color w:val="003366"/>
        </w:rPr>
      </w:pPr>
      <w:r>
        <w:rPr>
          <w:rFonts w:ascii="Arial" w:cs="Arial" w:eastAsia="Arial" w:hAnsi="Arial"/>
          <w:sz w:val="20"/>
          <w:szCs w:val="20"/>
          <w:b w:val="1"/>
          <w:bCs w:val="1"/>
          <w:color w:val="003366"/>
        </w:rPr>
        <w:t>Managed Investment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00" w:hanging="592"/>
        <w:spacing w:after="0"/>
        <w:tabs>
          <w:tab w:leader="none" w:pos="600" w:val="left"/>
        </w:tabs>
        <w:numPr>
          <w:ilvl w:val="0"/>
          <w:numId w:val="4"/>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w:t>
      </w:r>
      <w:r>
        <w:rPr>
          <w:rFonts w:ascii="Arial" w:cs="Arial" w:eastAsia="Arial" w:hAnsi="Arial"/>
          <w:sz w:val="20"/>
          <w:szCs w:val="20"/>
          <w:b w:val="1"/>
          <w:bCs w:val="1"/>
          <w:color w:val="003366"/>
        </w:rPr>
        <w:t xml:space="preserve"> </w:t>
      </w:r>
      <w:r>
        <w:rPr>
          <w:rFonts w:ascii="Arial" w:cs="Arial" w:eastAsia="Arial" w:hAnsi="Arial"/>
          <w:sz w:val="17"/>
          <w:szCs w:val="17"/>
          <w:color w:val="000000"/>
        </w:rPr>
        <w:t>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19"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September 30, 2022, and prior to the filing of this Form 10-Q, have been evaluated for potential recognition or disclosure herein.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stated, the information in the Notes to the Consolidated Financial Statements relates to AFG’s continuing operations.</w:t>
      </w:r>
    </w:p>
    <w:p>
      <w:pPr>
        <w:spacing w:after="0" w:line="264" w:lineRule="exact"/>
        <w:rPr>
          <w:sz w:val="20"/>
          <w:szCs w:val="20"/>
          <w:color w:val="auto"/>
        </w:rPr>
      </w:pPr>
    </w:p>
    <w:p>
      <w:pPr>
        <w:jc w:val="both"/>
        <w:ind w:right="500"/>
        <w:spacing w:after="0" w:line="284"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84"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003366"/>
        </w:rPr>
        <w:t xml:space="preserve">Discontinued Operations </w:t>
      </w:r>
      <w:r>
        <w:rPr>
          <w:rFonts w:ascii="Arial" w:cs="Arial" w:eastAsia="Arial" w:hAnsi="Arial"/>
          <w:sz w:val="17"/>
          <w:szCs w:val="17"/>
          <w:color w:val="000000"/>
        </w:rPr>
        <w:t>Disposals of components of an entity that represent a strategic shift and that have a major effect on a reporting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entity’s operations and financial results are reported as discontinued operations.</w:t>
      </w:r>
    </w:p>
    <w:p>
      <w:pPr>
        <w:spacing w:after="0" w:line="211"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AFG did not have any material nonrecurring fair value measurements in the first nine months of 2022.</w:t>
      </w:r>
    </w:p>
    <w:p>
      <w:pPr>
        <w:spacing w:after="0" w:line="215"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Equity securities other than those accounted for under the equity method are reported at fair value with holding gains and losses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generally recorded in realized gains (losses) on securities. However, AFG records holding gains and losses on its portfolio of limited partnerships and similar investments, which do not qualify for equity method accounting and are carried at fair value, and certain other securities classified at purchase as “fair value through net investment income” in net investment income.</w:t>
      </w:r>
    </w:p>
    <w:p>
      <w:pPr>
        <w:spacing w:after="0" w:line="216"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Fixed maturity securities classified as “available for sale” are reported at fair value with unrealized gains and losses included in 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Premiums and discounts on fixed maturity securities are amortized using the effective interest method. Mortgage-backed securities (“MBS”) are amortized over a period based on estimated future principal payments, including prepayments. Prepayment assumptions are reviewed periodically and adjusted to reflect actual prepayments and changes in expectations.</w:t>
      </w:r>
    </w:p>
    <w:p>
      <w:pPr>
        <w:spacing w:after="0" w:line="21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When a decline in the value of an available for sale fixed maturity is considered to be 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(net of allowance),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(net of allowance) of that security to fair value.</w:t>
      </w:r>
    </w:p>
    <w:p>
      <w:pPr>
        <w:spacing w:after="0" w:line="229"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5"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w:t>
      </w:r>
    </w:p>
    <w:p>
      <w:pPr>
        <w:spacing w:after="0" w:line="21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28"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16"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0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0" w:lineRule="exact"/>
        <w:rPr>
          <w:sz w:val="20"/>
          <w:szCs w:val="20"/>
          <w:color w:val="auto"/>
        </w:rPr>
      </w:pPr>
    </w:p>
    <w:p>
      <w:pPr>
        <w:ind w:right="540"/>
        <w:spacing w:after="0" w:line="260"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219"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At September 30, 2022, assets and liabilities of managed investment entities included $117 million in assets and $105 million in liabilities of temporary warehousing entities that were established to provide AFG the ability to form new CLOs when management believes market conditions are favorable. At closing, all warehoused assets will be transferred to the new CLOs and the liabilities will be repaid.</w:t>
      </w:r>
    </w:p>
    <w:p>
      <w:pPr>
        <w:spacing w:after="0" w:line="19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net liabilities stated for unpaid claims and for expenses of investigation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adjustment 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 (iii) 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18"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ind w:right="320"/>
        <w:spacing w:after="0" w:line="249"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facilities are included in other assets in AFG’s Balance Sheet.</w:t>
      </w:r>
    </w:p>
    <w:p>
      <w:pPr>
        <w:spacing w:after="0" w:line="211"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13"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At September 30, 2022 AFG has a $118 million lease liability included in other liabilities and a lease right-of-use asset of $104 million included in other assets compared to $136 million and $118 million, respectively, at December 31, 2021.</w:t>
      </w:r>
    </w:p>
    <w:p>
      <w:pPr>
        <w:spacing w:after="0" w:line="184"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16"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70"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3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184" w:lineRule="exact"/>
        <w:rPr>
          <w:sz w:val="20"/>
          <w:szCs w:val="20"/>
          <w:color w:val="auto"/>
        </w:rPr>
      </w:pPr>
    </w:p>
    <w:p>
      <w:pPr>
        <w:jc w:val="both"/>
        <w:ind w:right="400"/>
        <w:spacing w:after="0" w:line="248"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 of</w:t>
      </w:r>
      <w:r>
        <w:rPr>
          <w:rFonts w:ascii="Arial" w:cs="Arial" w:eastAsia="Arial" w:hAnsi="Arial"/>
          <w:sz w:val="20"/>
          <w:szCs w:val="20"/>
          <w:b w:val="1"/>
          <w:bCs w:val="1"/>
          <w:color w:val="003366"/>
        </w:rPr>
        <w:t xml:space="preserve"> </w:t>
      </w:r>
      <w:r>
        <w:rPr>
          <w:rFonts w:ascii="Arial" w:cs="Arial" w:eastAsia="Arial" w:hAnsi="Arial"/>
          <w:sz w:val="17"/>
          <w:szCs w:val="17"/>
          <w:color w:val="000000"/>
        </w:rPr>
        <w:t>diluted earnings per share includes the following adjustments to weighted average common shares related to stock-based compensation plans: third quarter of 2022 and 2021 — 0.2 million and 0.4 million; first nine months of 2022 and 2021 — 0.2 million and 0.6 million.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third quarter or the first nine months of 2022 and 2021.</w:t>
      </w:r>
    </w:p>
    <w:p>
      <w:pPr>
        <w:spacing w:after="0" w:line="262"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9"/>
          <w:szCs w:val="29"/>
          <w:b w:val="1"/>
          <w:bCs w:val="1"/>
          <w:color w:val="003366"/>
        </w:rPr>
      </w:pPr>
      <w:r>
        <w:rPr>
          <w:rFonts w:ascii="Arial" w:cs="Arial" w:eastAsia="Arial" w:hAnsi="Arial"/>
          <w:sz w:val="29"/>
          <w:szCs w:val="29"/>
          <w:b w:val="1"/>
          <w:bCs w:val="1"/>
          <w:color w:val="003366"/>
        </w:rPr>
        <w:t>Discontinued Operations</w:t>
      </w:r>
    </w:p>
    <w:p>
      <w:pPr>
        <w:spacing w:after="0" w:line="271"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b w:val="1"/>
          <w:bCs w:val="1"/>
          <w:color w:val="003366"/>
        </w:rPr>
        <w:t xml:space="preserve">Annuity Business </w:t>
      </w:r>
      <w:r>
        <w:rPr>
          <w:rFonts w:ascii="Arial" w:cs="Arial" w:eastAsia="Arial" w:hAnsi="Arial"/>
          <w:sz w:val="17"/>
          <w:szCs w:val="17"/>
          <w:color w:val="000000"/>
        </w:rPr>
        <w:t>Effective May 31, 2021, AFG completed the sale of its Annuity business to Massachusetts Mutual Life Insurance Company</w:t>
      </w:r>
      <w:r>
        <w:rPr>
          <w:rFonts w:ascii="Arial" w:cs="Arial" w:eastAsia="Arial" w:hAnsi="Arial"/>
          <w:sz w:val="20"/>
          <w:szCs w:val="20"/>
          <w:b w:val="1"/>
          <w:bCs w:val="1"/>
          <w:color w:val="003366"/>
        </w:rPr>
        <w:t xml:space="preserve"> </w:t>
      </w:r>
      <w:r>
        <w:rPr>
          <w:rFonts w:ascii="Arial" w:cs="Arial" w:eastAsia="Arial" w:hAnsi="Arial"/>
          <w:sz w:val="17"/>
          <w:szCs w:val="17"/>
          <w:color w:val="000000"/>
        </w:rPr>
        <w:t>(“MassMutual”). MassMutual acquired Great American Life Insurance Company and its two insurance subsidiaries, Annuity Investors Life Insurance Company and Manhattan National Life Insurance Company. In addition to AFG’s annuity operations, these subsidiaries included AFG’s run-off life and long-term care operations. Proceeds from the sale were $3.57 billion (including $34 million in post-closing adjustments) and AFG realized a $656 million net gain on the sale in the first nine months of 2021.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assets and liabilities of the Annuity subsidiaries sold were as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May 31, 2021</w:t>
            </w:r>
          </w:p>
        </w:tc>
      </w:tr>
      <w:tr>
        <w:trPr>
          <w:trHeight w:val="200"/>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of businesses sold:</w:t>
            </w: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5"/>
        </w:trPr>
        <w:tc>
          <w:tcPr>
            <w:tcW w:w="92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2,060</w:t>
            </w:r>
          </w:p>
        </w:tc>
      </w:tr>
      <w:tr>
        <w:trPr>
          <w:trHeight w:val="217"/>
        </w:trPr>
        <w:tc>
          <w:tcPr>
            <w:tcW w:w="9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38,323</w:t>
            </w:r>
          </w:p>
        </w:tc>
      </w:tr>
      <w:tr>
        <w:trPr>
          <w:trHeight w:val="215"/>
        </w:trPr>
        <w:tc>
          <w:tcPr>
            <w:tcW w:w="9200" w:type="dxa"/>
            <w:vAlign w:val="bottom"/>
          </w:tcPr>
          <w:p>
            <w:pPr>
              <w:ind w:left="240"/>
              <w:spacing w:after="0"/>
              <w:rPr>
                <w:sz w:val="20"/>
                <w:szCs w:val="20"/>
                <w:color w:val="auto"/>
              </w:rPr>
            </w:pPr>
            <w:r>
              <w:rPr>
                <w:rFonts w:ascii="Arial" w:cs="Arial" w:eastAsia="Arial" w:hAnsi="Arial"/>
                <w:sz w:val="16"/>
                <w:szCs w:val="16"/>
                <w:color w:val="auto"/>
              </w:rPr>
              <w:t>Recoverables from reinsurers</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6,748</w:t>
            </w:r>
          </w:p>
        </w:tc>
      </w:tr>
      <w:tr>
        <w:trPr>
          <w:trHeight w:val="217"/>
        </w:trPr>
        <w:tc>
          <w:tcPr>
            <w:tcW w:w="9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0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 of discontinued annuity operations</w:t>
            </w: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49,283</w:t>
            </w:r>
          </w:p>
        </w:tc>
      </w:tr>
      <w:tr>
        <w:trPr>
          <w:trHeight w:val="197"/>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of businesses sold:</w:t>
            </w: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5"/>
        </w:trPr>
        <w:tc>
          <w:tcPr>
            <w:tcW w:w="9200" w:type="dxa"/>
            <w:vAlign w:val="bottom"/>
          </w:tcPr>
          <w:p>
            <w:pPr>
              <w:ind w:left="240"/>
              <w:spacing w:after="0"/>
              <w:rPr>
                <w:sz w:val="20"/>
                <w:szCs w:val="20"/>
                <w:color w:val="auto"/>
              </w:rPr>
            </w:pPr>
            <w:r>
              <w:rPr>
                <w:rFonts w:ascii="Arial" w:cs="Arial" w:eastAsia="Arial" w:hAnsi="Arial"/>
                <w:sz w:val="16"/>
                <w:szCs w:val="16"/>
                <w:color w:val="auto"/>
              </w:rPr>
              <w:t>Annuity benefits accumulated</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43,690</w:t>
            </w:r>
          </w:p>
        </w:tc>
      </w:tr>
      <w:tr>
        <w:trPr>
          <w:trHeight w:val="217"/>
        </w:trPr>
        <w:tc>
          <w:tcPr>
            <w:tcW w:w="9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w:t>
            </w:r>
          </w:p>
        </w:tc>
      </w:tr>
      <w:tr>
        <w:trPr>
          <w:trHeight w:val="209"/>
        </w:trPr>
        <w:tc>
          <w:tcPr>
            <w:tcW w:w="9200" w:type="dxa"/>
            <w:vAlign w:val="bottom"/>
          </w:tcPr>
          <w:p>
            <w:pPr>
              <w:ind w:left="20"/>
              <w:spacing w:after="0"/>
              <w:rPr>
                <w:sz w:val="20"/>
                <w:szCs w:val="20"/>
                <w:color w:val="auto"/>
              </w:rPr>
            </w:pPr>
            <w:r>
              <w:rPr>
                <w:rFonts w:ascii="Arial" w:cs="Arial" w:eastAsia="Arial" w:hAnsi="Arial"/>
                <w:sz w:val="16"/>
                <w:szCs w:val="16"/>
                <w:color w:val="auto"/>
              </w:rPr>
              <w:t>Total liabilities of discontinued annuity operations</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45,503</w:t>
            </w:r>
          </w:p>
        </w:tc>
      </w:t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Reclassify AOCI</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r>
      <w:tr>
        <w:trPr>
          <w:trHeight w:val="210"/>
        </w:trPr>
        <w:tc>
          <w:tcPr>
            <w:tcW w:w="9200" w:type="dxa"/>
            <w:vAlign w:val="bottom"/>
          </w:tcPr>
          <w:p>
            <w:pPr>
              <w:ind w:left="20"/>
              <w:spacing w:after="0"/>
              <w:rPr>
                <w:sz w:val="20"/>
                <w:szCs w:val="20"/>
                <w:color w:val="auto"/>
              </w:rPr>
            </w:pPr>
            <w:r>
              <w:rPr>
                <w:rFonts w:ascii="Arial" w:cs="Arial" w:eastAsia="Arial" w:hAnsi="Arial"/>
                <w:sz w:val="16"/>
                <w:szCs w:val="16"/>
                <w:color w:val="auto"/>
              </w:rPr>
              <w:t>Net investment in annuity businesses sold, excluding AOCI</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w:t>
            </w:r>
          </w:p>
        </w:tc>
      </w:tr>
      <w:tr>
        <w:trPr>
          <w:trHeight w:val="20"/>
        </w:trPr>
        <w:tc>
          <w:tcPr>
            <w:tcW w:w="9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results of operations for the discontinued annuity operations were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Nine months ended September</w:t>
            </w:r>
          </w:p>
        </w:tc>
      </w:tr>
      <w:tr>
        <w:trPr>
          <w:trHeight w:val="189"/>
        </w:trPr>
        <w:tc>
          <w:tcPr>
            <w:tcW w:w="9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30, 2021 (*)</w:t>
            </w:r>
          </w:p>
        </w:tc>
      </w:tr>
      <w:tr>
        <w:trPr>
          <w:trHeight w:val="210"/>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Realized gains on securities</w:t>
            </w: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9200" w:type="dxa"/>
            <w:vAlign w:val="bottom"/>
          </w:tcPr>
          <w:p>
            <w:pPr>
              <w:ind w:left="240"/>
              <w:spacing w:after="0"/>
              <w:rPr>
                <w:sz w:val="20"/>
                <w:szCs w:val="20"/>
                <w:color w:val="auto"/>
              </w:rPr>
            </w:pPr>
            <w:r>
              <w:rPr>
                <w:rFonts w:ascii="Arial" w:cs="Arial" w:eastAsia="Arial" w:hAnsi="Arial"/>
                <w:sz w:val="16"/>
                <w:szCs w:val="16"/>
                <w:color w:val="auto"/>
              </w:rPr>
              <w:t>Total revenues</w:t>
            </w: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17"/>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Annuity benefits</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Annuity and supplemental insurance acquisition expenses</w:t>
            </w: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7"/>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3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9"/>
        </w:trPr>
        <w:tc>
          <w:tcPr>
            <w:tcW w:w="92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costs and expenses</w:t>
            </w: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r>
      <w:tr>
        <w:trPr>
          <w:trHeight w:val="210"/>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 from discontinued operations</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15"/>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 on discontinued operations</w:t>
            </w: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from operations, net of tax</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 net of tax</w:t>
            </w: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r>
      <w:tr>
        <w:trPr>
          <w:trHeight w:val="235"/>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discontinued operations</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w:t>
        <w:tab/>
        <w:t>Results through the May 31, 2021 effective date of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200" w:type="dxa"/>
            <w:vAlign w:val="bottom"/>
          </w:tcPr>
          <w:p>
            <w:pPr>
              <w:jc w:val="center"/>
              <w:ind w:left="1974"/>
              <w:spacing w:after="0"/>
              <w:rPr>
                <w:sz w:val="20"/>
                <w:szCs w:val="20"/>
                <w:color w:val="auto"/>
              </w:rPr>
            </w:pPr>
            <w:r>
              <w:rPr>
                <w:rFonts w:ascii="Arial" w:cs="Arial" w:eastAsia="Arial" w:hAnsi="Arial"/>
                <w:sz w:val="20"/>
                <w:szCs w:val="20"/>
                <w:b w:val="1"/>
                <w:bCs w:val="1"/>
                <w:color w:val="003366"/>
                <w:w w:val="98"/>
              </w:rPr>
              <w:t>AMERICAN FINANCIAL GROUP, INC. 10-Q</w:t>
            </w:r>
          </w:p>
        </w:tc>
        <w:tc>
          <w:tcPr>
            <w:tcW w:w="3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5"/>
        </w:trPr>
        <w:tc>
          <w:tcPr>
            <w:tcW w:w="9200" w:type="dxa"/>
            <w:vAlign w:val="bottom"/>
          </w:tcPr>
          <w:p>
            <w:pPr>
              <w:jc w:val="center"/>
              <w:ind w:left="1954"/>
              <w:spacing w:after="0"/>
              <w:rPr>
                <w:sz w:val="20"/>
                <w:szCs w:val="20"/>
                <w:color w:val="auto"/>
              </w:rPr>
            </w:pPr>
            <w:r>
              <w:rPr>
                <w:rFonts w:ascii="Arial" w:cs="Arial" w:eastAsia="Arial" w:hAnsi="Arial"/>
                <w:sz w:val="18"/>
                <w:szCs w:val="18"/>
                <w:b w:val="1"/>
                <w:bCs w:val="1"/>
                <w:color w:val="003366"/>
                <w:w w:val="99"/>
              </w:rPr>
              <w:t>NOTES TO CONSOLIDATED FINANCIAL STATEMENTS — CONTINUED</w:t>
            </w: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677"/>
        </w:trPr>
        <w:tc>
          <w:tcPr>
            <w:tcW w:w="9200" w:type="dxa"/>
            <w:vAlign w:val="bottom"/>
          </w:tcPr>
          <w:p>
            <w:pPr>
              <w:spacing w:after="0"/>
              <w:rPr>
                <w:sz w:val="20"/>
                <w:szCs w:val="20"/>
                <w:color w:val="auto"/>
              </w:rPr>
            </w:pPr>
            <w:r>
              <w:rPr>
                <w:rFonts w:ascii="Arial" w:cs="Arial" w:eastAsia="Arial" w:hAnsi="Arial"/>
                <w:sz w:val="17"/>
                <w:szCs w:val="17"/>
                <w:color w:val="auto"/>
              </w:rPr>
              <w:t>The impact of the sale of the annuity business is shown below (in millions):</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9"/>
        </w:trPr>
        <w:tc>
          <w:tcPr>
            <w:tcW w:w="9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May 31, 2021</w:t>
            </w:r>
          </w:p>
        </w:tc>
      </w:tr>
      <w:tr>
        <w:trPr>
          <w:trHeight w:val="213"/>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proceeds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3,571</w:t>
            </w:r>
          </w:p>
        </w:tc>
      </w:tr>
      <w:tr>
        <w:trPr>
          <w:trHeight w:val="215"/>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 related expenses</w:t>
            </w: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9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net proceeds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3,563</w:t>
            </w: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investment in annuity businesses sold, excluding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Reclassify net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Pretax gain on sale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expense: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Reclassify net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Tax liabilities triggered by the sale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gain on sale</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Summarized cash flows for the discontinued annuity operations were (in millions):</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2,867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(199)</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895</w:t>
      </w:r>
    </w:p>
    <w:p>
      <w:pPr>
        <w:spacing w:after="0" w:line="24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199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41</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20955</wp:posOffset>
            </wp:positionV>
            <wp:extent cx="12941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239</w:t>
      </w:r>
    </w:p>
    <w:p>
      <w:pPr>
        <w:spacing w:after="0" w:line="46"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294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Nine months ended September</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30, 2021</w:t>
      </w:r>
    </w:p>
    <w:p>
      <w:pPr>
        <w:spacing w:after="0" w:line="10" w:lineRule="exact"/>
        <w:rPr>
          <w:sz w:val="20"/>
          <w:szCs w:val="20"/>
          <w:color w:val="auto"/>
        </w:rPr>
      </w:pPr>
    </w:p>
    <w:p>
      <w:pPr>
        <w:sectPr>
          <w:pgSz w:w="11900" w:h="16838" w:orient="portrait"/>
          <w:cols w:equalWidth="0" w:num="2">
            <w:col w:w="8500" w:space="720"/>
            <w:col w:w="2020"/>
          </w:cols>
          <w:pgMar w:left="320" w:top="116"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9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(1,709)</w:t>
            </w:r>
          </w:p>
        </w:tc>
      </w:tr>
      <w:tr>
        <w:trPr>
          <w:trHeight w:val="217"/>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bl>
    <w:p>
      <w:pPr>
        <w:spacing w:after="0" w:line="314"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The vast majority of AFG’s derivatives that do not qualify for hedge accounting were held by the sold annuity subsidiaries.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following table summarizes the gains (losses) included in net earnings from discontinued operations for changes in the fair value of derivatives that do not qualify for hedge accounting for the first nine months of 2021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2"/>
            <w:vMerge w:val="restart"/>
          </w:tcPr>
          <w:p>
            <w:pPr>
              <w:ind w:left="20"/>
              <w:spacing w:after="0"/>
              <w:rPr>
                <w:sz w:val="20"/>
                <w:szCs w:val="20"/>
                <w:color w:val="auto"/>
              </w:rPr>
            </w:pPr>
            <w:r>
              <w:rPr>
                <w:rFonts w:ascii="Arial" w:cs="Arial" w:eastAsia="Arial" w:hAnsi="Arial"/>
                <w:sz w:val="15"/>
                <w:szCs w:val="15"/>
                <w:color w:val="auto"/>
              </w:rPr>
              <w:t>Derivative</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Nine months ended September</w:t>
            </w:r>
          </w:p>
        </w:tc>
        <w:tc>
          <w:tcPr>
            <w:tcW w:w="0" w:type="dxa"/>
            <w:vAlign w:val="bottom"/>
          </w:tcPr>
          <w:p>
            <w:pPr>
              <w:spacing w:after="0"/>
              <w:rPr>
                <w:sz w:val="1"/>
                <w:szCs w:val="1"/>
                <w:color w:val="auto"/>
              </w:rPr>
            </w:pPr>
          </w:p>
        </w:tc>
      </w:tr>
      <w:tr>
        <w:trPr>
          <w:trHeight w:val="185"/>
        </w:trPr>
        <w:tc>
          <w:tcPr>
            <w:tcW w:w="9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ind w:right="560"/>
              <w:spacing w:after="0"/>
              <w:rPr>
                <w:sz w:val="20"/>
                <w:szCs w:val="20"/>
                <w:color w:val="auto"/>
              </w:rPr>
            </w:pPr>
            <w:r>
              <w:rPr>
                <w:rFonts w:ascii="Arial" w:cs="Arial" w:eastAsia="Arial" w:hAnsi="Arial"/>
                <w:sz w:val="14"/>
                <w:szCs w:val="14"/>
                <w:color w:val="auto"/>
              </w:rPr>
              <w:t>30, 2021 (*)</w:t>
            </w:r>
          </w:p>
        </w:tc>
        <w:tc>
          <w:tcPr>
            <w:tcW w:w="0" w:type="dxa"/>
            <w:vAlign w:val="bottom"/>
          </w:tcPr>
          <w:p>
            <w:pPr>
              <w:spacing w:after="0"/>
              <w:rPr>
                <w:sz w:val="1"/>
                <w:szCs w:val="1"/>
                <w:color w:val="auto"/>
              </w:rPr>
            </w:pPr>
          </w:p>
        </w:tc>
      </w:tr>
      <w:tr>
        <w:trPr>
          <w:trHeight w:val="210"/>
        </w:trPr>
        <w:tc>
          <w:tcPr>
            <w:tcW w:w="9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MBS with embedded derivatives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6"/>
                <w:szCs w:val="16"/>
                <w:color w:val="auto"/>
              </w:rPr>
              <w:t>Fixed-indexed and variable-indexed annuities (embedded derivative)</w:t>
            </w: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7"/>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index call options</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6"/>
                <w:szCs w:val="16"/>
                <w:color w:val="auto"/>
              </w:rPr>
              <w:t>Equity index put options</w:t>
            </w: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Reinsurance contract (embedded derivative)</w:t>
            </w:r>
          </w:p>
        </w:tc>
        <w:tc>
          <w:tcPr>
            <w:tcW w:w="3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Results through the May 31, 2021 effective date of the sale.</w:t>
      </w:r>
    </w:p>
    <w:p>
      <w:pPr>
        <w:spacing w:after="0" w:line="238" w:lineRule="exact"/>
        <w:rPr>
          <w:sz w:val="20"/>
          <w:szCs w:val="20"/>
          <w:color w:val="auto"/>
        </w:rPr>
      </w:pPr>
    </w:p>
    <w:p>
      <w:pPr>
        <w:ind w:left="600" w:hanging="592"/>
        <w:spacing w:after="0"/>
        <w:tabs>
          <w:tab w:leader="none" w:pos="600" w:val="left"/>
        </w:tabs>
        <w:numPr>
          <w:ilvl w:val="0"/>
          <w:numId w:val="7"/>
        </w:numPr>
        <w:rPr>
          <w:rFonts w:ascii="Arial" w:cs="Arial" w:eastAsia="Arial" w:hAnsi="Arial"/>
          <w:sz w:val="29"/>
          <w:szCs w:val="29"/>
          <w:b w:val="1"/>
          <w:bCs w:val="1"/>
          <w:color w:val="003366"/>
        </w:rPr>
      </w:pPr>
      <w:r>
        <w:rPr>
          <w:rFonts w:ascii="Arial" w:cs="Arial" w:eastAsia="Arial" w:hAnsi="Arial"/>
          <w:sz w:val="29"/>
          <w:szCs w:val="29"/>
          <w:b w:val="1"/>
          <w:bCs w:val="1"/>
          <w:color w:val="003366"/>
        </w:rPr>
        <w:t>Acquisition and Sale of Businesses</w:t>
      </w:r>
    </w:p>
    <w:p>
      <w:pPr>
        <w:spacing w:after="0" w:line="271"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3366"/>
        </w:rPr>
        <w:t xml:space="preserve">Verikai </w:t>
      </w:r>
      <w:r>
        <w:rPr>
          <w:rFonts w:ascii="Arial" w:cs="Arial" w:eastAsia="Arial" w:hAnsi="Arial"/>
          <w:sz w:val="17"/>
          <w:szCs w:val="17"/>
          <w:color w:val="000000"/>
        </w:rPr>
        <w:t>In December 2021, AFG acquired Verikai, Inc., a machine learning and artificial intelligence company that utilizes predictive risk tools to</w:t>
      </w:r>
      <w:r>
        <w:rPr>
          <w:rFonts w:ascii="Arial" w:cs="Arial" w:eastAsia="Arial" w:hAnsi="Arial"/>
          <w:sz w:val="20"/>
          <w:szCs w:val="20"/>
          <w:b w:val="1"/>
          <w:bCs w:val="1"/>
          <w:color w:val="003366"/>
        </w:rPr>
        <w:t xml:space="preserve"> </w:t>
      </w:r>
      <w:r>
        <w:rPr>
          <w:rFonts w:ascii="Arial" w:cs="Arial" w:eastAsia="Arial" w:hAnsi="Arial"/>
          <w:sz w:val="17"/>
          <w:szCs w:val="17"/>
          <w:color w:val="000000"/>
        </w:rPr>
        <w:t>assess insurance risk, for $120 million using cash on hand at the parent. Verikai continues to operate as a stand-alone company to service its insurance clients. AFG expects to benefit from Verikai’s predictive risk tool and unique Marketplace solution as it enters the medical stop loss insurance business, with a primary focus on small and underserved risks. AFG may pay up to $50 million in contingent consideration based on performance measures over a multiple year period.</w:t>
      </w:r>
    </w:p>
    <w:p>
      <w:pPr>
        <w:spacing w:after="0" w:line="21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Expenses related to the acquisition were approximately $1 million and were expensed as incurred. The purchase price was allocated to the acquired assets and liabilities of Verikai based on management’s best estimate of fair value as of the acquisition date.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Annuity Operations  </w:t>
      </w:r>
      <w:r>
        <w:rPr>
          <w:rFonts w:ascii="Arial" w:cs="Arial" w:eastAsia="Arial" w:hAnsi="Arial"/>
          <w:sz w:val="17"/>
          <w:szCs w:val="17"/>
          <w:color w:val="000000"/>
        </w:rPr>
        <w:t>See</w:t>
      </w:r>
      <w:r>
        <w:rPr>
          <w:rFonts w:ascii="Arial" w:cs="Arial" w:eastAsia="Arial" w:hAnsi="Arial"/>
          <w:sz w:val="20"/>
          <w:szCs w:val="20"/>
          <w:b w:val="1"/>
          <w:bCs w:val="1"/>
          <w:color w:val="003366"/>
        </w:rPr>
        <w:t xml:space="preserve"> </w:t>
      </w:r>
      <w:r>
        <w:rPr>
          <w:rFonts w:ascii="Arial" w:cs="Arial" w:eastAsia="Arial" w:hAnsi="Arial"/>
          <w:sz w:val="17"/>
          <w:szCs w:val="17"/>
          <w:i w:val="1"/>
          <w:iCs w:val="1"/>
          <w:color w:val="000000"/>
        </w:rPr>
        <w:t>Note B — “Discontinued Operations,”</w:t>
      </w:r>
      <w:r>
        <w:rPr>
          <w:rFonts w:ascii="Arial" w:cs="Arial" w:eastAsia="Arial" w:hAnsi="Arial"/>
          <w:sz w:val="20"/>
          <w:szCs w:val="20"/>
          <w:b w:val="1"/>
          <w:bCs w:val="1"/>
          <w:color w:val="003366"/>
        </w:rPr>
        <w:t xml:space="preserve"> </w:t>
      </w:r>
      <w:r>
        <w:rPr>
          <w:rFonts w:ascii="Arial" w:cs="Arial" w:eastAsia="Arial" w:hAnsi="Arial"/>
          <w:sz w:val="17"/>
          <w:szCs w:val="17"/>
          <w:color w:val="000000"/>
        </w:rPr>
        <w:t>for information on the 2021 sale of AFG’s annuity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In the third quarter of 2022, AFG acquired an insurance agency business for $12 million, including $10 million in cash. Virtually all of the purchase price was recorded as an amortizing intangible asset representing the fair value of the agency’s customer base at acquisition.</w:t>
      </w:r>
    </w:p>
    <w:p>
      <w:pPr>
        <w:spacing w:after="0" w:line="173"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72"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 xml:space="preserve">Subsequent to the sale of its annuity operations, see </w:t>
      </w:r>
      <w:r>
        <w:rPr>
          <w:rFonts w:ascii="Arial" w:cs="Arial" w:eastAsia="Arial" w:hAnsi="Arial"/>
          <w:sz w:val="17"/>
          <w:szCs w:val="17"/>
          <w:i w:val="1"/>
          <w:iCs w:val="1"/>
          <w:color w:val="auto"/>
        </w:rPr>
        <w:t>Note B — “Discontinued Operations,”</w:t>
      </w:r>
      <w:r>
        <w:rPr>
          <w:rFonts w:ascii="Arial" w:cs="Arial" w:eastAsia="Arial" w:hAnsi="Arial"/>
          <w:sz w:val="17"/>
          <w:szCs w:val="17"/>
          <w:color w:val="auto"/>
        </w:rPr>
        <w:t xml:space="preserve"> AFG manages its business as two segments: Property and casualty insurance and Other, which includes holding company costs and operations attributable to the noncontrolling interests of the managed investment entities.</w:t>
      </w:r>
    </w:p>
    <w:p>
      <w:pPr>
        <w:spacing w:after="0" w:line="21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Premiums and underwriting profit included under Other specialty represent business assumed by AFG’s internal reinsurance program from the operations that make up AFG’s other Specialty sub-segments and amortization of deferred gains on retroactive reinsurance transactions related to the sales of businesses in prior years. AFG’s reportable segments and their components were determined based primarily upon similar economic characteristics, products and services.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revenues and earnings from continuing operations before income taxes by segment and sub-segment.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220" w:type="dxa"/>
            <w:vAlign w:val="bottom"/>
            <w:gridSpan w:val="6"/>
          </w:tcPr>
          <w:p>
            <w:pPr>
              <w:ind w:left="340"/>
              <w:spacing w:after="0"/>
              <w:rPr>
                <w:sz w:val="20"/>
                <w:szCs w:val="20"/>
                <w:color w:val="auto"/>
              </w:rPr>
            </w:pPr>
            <w:r>
              <w:rPr>
                <w:rFonts w:ascii="Arial" w:cs="Arial" w:eastAsia="Arial" w:hAnsi="Arial"/>
                <w:sz w:val="15"/>
                <w:szCs w:val="15"/>
                <w:color w:val="auto"/>
              </w:rPr>
              <w:t>Three months ended September 30,</w:t>
            </w:r>
          </w:p>
        </w:tc>
        <w:tc>
          <w:tcPr>
            <w:tcW w:w="260" w:type="dxa"/>
            <w:vAlign w:val="bottom"/>
          </w:tcPr>
          <w:p>
            <w:pPr>
              <w:spacing w:after="0"/>
              <w:rPr>
                <w:sz w:val="17"/>
                <w:szCs w:val="17"/>
                <w:color w:val="auto"/>
              </w:rPr>
            </w:pPr>
          </w:p>
        </w:tc>
        <w:tc>
          <w:tcPr>
            <w:tcW w:w="2900" w:type="dxa"/>
            <w:vAlign w:val="bottom"/>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48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5"/>
                <w:szCs w:val="15"/>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5"/>
                <w:szCs w:val="15"/>
                <w:color w:val="auto"/>
              </w:rPr>
              <w:t>2021</w:t>
            </w:r>
          </w:p>
        </w:tc>
      </w:tr>
      <w:tr>
        <w:trPr>
          <w:trHeight w:val="19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Premiums earned:</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6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1,772</w:t>
            </w: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15"/>
        </w:trPr>
        <w:tc>
          <w:tcPr>
            <w:tcW w:w="48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specialty</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10"/>
        </w:trPr>
        <w:tc>
          <w:tcPr>
            <w:tcW w:w="48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premiums earned</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w:t>
            </w:r>
          </w:p>
        </w:tc>
      </w:tr>
      <w:tr>
        <w:trPr>
          <w:trHeight w:val="215"/>
        </w:trPr>
        <w:tc>
          <w:tcPr>
            <w:tcW w:w="4860" w:type="dxa"/>
            <w:vAlign w:val="bottom"/>
          </w:tcPr>
          <w:p>
            <w:pPr>
              <w:ind w:left="360"/>
              <w:spacing w:after="0"/>
              <w:rPr>
                <w:sz w:val="20"/>
                <w:szCs w:val="20"/>
                <w:color w:val="auto"/>
              </w:rPr>
            </w:pPr>
            <w:r>
              <w:rPr>
                <w:rFonts w:ascii="Arial" w:cs="Arial" w:eastAsia="Arial" w:hAnsi="Arial"/>
                <w:sz w:val="16"/>
                <w:szCs w:val="16"/>
                <w:color w:val="auto"/>
              </w:rPr>
              <w:t>Net investment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4860" w:type="dxa"/>
            <w:vAlign w:val="bottom"/>
          </w:tcPr>
          <w:p>
            <w:pPr>
              <w:ind w:left="68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4,428</w:t>
            </w: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Real estate-related entities (*)</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48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revenues before realized gains (losses)</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w:t>
            </w: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 on subsidiaries</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486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4,794</w:t>
            </w:r>
          </w:p>
        </w:tc>
      </w:tr>
      <w:tr>
        <w:trPr>
          <w:trHeight w:val="20"/>
        </w:trPr>
        <w:tc>
          <w:tcPr>
            <w:tcW w:w="4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20" w:hanging="412"/>
        <w:spacing w:after="0" w:line="274" w:lineRule="auto"/>
        <w:tabs>
          <w:tab w:leader="none" w:pos="411"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investment income from the real estate and real estate-related entities acquired from AFG’s discontinued annuity operations while they were held by the annuity operations. Subsequent to the sale of the annuity operations, income from these investments is included in the segment of the acquirer.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220" w:type="dxa"/>
            <w:vAlign w:val="bottom"/>
            <w:gridSpan w:val="6"/>
          </w:tcPr>
          <w:p>
            <w:pPr>
              <w:ind w:left="340"/>
              <w:spacing w:after="0"/>
              <w:rPr>
                <w:sz w:val="20"/>
                <w:szCs w:val="20"/>
                <w:color w:val="auto"/>
              </w:rPr>
            </w:pPr>
            <w:r>
              <w:rPr>
                <w:rFonts w:ascii="Arial" w:cs="Arial" w:eastAsia="Arial" w:hAnsi="Arial"/>
                <w:sz w:val="15"/>
                <w:szCs w:val="15"/>
                <w:color w:val="auto"/>
              </w:rPr>
              <w:t>Three months ended September 30,</w:t>
            </w:r>
          </w:p>
        </w:tc>
        <w:tc>
          <w:tcPr>
            <w:tcW w:w="260" w:type="dxa"/>
            <w:vAlign w:val="bottom"/>
          </w:tcPr>
          <w:p>
            <w:pPr>
              <w:spacing w:after="0"/>
              <w:rPr>
                <w:sz w:val="17"/>
                <w:szCs w:val="17"/>
                <w:color w:val="auto"/>
              </w:rPr>
            </w:pPr>
          </w:p>
        </w:tc>
        <w:tc>
          <w:tcPr>
            <w:tcW w:w="2900" w:type="dxa"/>
            <w:vAlign w:val="bottom"/>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48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5"/>
                <w:szCs w:val="15"/>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From Continuing Operations Before Income Taxes</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Other specialty</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lines</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4860" w:type="dxa"/>
            <w:vAlign w:val="bottom"/>
          </w:tcPr>
          <w:p>
            <w:pPr>
              <w:ind w:left="1220"/>
              <w:spacing w:after="0"/>
              <w:rPr>
                <w:sz w:val="20"/>
                <w:szCs w:val="20"/>
                <w:color w:val="auto"/>
              </w:rPr>
            </w:pPr>
            <w:r>
              <w:rPr>
                <w:rFonts w:ascii="Arial" w:cs="Arial" w:eastAsia="Arial" w:hAnsi="Arial"/>
                <w:sz w:val="16"/>
                <w:szCs w:val="16"/>
                <w:color w:val="auto"/>
              </w:rPr>
              <w:t>Total underwriting</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 net</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9"/>
        </w:trPr>
        <w:tc>
          <w:tcPr>
            <w:tcW w:w="4860" w:type="dxa"/>
            <w:vAlign w:val="bottom"/>
          </w:tcPr>
          <w:p>
            <w:pPr>
              <w:ind w:left="460"/>
              <w:spacing w:after="0"/>
              <w:rPr>
                <w:sz w:val="20"/>
                <w:szCs w:val="20"/>
                <w:color w:val="auto"/>
              </w:rPr>
            </w:pPr>
            <w:r>
              <w:rPr>
                <w:rFonts w:ascii="Arial" w:cs="Arial" w:eastAsia="Arial" w:hAnsi="Arial"/>
                <w:sz w:val="16"/>
                <w:szCs w:val="16"/>
                <w:color w:val="auto"/>
              </w:rPr>
              <w:t>Total property and casualty insurance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Real estate-related entities (b)</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43"/>
        </w:trPr>
        <w:tc>
          <w:tcPr>
            <w:tcW w:w="4860" w:type="dxa"/>
            <w:vAlign w:val="bottom"/>
            <w:tcBorders>
              <w:top w:val="single" w:sz="8" w:color="CCEEFF"/>
            </w:tcBorders>
            <w:shd w:val="clear" w:color="auto" w:fill="CCEEFF"/>
          </w:tcPr>
          <w:p>
            <w:pPr>
              <w:ind w:left="460"/>
              <w:spacing w:after="0" w:line="143" w:lineRule="exact"/>
              <w:rPr>
                <w:sz w:val="20"/>
                <w:szCs w:val="20"/>
                <w:color w:val="auto"/>
              </w:rPr>
            </w:pPr>
            <w:r>
              <w:rPr>
                <w:rFonts w:ascii="Arial" w:cs="Arial" w:eastAsia="Arial" w:hAnsi="Arial"/>
                <w:sz w:val="16"/>
                <w:szCs w:val="16"/>
                <w:color w:val="auto"/>
              </w:rPr>
              <w:t>Total earnings from continuing operations before realized</w:t>
            </w:r>
          </w:p>
        </w:tc>
        <w:tc>
          <w:tcPr>
            <w:tcW w:w="10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gains (losses) and income taxes</w:t>
            </w:r>
          </w:p>
        </w:tc>
        <w:tc>
          <w:tcPr>
            <w:tcW w:w="106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Realized gains (losses) on securities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 on subsidiaries</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42"/>
        </w:trPr>
        <w:tc>
          <w:tcPr>
            <w:tcW w:w="4860" w:type="dxa"/>
            <w:vAlign w:val="bottom"/>
          </w:tcPr>
          <w:p>
            <w:pPr>
              <w:ind w:left="680"/>
              <w:spacing w:after="0" w:line="142" w:lineRule="exact"/>
              <w:rPr>
                <w:sz w:val="20"/>
                <w:szCs w:val="20"/>
                <w:color w:val="auto"/>
              </w:rPr>
            </w:pPr>
            <w:r>
              <w:rPr>
                <w:rFonts w:ascii="Arial" w:cs="Arial" w:eastAsia="Arial" w:hAnsi="Arial"/>
                <w:sz w:val="16"/>
                <w:szCs w:val="16"/>
                <w:color w:val="auto"/>
              </w:rPr>
              <w:t>Total earnings from continuing operations before income</w:t>
            </w:r>
          </w:p>
        </w:tc>
        <w:tc>
          <w:tcPr>
            <w:tcW w:w="1060" w:type="dxa"/>
            <w:vAlign w:val="bottom"/>
            <w:tcBorders>
              <w:top w:val="single" w:sz="8" w:color="auto"/>
            </w:tcBorders>
            <w:vMerge w:val="restart"/>
          </w:tcPr>
          <w:p>
            <w:pPr>
              <w:jc w:val="right"/>
              <w:ind w:right="861"/>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194"/>
        </w:trPr>
        <w:tc>
          <w:tcPr>
            <w:tcW w:w="4860" w:type="dxa"/>
            <w:vAlign w:val="bottom"/>
          </w:tcPr>
          <w:p>
            <w:pPr>
              <w:ind w:left="840"/>
              <w:spacing w:after="0"/>
              <w:rPr>
                <w:sz w:val="20"/>
                <w:szCs w:val="20"/>
                <w:color w:val="auto"/>
              </w:rPr>
            </w:pPr>
            <w:r>
              <w:rPr>
                <w:rFonts w:ascii="Arial" w:cs="Arial" w:eastAsia="Arial" w:hAnsi="Arial"/>
                <w:sz w:val="16"/>
                <w:szCs w:val="16"/>
                <w:color w:val="auto"/>
              </w:rPr>
              <w:t>taxes</w:t>
            </w:r>
          </w:p>
        </w:tc>
        <w:tc>
          <w:tcPr>
            <w:tcW w:w="10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540" w:hanging="412"/>
        <w:spacing w:after="0" w:line="258" w:lineRule="auto"/>
        <w:tabs>
          <w:tab w:leader="none" w:pos="4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holding company interest and expenses, including a gain of $1 million and a loss of $10 million on retirement of debt in the third quarter and first nine months of 2022, respectively.</w:t>
      </w:r>
    </w:p>
    <w:p>
      <w:pPr>
        <w:ind w:left="420" w:right="120" w:hanging="412"/>
        <w:spacing w:after="0" w:line="265" w:lineRule="auto"/>
        <w:tabs>
          <w:tab w:leader="none" w:pos="4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investment income from the real estate and real estate-related entities acquired from AFG’s discontinued annuity operations while they were held by the annuity operations. Subsequent to the sale of the annuity operations, income from these investments is included in the segment of the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include corporate and municipal fixed maturity securities, asset-backed securities (“ABS”), mortgage-backed securities (“MBS”), certain non-affiliated common stocks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 xml:space="preserve">The contingent consideration liability (included in other liabilities in AFG’s Balance Sheet) relates to AFG’s acquisitions of Verikai in December 2021, and to a lesser extent, a small insurance agency in September 2022, which are discussed in </w:t>
      </w:r>
      <w:r>
        <w:rPr>
          <w:rFonts w:ascii="Arial" w:cs="Arial" w:eastAsia="Arial" w:hAnsi="Arial"/>
          <w:sz w:val="17"/>
          <w:szCs w:val="17"/>
          <w:i w:val="1"/>
          <w:iCs w:val="1"/>
          <w:color w:val="auto"/>
        </w:rPr>
        <w:t>Note C — “Acquisition and Sale of Businesses.”</w:t>
      </w:r>
      <w:r>
        <w:rPr>
          <w:rFonts w:ascii="Arial" w:cs="Arial" w:eastAsia="Arial" w:hAnsi="Arial"/>
          <w:sz w:val="17"/>
          <w:szCs w:val="17"/>
          <w:color w:val="auto"/>
        </w:rPr>
        <w:t xml:space="preserve"> These liabilities are remeasured at fair value at each balance sheet date with changes in fair value recognized in net earnings. To estimate the fair value of the contingent consideration liability related to the Verikai acquisition ($23 million at September 30, 2022), AFG uses a weighted probability-based income approach which includes significant unobservable inputs and is classified as Level 3. There was no change to the estimated fair value of this liability during the third quarter or first nine months of 2022.</w:t>
      </w:r>
    </w:p>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professionals are a group of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the Company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1</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September 30, 2022</w:t>
            </w:r>
          </w:p>
        </w:tc>
        <w:tc>
          <w:tcPr>
            <w:tcW w:w="46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2,271</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r>
      <w:tr>
        <w:trPr>
          <w:trHeight w:val="209"/>
        </w:trPr>
        <w:tc>
          <w:tcPr>
            <w:tcW w:w="20" w:type="dxa"/>
            <w:vAlign w:val="bottom"/>
          </w:tcPr>
          <w:p>
            <w:pPr>
              <w:spacing w:after="0"/>
              <w:rPr>
                <w:sz w:val="18"/>
                <w:szCs w:val="18"/>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10,034</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5,099</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2021</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Assets:</w:t>
            </w:r>
          </w:p>
        </w:tc>
        <w:tc>
          <w:tcPr>
            <w:tcW w:w="46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2,676</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r>
      <w:tr>
        <w:trPr>
          <w:trHeight w:val="209"/>
        </w:trPr>
        <w:tc>
          <w:tcPr>
            <w:tcW w:w="20" w:type="dxa"/>
            <w:vAlign w:val="bottom"/>
          </w:tcPr>
          <w:p>
            <w:pPr>
              <w:spacing w:after="0"/>
              <w:rPr>
                <w:sz w:val="18"/>
                <w:szCs w:val="18"/>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10,357</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1,042</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5,220</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Approximately 6% of the total assets carried at fair value at September 30, 2022, were Level 3 assets. Approximately 16% ($158 million) of those Level 3 assets were priced using non-binding broker quotes, for which there is a lack of transparency as to the inputs used to determine fair value. Details as to the quantitative inputs are neither provided by the brokers nor otherwise reasonably obtainable by AFG. Approximately $23 million (2%) of the Level 3 assets were priced by pricing services where either a single price was not corroborated, prices varied enough among the providers, or other market factors led management to determine these securities be classified as Level 3 assets. Approximately 23% ($231 million) of the Level 3 assets were equity investments in limited partnerships and similar investments that do not qualify for equity method accounting whose prices were determined based on financial information provided by the limited partnerships.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Internally developed fixed maturities are priced using a variety of inputs, including appropriate credit spreads over the treasury yield (of a similar</w:t>
      </w:r>
    </w:p>
    <w:p>
      <w:pPr>
        <w:spacing w:after="0" w:line="10" w:lineRule="exact"/>
        <w:rPr>
          <w:sz w:val="20"/>
          <w:szCs w:val="20"/>
          <w:color w:val="auto"/>
        </w:rPr>
      </w:pPr>
    </w:p>
    <w:p>
      <w:pPr>
        <w:ind w:left="40" w:right="240"/>
        <w:spacing w:after="0" w:line="223" w:lineRule="auto"/>
        <w:rPr>
          <w:sz w:val="20"/>
          <w:szCs w:val="20"/>
          <w:color w:val="auto"/>
        </w:rPr>
      </w:pPr>
      <w:r>
        <w:rPr>
          <w:rFonts w:ascii="Arial" w:cs="Arial" w:eastAsia="Arial" w:hAnsi="Arial"/>
          <w:sz w:val="17"/>
          <w:szCs w:val="17"/>
          <w:color w:val="auto"/>
        </w:rPr>
        <w:t>duration), trade information and prices of comparable securities and other security specific features (such as optional early redemption). Internally developed Level 3 asset fair values represent approximately $590 million (59%) of the total fair value of Level 3 assets at September 30, 2022.</w:t>
      </w:r>
    </w:p>
    <w:p>
      <w:pPr>
        <w:spacing w:after="0" w:line="1" w:lineRule="exact"/>
        <w:rPr>
          <w:sz w:val="20"/>
          <w:szCs w:val="20"/>
          <w:color w:val="auto"/>
        </w:rPr>
      </w:pPr>
    </w:p>
    <w:p>
      <w:pPr>
        <w:ind w:left="40" w:right="40"/>
        <w:spacing w:after="0" w:line="223" w:lineRule="auto"/>
        <w:rPr>
          <w:sz w:val="20"/>
          <w:szCs w:val="20"/>
          <w:color w:val="auto"/>
        </w:rPr>
      </w:pPr>
      <w:r>
        <w:rPr>
          <w:rFonts w:ascii="Arial" w:cs="Arial" w:eastAsia="Arial" w:hAnsi="Arial"/>
          <w:sz w:val="17"/>
          <w:szCs w:val="17"/>
          <w:color w:val="auto"/>
        </w:rPr>
        <w:t>Approximately 67% ($397 million) of these internally developed Level 3 assets are priced using a pricing model that uses a discounted cash flow approach to estimate the fair value of fixed maturity securities. The credit spread applied by management is the significant unobservable input of the</w:t>
      </w:r>
    </w:p>
    <w:p>
      <w:pPr>
        <w:spacing w:after="0" w:line="1" w:lineRule="exact"/>
        <w:rPr>
          <w:sz w:val="20"/>
          <w:szCs w:val="20"/>
          <w:color w:val="auto"/>
        </w:rPr>
      </w:pPr>
    </w:p>
    <w:p>
      <w:pPr>
        <w:ind w:left="40" w:right="460"/>
        <w:spacing w:after="0" w:line="223" w:lineRule="auto"/>
        <w:rPr>
          <w:sz w:val="20"/>
          <w:szCs w:val="20"/>
          <w:color w:val="auto"/>
        </w:rPr>
      </w:pPr>
      <w:r>
        <w:rPr>
          <w:rFonts w:ascii="Arial" w:cs="Arial" w:eastAsia="Arial" w:hAnsi="Arial"/>
          <w:sz w:val="17"/>
          <w:szCs w:val="17"/>
          <w:color w:val="auto"/>
        </w:rPr>
        <w:t>pricing model. In instances where the pricing model suggests a price in excess of par value and the security is currently callable at par value, management caps the fair value at par value. Approximately 25% ($145 million) of the internally developed Level 3 assets are equity securities</w:t>
      </w:r>
    </w:p>
    <w:p>
      <w:pPr>
        <w:spacing w:after="0" w:line="1" w:lineRule="exact"/>
        <w:rPr>
          <w:sz w:val="20"/>
          <w:szCs w:val="20"/>
          <w:color w:val="auto"/>
        </w:rPr>
      </w:pPr>
    </w:p>
    <w:p>
      <w:pPr>
        <w:ind w:left="40" w:right="80"/>
        <w:spacing w:after="0" w:line="223" w:lineRule="auto"/>
        <w:rPr>
          <w:sz w:val="20"/>
          <w:szCs w:val="20"/>
          <w:color w:val="auto"/>
        </w:rPr>
      </w:pPr>
      <w:r>
        <w:rPr>
          <w:rFonts w:ascii="Arial" w:cs="Arial" w:eastAsia="Arial" w:hAnsi="Arial"/>
          <w:sz w:val="17"/>
          <w:szCs w:val="17"/>
          <w:color w:val="auto"/>
        </w:rPr>
        <w:t>which are priced primarily using broker quotes and internal models with some inputs that are not market observable. Management believes that any justifiable changes in unobservable inputs used to determine internally developed fair values would not have resulted in a material change in AFG’s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financial position.</w:t>
      </w:r>
    </w:p>
    <w:p>
      <w:pPr>
        <w:spacing w:after="0" w:line="126" w:lineRule="exact"/>
        <w:rPr>
          <w:sz w:val="20"/>
          <w:szCs w:val="20"/>
          <w:color w:val="auto"/>
        </w:rPr>
      </w:pPr>
    </w:p>
    <w:p>
      <w:pPr>
        <w:ind w:left="40"/>
        <w:spacing w:after="0" w:line="274" w:lineRule="auto"/>
        <w:rPr>
          <w:sz w:val="20"/>
          <w:szCs w:val="20"/>
          <w:color w:val="auto"/>
        </w:rPr>
      </w:pPr>
      <w:r>
        <w:rPr>
          <w:rFonts w:ascii="Arial" w:cs="Arial" w:eastAsia="Arial" w:hAnsi="Arial"/>
          <w:sz w:val="17"/>
          <w:szCs w:val="17"/>
          <w:color w:val="auto"/>
        </w:rPr>
        <w:t>Changes in balances of Level 3 financial assets and liabilities carried at fair value during the third quarter and first nine months of 2022 and 2021 are presented below (in millions). The transfers into and out of Level 3 were due to changes in the availability of market observable inputs. All transfers are reflected in the table at fair value as of the end of the reporting period.</w:t>
      </w:r>
    </w:p>
    <w:p>
      <w:pPr>
        <w:spacing w:after="0" w:line="48"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0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20320</wp:posOffset>
            </wp:positionV>
            <wp:extent cx="12858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June</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Net</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Purchases</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2"/>
              </w:rPr>
              <w:t>and</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into</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out of</w:t>
            </w:r>
          </w:p>
        </w:tc>
        <w:tc>
          <w:tcPr>
            <w:tcW w:w="140" w:type="dxa"/>
            <w:vAlign w:val="bottom"/>
          </w:tcPr>
          <w:p>
            <w:pPr>
              <w:spacing w:after="0"/>
              <w:rPr>
                <w:sz w:val="10"/>
                <w:szCs w:val="10"/>
                <w:color w:val="auto"/>
              </w:rPr>
            </w:pPr>
          </w:p>
        </w:tc>
        <w:tc>
          <w:tcPr>
            <w:tcW w:w="1020" w:type="dxa"/>
            <w:vAlign w:val="bottom"/>
          </w:tcPr>
          <w:p>
            <w:pPr>
              <w:jc w:val="center"/>
              <w:ind w:right="7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66"/>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09"/>
              <w:spacing w:after="0"/>
              <w:rPr>
                <w:sz w:val="20"/>
                <w:szCs w:val="20"/>
                <w:color w:val="auto"/>
              </w:rPr>
            </w:pPr>
            <w:r>
              <w:rPr>
                <w:rFonts w:ascii="Arial" w:cs="Arial" w:eastAsia="Arial" w:hAnsi="Arial"/>
                <w:sz w:val="13"/>
                <w:szCs w:val="13"/>
                <w:color w:val="auto"/>
                <w:w w:val="98"/>
              </w:rPr>
              <w:t>30, 2022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(loss)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rPr>
              <w:t>Level 3</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6"/>
              </w:rPr>
              <w:t>2022</w:t>
            </w:r>
          </w:p>
        </w:tc>
        <w:tc>
          <w:tcPr>
            <w:tcW w:w="0" w:type="dxa"/>
            <w:vAlign w:val="bottom"/>
          </w:tcPr>
          <w:p>
            <w:pPr>
              <w:spacing w:after="0"/>
              <w:rPr>
                <w:sz w:val="1"/>
                <w:szCs w:val="1"/>
                <w:color w:val="auto"/>
              </w:rPr>
            </w:pPr>
          </w:p>
        </w:tc>
      </w:tr>
      <w:tr>
        <w:trPr>
          <w:trHeight w:val="23"/>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0"/>
        </w:trPr>
        <w:tc>
          <w:tcPr>
            <w:tcW w:w="31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ind w:left="220"/>
              <w:spacing w:after="0"/>
              <w:rPr>
                <w:sz w:val="20"/>
                <w:szCs w:val="20"/>
                <w:color w:val="auto"/>
              </w:rPr>
            </w:pPr>
            <w:r>
              <w:rPr>
                <w:rFonts w:ascii="Arial" w:cs="Arial" w:eastAsia="Arial" w:hAnsi="Arial"/>
                <w:sz w:val="13"/>
                <w:szCs w:val="13"/>
                <w:color w:val="auto"/>
              </w:rPr>
              <w:t>Total realized/unrealized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3"/>
                <w:szCs w:val="13"/>
                <w:color w:val="auto"/>
              </w:rPr>
              <w:t>gains (losses) included 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June</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Net</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Purchases</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6"/>
        </w:trPr>
        <w:tc>
          <w:tcPr>
            <w:tcW w:w="3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6"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6" w:lineRule="exact"/>
              <w:rPr>
                <w:sz w:val="20"/>
                <w:szCs w:val="20"/>
                <w:color w:val="auto"/>
              </w:rPr>
            </w:pPr>
            <w:r>
              <w:rPr>
                <w:rFonts w:ascii="Arial" w:cs="Arial" w:eastAsia="Arial" w:hAnsi="Arial"/>
                <w:sz w:val="13"/>
                <w:szCs w:val="13"/>
                <w:color w:val="auto"/>
                <w:w w:val="92"/>
              </w:rPr>
              <w:t>and</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6" w:lineRule="exact"/>
              <w:rPr>
                <w:sz w:val="20"/>
                <w:szCs w:val="20"/>
                <w:color w:val="auto"/>
              </w:rPr>
            </w:pPr>
            <w:r>
              <w:rPr>
                <w:rFonts w:ascii="Arial" w:cs="Arial" w:eastAsia="Arial" w:hAnsi="Arial"/>
                <w:sz w:val="13"/>
                <w:szCs w:val="13"/>
                <w:color w:val="auto"/>
                <w:w w:val="95"/>
              </w:rPr>
              <w:t>into</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6" w:lineRule="exact"/>
              <w:rPr>
                <w:sz w:val="20"/>
                <w:szCs w:val="20"/>
                <w:color w:val="auto"/>
              </w:rPr>
            </w:pPr>
            <w:r>
              <w:rPr>
                <w:rFonts w:ascii="Arial" w:cs="Arial" w:eastAsia="Arial" w:hAnsi="Arial"/>
                <w:sz w:val="13"/>
                <w:szCs w:val="13"/>
                <w:color w:val="auto"/>
                <w:w w:val="98"/>
              </w:rPr>
              <w:t>out of</w:t>
            </w:r>
          </w:p>
        </w:tc>
        <w:tc>
          <w:tcPr>
            <w:tcW w:w="140" w:type="dxa"/>
            <w:vAlign w:val="bottom"/>
          </w:tcPr>
          <w:p>
            <w:pPr>
              <w:spacing w:after="0"/>
              <w:rPr>
                <w:sz w:val="10"/>
                <w:szCs w:val="10"/>
                <w:color w:val="auto"/>
              </w:rPr>
            </w:pPr>
          </w:p>
        </w:tc>
        <w:tc>
          <w:tcPr>
            <w:tcW w:w="1020" w:type="dxa"/>
            <w:vAlign w:val="bottom"/>
          </w:tcPr>
          <w:p>
            <w:pPr>
              <w:jc w:val="center"/>
              <w:ind w:right="70"/>
              <w:spacing w:after="0" w:line="126"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09"/>
              <w:spacing w:after="0"/>
              <w:rPr>
                <w:sz w:val="20"/>
                <w:szCs w:val="20"/>
                <w:color w:val="auto"/>
              </w:rPr>
            </w:pPr>
            <w:r>
              <w:rPr>
                <w:rFonts w:ascii="Arial" w:cs="Arial" w:eastAsia="Arial" w:hAnsi="Arial"/>
                <w:sz w:val="13"/>
                <w:szCs w:val="13"/>
                <w:color w:val="auto"/>
                <w:w w:val="98"/>
              </w:rPr>
              <w:t>30, 2021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(loss)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rPr>
              <w:t>Level 3</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6"/>
              </w:rPr>
              <w:t>2021</w:t>
            </w:r>
          </w:p>
        </w:tc>
        <w:tc>
          <w:tcPr>
            <w:tcW w:w="0" w:type="dxa"/>
            <w:vAlign w:val="bottom"/>
          </w:tcPr>
          <w:p>
            <w:pPr>
              <w:spacing w:after="0"/>
              <w:rPr>
                <w:sz w:val="1"/>
                <w:szCs w:val="1"/>
                <w:color w:val="auto"/>
              </w:rPr>
            </w:pPr>
          </w:p>
        </w:tc>
      </w:tr>
      <w:tr>
        <w:trPr>
          <w:trHeight w:val="187"/>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2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0"/>
        </w:trPr>
        <w:tc>
          <w:tcPr>
            <w:tcW w:w="3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99"/>
        </w:trPr>
        <w:tc>
          <w:tcPr>
            <w:tcW w:w="31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6" w:right="359" w:bottom="1440" w:gutter="0" w:footer="0" w:header="0"/>
        </w:sectPr>
      </w:pPr>
    </w:p>
    <w:bookmarkStart w:id="19" w:name="page20"/>
    <w:bookmarkEnd w:id="19"/>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74"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Balance at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3"/>
                <w:szCs w:val="13"/>
                <w:color w:val="auto"/>
                <w:w w:val="98"/>
              </w:rPr>
              <w:t>Net</w:t>
            </w:r>
          </w:p>
        </w:tc>
        <w:tc>
          <w:tcPr>
            <w:tcW w:w="80" w:type="dxa"/>
            <w:vAlign w:val="bottom"/>
          </w:tcPr>
          <w:p>
            <w:pPr>
              <w:spacing w:after="0"/>
              <w:rPr>
                <w:sz w:val="13"/>
                <w:szCs w:val="13"/>
                <w:color w:val="auto"/>
              </w:rPr>
            </w:pPr>
          </w:p>
        </w:tc>
        <w:tc>
          <w:tcPr>
            <w:tcW w:w="1180" w:type="dxa"/>
            <w:vAlign w:val="bottom"/>
            <w:gridSpan w:val="4"/>
          </w:tcPr>
          <w:p>
            <w:pPr>
              <w:jc w:val="center"/>
              <w:spacing w:after="0"/>
              <w:rPr>
                <w:sz w:val="20"/>
                <w:szCs w:val="20"/>
                <w:color w:val="auto"/>
              </w:rPr>
            </w:pPr>
            <w:r>
              <w:rPr>
                <w:rFonts w:ascii="Arial" w:cs="Arial" w:eastAsia="Arial" w:hAnsi="Arial"/>
                <w:sz w:val="13"/>
                <w:szCs w:val="13"/>
                <w:color w:val="auto"/>
                <w:w w:val="98"/>
              </w:rPr>
              <w:t>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4"/>
          </w:tcPr>
          <w:p>
            <w:pPr>
              <w:jc w:val="center"/>
              <w:ind w:right="49"/>
              <w:spacing w:after="0"/>
              <w:rPr>
                <w:sz w:val="20"/>
                <w:szCs w:val="20"/>
                <w:color w:val="auto"/>
              </w:rPr>
            </w:pPr>
            <w:r>
              <w:rPr>
                <w:rFonts w:ascii="Arial" w:cs="Arial" w:eastAsia="Arial" w:hAnsi="Arial"/>
                <w:sz w:val="13"/>
                <w:szCs w:val="13"/>
                <w:color w:val="auto"/>
                <w:w w:val="97"/>
              </w:rPr>
              <w:t>Purchases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5"/>
            <w:vMerge w:val="restart"/>
          </w:tcPr>
          <w:p>
            <w:pPr>
              <w:jc w:val="right"/>
              <w:ind w:right="260"/>
              <w:spacing w:after="0"/>
              <w:rPr>
                <w:sz w:val="20"/>
                <w:szCs w:val="20"/>
                <w:color w:val="auto"/>
              </w:rPr>
            </w:pPr>
            <w:r>
              <w:rPr>
                <w:rFonts w:ascii="Arial" w:cs="Arial" w:eastAsia="Arial" w:hAnsi="Arial"/>
                <w:sz w:val="13"/>
                <w:szCs w:val="13"/>
                <w:color w:val="auto"/>
                <w:w w:val="96"/>
              </w:rPr>
              <w:t>Sales and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auto"/>
              </w:rPr>
              <w:t>Transfer</w:t>
            </w:r>
          </w:p>
        </w:tc>
        <w:tc>
          <w:tcPr>
            <w:tcW w:w="100" w:type="dxa"/>
            <w:vAlign w:val="bottom"/>
          </w:tcPr>
          <w:p>
            <w:pPr>
              <w:spacing w:after="0"/>
              <w:rPr>
                <w:sz w:val="13"/>
                <w:szCs w:val="13"/>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color w:val="auto"/>
                <w:w w:val="94"/>
              </w:rPr>
              <w:t>Transfer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29"/>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95"/>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140"/>
              <w:spacing w:after="0" w:line="122" w:lineRule="exact"/>
              <w:rPr>
                <w:sz w:val="20"/>
                <w:szCs w:val="20"/>
                <w:color w:val="auto"/>
              </w:rPr>
            </w:pPr>
            <w:r>
              <w:rPr>
                <w:rFonts w:ascii="Arial" w:cs="Arial" w:eastAsia="Arial" w:hAnsi="Arial"/>
                <w:sz w:val="13"/>
                <w:szCs w:val="13"/>
                <w:color w:val="auto"/>
                <w:w w:val="96"/>
              </w:rPr>
              <w:t>earnings</w:t>
            </w:r>
          </w:p>
        </w:tc>
        <w:tc>
          <w:tcPr>
            <w:tcW w:w="80" w:type="dxa"/>
            <w:vAlign w:val="bottom"/>
          </w:tcPr>
          <w:p>
            <w:pPr>
              <w:spacing w:after="0"/>
              <w:rPr>
                <w:sz w:val="10"/>
                <w:szCs w:val="10"/>
                <w:color w:val="auto"/>
              </w:rPr>
            </w:pPr>
          </w:p>
        </w:tc>
        <w:tc>
          <w:tcPr>
            <w:tcW w:w="1180" w:type="dxa"/>
            <w:vAlign w:val="bottom"/>
            <w:gridSpan w:val="4"/>
          </w:tcPr>
          <w:p>
            <w:pPr>
              <w:jc w:val="center"/>
              <w:spacing w:after="0" w:line="122" w:lineRule="exact"/>
              <w:rPr>
                <w:sz w:val="20"/>
                <w:szCs w:val="20"/>
                <w:color w:val="auto"/>
              </w:rPr>
            </w:pPr>
            <w:r>
              <w:rPr>
                <w:rFonts w:ascii="Arial" w:cs="Arial" w:eastAsia="Arial" w:hAnsi="Arial"/>
                <w:sz w:val="13"/>
                <w:szCs w:val="13"/>
                <w:color w:val="auto"/>
                <w:w w:val="97"/>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49"/>
              <w:spacing w:after="0" w:line="122" w:lineRule="exact"/>
              <w:rPr>
                <w:sz w:val="20"/>
                <w:szCs w:val="20"/>
                <w:color w:val="auto"/>
              </w:rPr>
            </w:pPr>
            <w:r>
              <w:rPr>
                <w:rFonts w:ascii="Arial" w:cs="Arial" w:eastAsia="Arial" w:hAnsi="Arial"/>
                <w:sz w:val="13"/>
                <w:szCs w:val="13"/>
                <w:color w:val="auto"/>
              </w:rPr>
              <w:t>and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360"/>
              <w:spacing w:after="0" w:line="122" w:lineRule="exact"/>
              <w:rPr>
                <w:sz w:val="20"/>
                <w:szCs w:val="20"/>
                <w:color w:val="auto"/>
              </w:rPr>
            </w:pPr>
            <w:r>
              <w:rPr>
                <w:rFonts w:ascii="Arial" w:cs="Arial" w:eastAsia="Arial" w:hAnsi="Arial"/>
                <w:sz w:val="13"/>
                <w:szCs w:val="13"/>
                <w:color w:val="auto"/>
              </w:rPr>
              <w:t>into</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3"/>
                <w:szCs w:val="13"/>
                <w:color w:val="auto"/>
                <w:w w:val="98"/>
              </w:rPr>
              <w:t>out of</w:t>
            </w:r>
          </w:p>
        </w:tc>
        <w:tc>
          <w:tcPr>
            <w:tcW w:w="100" w:type="dxa"/>
            <w:vAlign w:val="bottom"/>
          </w:tcPr>
          <w:p>
            <w:pPr>
              <w:spacing w:after="0"/>
              <w:rPr>
                <w:sz w:val="10"/>
                <w:szCs w:val="10"/>
                <w:color w:val="auto"/>
              </w:rPr>
            </w:pPr>
          </w:p>
        </w:tc>
        <w:tc>
          <w:tcPr>
            <w:tcW w:w="1060" w:type="dxa"/>
            <w:vAlign w:val="bottom"/>
            <w:gridSpan w:val="2"/>
          </w:tcPr>
          <w:p>
            <w:pPr>
              <w:jc w:val="center"/>
              <w:ind w:right="29"/>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3"/>
                <w:szCs w:val="13"/>
                <w:color w:val="auto"/>
                <w:w w:val="94"/>
              </w:rPr>
              <w:t>(loss)</w:t>
            </w:r>
          </w:p>
        </w:tc>
        <w:tc>
          <w:tcPr>
            <w:tcW w:w="8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3"/>
                <w:szCs w:val="13"/>
                <w:color w:val="auto"/>
                <w:w w:val="95"/>
              </w:rPr>
              <w:t>income (loss)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tcPr>
          <w:p>
            <w:pPr>
              <w:jc w:val="center"/>
              <w:ind w:right="49"/>
              <w:spacing w:after="0"/>
              <w:rPr>
                <w:sz w:val="20"/>
                <w:szCs w:val="20"/>
                <w:color w:val="auto"/>
              </w:rPr>
            </w:pPr>
            <w:r>
              <w:rPr>
                <w:rFonts w:ascii="Arial" w:cs="Arial" w:eastAsia="Arial" w:hAnsi="Arial"/>
                <w:sz w:val="13"/>
                <w:szCs w:val="13"/>
                <w:color w:val="auto"/>
                <w:w w:val="96"/>
              </w:rPr>
              <w:t>issuances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6"/>
          </w:tcPr>
          <w:p>
            <w:pPr>
              <w:jc w:val="right"/>
              <w:ind w:right="220"/>
              <w:spacing w:after="0"/>
              <w:rPr>
                <w:sz w:val="20"/>
                <w:szCs w:val="20"/>
                <w:color w:val="auto"/>
              </w:rPr>
            </w:pPr>
            <w:r>
              <w:rPr>
                <w:rFonts w:ascii="Arial" w:cs="Arial" w:eastAsia="Arial" w:hAnsi="Arial"/>
                <w:sz w:val="13"/>
                <w:szCs w:val="13"/>
                <w:color w:val="auto"/>
              </w:rPr>
              <w:t>settlements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Level 3</w:t>
            </w:r>
          </w:p>
        </w:tc>
        <w:tc>
          <w:tcPr>
            <w:tcW w:w="100" w:type="dxa"/>
            <w:vAlign w:val="bottom"/>
          </w:tcPr>
          <w:p>
            <w:pPr>
              <w:spacing w:after="0"/>
              <w:rPr>
                <w:sz w:val="15"/>
                <w:szCs w:val="15"/>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color w:val="auto"/>
              </w:rPr>
              <w:t>Level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29"/>
              <w:spacing w:after="0"/>
              <w:rPr>
                <w:sz w:val="20"/>
                <w:szCs w:val="20"/>
                <w:color w:val="auto"/>
              </w:rPr>
            </w:pPr>
            <w:r>
              <w:rPr>
                <w:rFonts w:ascii="Arial" w:cs="Arial" w:eastAsia="Arial" w:hAnsi="Arial"/>
                <w:sz w:val="13"/>
                <w:szCs w:val="13"/>
                <w:color w:val="auto"/>
                <w:w w:val="96"/>
              </w:rPr>
              <w:t>2022</w:t>
            </w:r>
          </w:p>
        </w:tc>
        <w:tc>
          <w:tcPr>
            <w:tcW w:w="0" w:type="dxa"/>
            <w:vAlign w:val="bottom"/>
          </w:tcPr>
          <w:p>
            <w:pPr>
              <w:spacing w:after="0"/>
              <w:rPr>
                <w:sz w:val="1"/>
                <w:szCs w:val="1"/>
                <w:color w:val="auto"/>
              </w:rPr>
            </w:pPr>
          </w:p>
        </w:tc>
      </w:tr>
      <w:tr>
        <w:trPr>
          <w:trHeight w:val="189"/>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U.S. government agency</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Residential MBS</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Collateralized loan obligations</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Corporate and other</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left="330"/>
              <w:spacing w:after="0"/>
              <w:rPr>
                <w:sz w:val="20"/>
                <w:szCs w:val="20"/>
                <w:color w:val="auto"/>
              </w:rPr>
            </w:pPr>
            <w:r>
              <w:rPr>
                <w:rFonts w:ascii="Arial" w:cs="Arial" w:eastAsia="Arial" w:hAnsi="Arial"/>
                <w:sz w:val="14"/>
                <w:szCs w:val="14"/>
                <w:color w:val="auto"/>
                <w:w w:val="93"/>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0"/>
        </w:trPr>
        <w:tc>
          <w:tcPr>
            <w:tcW w:w="31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center"/>
              <w:ind w:left="330"/>
              <w:spacing w:after="0"/>
              <w:rPr>
                <w:sz w:val="20"/>
                <w:szCs w:val="20"/>
                <w:color w:val="auto"/>
              </w:rPr>
            </w:pPr>
            <w:r>
              <w:rPr>
                <w:rFonts w:ascii="Arial" w:cs="Arial" w:eastAsia="Arial" w:hAnsi="Arial"/>
                <w:sz w:val="14"/>
                <w:szCs w:val="14"/>
                <w:color w:val="auto"/>
                <w:w w:val="93"/>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Total Level 3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926</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243</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0"/>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center"/>
              <w:ind w:left="310"/>
              <w:spacing w:after="0"/>
              <w:rPr>
                <w:sz w:val="20"/>
                <w:szCs w:val="20"/>
                <w:color w:val="auto"/>
              </w:rPr>
            </w:pPr>
            <w:r>
              <w:rPr>
                <w:rFonts w:ascii="Arial" w:cs="Arial" w:eastAsia="Arial" w:hAnsi="Arial"/>
                <w:sz w:val="13"/>
                <w:szCs w:val="13"/>
                <w:color w:val="auto"/>
                <w:w w:val="96"/>
              </w:rPr>
              <w:t>Total</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6"/>
          </w:tcPr>
          <w:p>
            <w:pPr>
              <w:jc w:val="center"/>
              <w:ind w:right="260"/>
              <w:spacing w:after="0" w:line="122" w:lineRule="exact"/>
              <w:rPr>
                <w:sz w:val="20"/>
                <w:szCs w:val="20"/>
                <w:color w:val="auto"/>
              </w:rPr>
            </w:pPr>
            <w:r>
              <w:rPr>
                <w:rFonts w:ascii="Arial" w:cs="Arial" w:eastAsia="Arial" w:hAnsi="Arial"/>
                <w:sz w:val="13"/>
                <w:szCs w:val="13"/>
                <w:color w:val="auto"/>
                <w:w w:val="97"/>
              </w:rPr>
              <w:t>realized/unrealized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8"/>
          </w:tcPr>
          <w:p>
            <w:pPr>
              <w:jc w:val="center"/>
              <w:ind w:right="100"/>
              <w:spacing w:after="0" w:line="131" w:lineRule="exact"/>
              <w:rPr>
                <w:sz w:val="20"/>
                <w:szCs w:val="20"/>
                <w:color w:val="auto"/>
              </w:rPr>
            </w:pPr>
            <w:r>
              <w:rPr>
                <w:rFonts w:ascii="Arial" w:cs="Arial" w:eastAsia="Arial" w:hAnsi="Arial"/>
                <w:sz w:val="13"/>
                <w:szCs w:val="13"/>
                <w:color w:val="auto"/>
                <w:w w:val="96"/>
              </w:rPr>
              <w:t>gains (losses) included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3"/>
                <w:szCs w:val="13"/>
                <w:color w:val="auto"/>
                <w:w w:val="98"/>
              </w:rPr>
              <w:t>in</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Balance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3"/>
                <w:szCs w:val="13"/>
                <w:color w:val="auto"/>
                <w:w w:val="98"/>
              </w:rPr>
              <w:t>Net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8"/>
              <w:spacing w:after="0"/>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vMerge w:val="restart"/>
          </w:tcPr>
          <w:p>
            <w:pPr>
              <w:jc w:val="right"/>
              <w:ind w:right="73"/>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Transfer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Transfer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Sale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9"/>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tcPr>
          <w:p>
            <w:pPr>
              <w:jc w:val="center"/>
              <w:ind w:right="200"/>
              <w:spacing w:after="0" w:line="122" w:lineRule="exact"/>
              <w:rPr>
                <w:sz w:val="20"/>
                <w:szCs w:val="20"/>
                <w:color w:val="auto"/>
              </w:rPr>
            </w:pPr>
            <w:r>
              <w:rPr>
                <w:rFonts w:ascii="Arial" w:cs="Arial" w:eastAsia="Arial" w:hAnsi="Arial"/>
                <w:sz w:val="13"/>
                <w:szCs w:val="13"/>
                <w:color w:val="auto"/>
                <w:w w:val="96"/>
              </w:rPr>
              <w:t>earnings</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9"/>
              <w:spacing w:after="0" w:line="122" w:lineRule="exact"/>
              <w:rPr>
                <w:sz w:val="20"/>
                <w:szCs w:val="20"/>
                <w:color w:val="auto"/>
              </w:rPr>
            </w:pPr>
            <w:r>
              <w:rPr>
                <w:rFonts w:ascii="Arial" w:cs="Arial" w:eastAsia="Arial" w:hAnsi="Arial"/>
                <w:sz w:val="13"/>
                <w:szCs w:val="13"/>
                <w:color w:val="auto"/>
              </w:rPr>
              <w:t>and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80"/>
              <w:spacing w:after="0" w:line="122" w:lineRule="exact"/>
              <w:rPr>
                <w:sz w:val="20"/>
                <w:szCs w:val="20"/>
                <w:color w:val="auto"/>
              </w:rPr>
            </w:pPr>
            <w:r>
              <w:rPr>
                <w:rFonts w:ascii="Arial" w:cs="Arial" w:eastAsia="Arial" w:hAnsi="Arial"/>
                <w:sz w:val="13"/>
                <w:szCs w:val="13"/>
                <w:color w:val="auto"/>
                <w:w w:val="95"/>
              </w:rPr>
              <w:t>into</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98"/>
              </w:rPr>
              <w:t>out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22" w:lineRule="exact"/>
              <w:rPr>
                <w:sz w:val="20"/>
                <w:szCs w:val="20"/>
                <w:color w:val="auto"/>
              </w:rPr>
            </w:pPr>
            <w:r>
              <w:rPr>
                <w:rFonts w:ascii="Arial" w:cs="Arial" w:eastAsia="Arial" w:hAnsi="Arial"/>
                <w:sz w:val="13"/>
                <w:szCs w:val="13"/>
                <w:color w:val="auto"/>
              </w:rPr>
              <w:t>Annuity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29"/>
              <w:spacing w:after="0" w:line="122" w:lineRule="exact"/>
              <w:rPr>
                <w:sz w:val="20"/>
                <w:szCs w:val="20"/>
                <w:color w:val="auto"/>
              </w:rPr>
            </w:pPr>
            <w:r>
              <w:rPr>
                <w:rFonts w:ascii="Arial" w:cs="Arial" w:eastAsia="Arial" w:hAnsi="Arial"/>
                <w:sz w:val="13"/>
                <w:szCs w:val="13"/>
                <w:color w:val="auto"/>
                <w:w w:val="96"/>
              </w:rPr>
              <w:t>September 30,</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Arial" w:cs="Arial" w:eastAsia="Arial" w:hAnsi="Arial"/>
                <w:sz w:val="13"/>
                <w:szCs w:val="13"/>
                <w:color w:val="auto"/>
                <w:w w:val="96"/>
              </w:rPr>
              <w:t>2020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ind w:right="280"/>
              <w:spacing w:after="0"/>
              <w:rPr>
                <w:sz w:val="20"/>
                <w:szCs w:val="20"/>
                <w:color w:val="auto"/>
              </w:rPr>
            </w:pPr>
            <w:r>
              <w:rPr>
                <w:rFonts w:ascii="Arial" w:cs="Arial" w:eastAsia="Arial" w:hAnsi="Arial"/>
                <w:sz w:val="13"/>
                <w:szCs w:val="13"/>
                <w:color w:val="auto"/>
                <w:w w:val="94"/>
              </w:rPr>
              <w:t>(loss)</w:t>
            </w:r>
          </w:p>
        </w:tc>
        <w:tc>
          <w:tcPr>
            <w:tcW w:w="8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color w:val="auto"/>
              </w:rPr>
              <w:t>OCI</w:t>
            </w:r>
          </w:p>
        </w:tc>
        <w:tc>
          <w:tcPr>
            <w:tcW w:w="100" w:type="dxa"/>
            <w:vAlign w:val="bottom"/>
          </w:tcPr>
          <w:p>
            <w:pPr>
              <w:spacing w:after="0"/>
              <w:rPr>
                <w:sz w:val="15"/>
                <w:szCs w:val="15"/>
                <w:color w:val="auto"/>
              </w:rPr>
            </w:pPr>
          </w:p>
        </w:tc>
        <w:tc>
          <w:tcPr>
            <w:tcW w:w="720" w:type="dxa"/>
            <w:vAlign w:val="bottom"/>
            <w:gridSpan w:val="3"/>
          </w:tcPr>
          <w:p>
            <w:pPr>
              <w:jc w:val="right"/>
              <w:ind w:right="48"/>
              <w:spacing w:after="0"/>
              <w:rPr>
                <w:sz w:val="20"/>
                <w:szCs w:val="20"/>
                <w:color w:val="auto"/>
              </w:rPr>
            </w:pPr>
            <w:r>
              <w:rPr>
                <w:rFonts w:ascii="Arial" w:cs="Arial" w:eastAsia="Arial" w:hAnsi="Arial"/>
                <w:sz w:val="13"/>
                <w:szCs w:val="13"/>
                <w:color w:val="auto"/>
              </w:rPr>
              <w:t>issuances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33"/>
              <w:spacing w:after="0"/>
              <w:rPr>
                <w:sz w:val="20"/>
                <w:szCs w:val="20"/>
                <w:color w:val="auto"/>
              </w:rPr>
            </w:pPr>
            <w:r>
              <w:rPr>
                <w:rFonts w:ascii="Arial" w:cs="Arial" w:eastAsia="Arial" w:hAnsi="Arial"/>
                <w:sz w:val="13"/>
                <w:szCs w:val="13"/>
                <w:color w:val="auto"/>
                <w:w w:val="96"/>
              </w:rPr>
              <w:t>settlements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Level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Level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Business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49"/>
              <w:spacing w:after="0"/>
              <w:rPr>
                <w:sz w:val="20"/>
                <w:szCs w:val="20"/>
                <w:color w:val="auto"/>
              </w:rPr>
            </w:pPr>
            <w:r>
              <w:rPr>
                <w:rFonts w:ascii="Arial" w:cs="Arial" w:eastAsia="Arial" w:hAnsi="Arial"/>
                <w:sz w:val="13"/>
                <w:szCs w:val="13"/>
                <w:color w:val="auto"/>
                <w:w w:val="96"/>
              </w:rPr>
              <w:t>2021</w:t>
            </w: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U.S. government agency</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Residential MBS</w:t>
            </w:r>
          </w:p>
        </w:tc>
        <w:tc>
          <w:tcPr>
            <w:tcW w:w="10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Collateralized loan obligations</w:t>
            </w:r>
          </w:p>
        </w:tc>
        <w:tc>
          <w:tcPr>
            <w:tcW w:w="10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99"/>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138</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142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0"/>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176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discontinued annuity operations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2,971</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(328)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(2,719)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3,706</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of discontinued annuity operations</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4"/>
              </w:rPr>
              <w:t>158</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4,143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Total Level 3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(3,933)</w:t>
            </w:r>
          </w:p>
        </w:tc>
        <w:tc>
          <w:tcPr>
            <w:tcW w:w="60" w:type="dxa"/>
            <w:vAlign w:val="bottom"/>
          </w:tcPr>
          <w:p>
            <w:pPr>
              <w:spacing w:after="0"/>
              <w:rPr>
                <w:sz w:val="17"/>
                <w:szCs w:val="17"/>
                <w:color w:val="auto"/>
              </w:rPr>
            </w:pPr>
          </w:p>
        </w:tc>
        <w:tc>
          <w:tcPr>
            <w:tcW w:w="200" w:type="dxa"/>
            <w:vAlign w:val="bottom"/>
            <w:gridSpan w:val="3"/>
          </w:tcPr>
          <w:p>
            <w:pPr>
              <w:jc w:val="right"/>
              <w:ind w:right="1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(146)</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94"/>
              </w:rPr>
              <w:t>158</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4,143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280" w:top="115" w:right="37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5"/>
                <w:szCs w:val="15"/>
                <w:color w:val="auto"/>
              </w:rPr>
              <w:t>Carrying</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5"/>
                <w:szCs w:val="15"/>
                <w:color w:val="auto"/>
                <w:w w:val="98"/>
              </w:rPr>
              <w:t>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September 30, 2022</w:t>
            </w:r>
          </w:p>
        </w:tc>
        <w:tc>
          <w:tcPr>
            <w:tcW w:w="4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Mortgage loans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September 30, 2022 and December 31, 2021,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September 30, 2022</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2,573</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80" w:type="dxa"/>
            <w:vAlign w:val="bottom"/>
            <w:tcBorders>
              <w:top w:val="single" w:sz="8" w:color="CCEEFF"/>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2021</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December 31, 2021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40" w:type="dxa"/>
            <w:vAlign w:val="bottom"/>
            <w:gridSpan w:val="7"/>
          </w:tcPr>
          <w:p>
            <w:pPr>
              <w:ind w:left="80"/>
              <w:spacing w:after="0"/>
              <w:rPr>
                <w:sz w:val="20"/>
                <w:szCs w:val="20"/>
                <w:color w:val="auto"/>
              </w:rPr>
            </w:pPr>
            <w:r>
              <w:rPr>
                <w:rFonts w:ascii="Arial" w:cs="Arial" w:eastAsia="Arial" w:hAnsi="Arial"/>
                <w:sz w:val="15"/>
                <w:szCs w:val="15"/>
                <w:color w:val="auto"/>
              </w:rPr>
              <w:t>September 30, 2022</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4"/>
          </w:tcPr>
          <w:p>
            <w:pPr>
              <w:spacing w:after="0"/>
              <w:rPr>
                <w:sz w:val="20"/>
                <w:szCs w:val="20"/>
                <w:color w:val="auto"/>
              </w:rPr>
            </w:pPr>
            <w:r>
              <w:rPr>
                <w:rFonts w:ascii="Arial" w:cs="Arial" w:eastAsia="Arial" w:hAnsi="Arial"/>
                <w:sz w:val="15"/>
                <w:szCs w:val="15"/>
                <w:color w:val="auto"/>
              </w:rPr>
              <w:t>December 31, 2021</w:t>
            </w:r>
          </w:p>
        </w:tc>
        <w:tc>
          <w:tcPr>
            <w:tcW w:w="820" w:type="dxa"/>
            <w:vAlign w:val="bottom"/>
          </w:tcPr>
          <w:p>
            <w:pPr>
              <w:spacing w:after="0"/>
              <w:rPr>
                <w:sz w:val="17"/>
                <w:szCs w:val="17"/>
                <w:color w:val="auto"/>
              </w:rPr>
            </w:pPr>
          </w:p>
        </w:tc>
      </w:tr>
      <w:tr>
        <w:trPr>
          <w:trHeight w:val="197"/>
        </w:trPr>
        <w:tc>
          <w:tcPr>
            <w:tcW w:w="48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61"/>
              <w:spacing w:after="0"/>
              <w:rPr>
                <w:sz w:val="20"/>
                <w:szCs w:val="20"/>
                <w:color w:val="auto"/>
              </w:rPr>
            </w:pPr>
            <w:r>
              <w:rPr>
                <w:rFonts w:ascii="Arial" w:cs="Arial" w:eastAsia="Arial" w:hAnsi="Arial"/>
                <w:sz w:val="15"/>
                <w:szCs w:val="15"/>
                <w:color w:val="auto"/>
                <w:w w:val="99"/>
              </w:rPr>
              <w:t>Fair Value</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164"/>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01"/>
              <w:spacing w:after="0" w:line="164" w:lineRule="exact"/>
              <w:rPr>
                <w:sz w:val="20"/>
                <w:szCs w:val="20"/>
                <w:color w:val="auto"/>
              </w:rPr>
            </w:pPr>
            <w:r>
              <w:rPr>
                <w:rFonts w:ascii="Arial" w:cs="Arial" w:eastAsia="Arial" w:hAnsi="Arial"/>
                <w:sz w:val="15"/>
                <w:szCs w:val="15"/>
                <w:color w:val="auto"/>
              </w:rPr>
              <w:t>Actual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4" w:lineRule="exact"/>
              <w:rPr>
                <w:sz w:val="20"/>
                <w:szCs w:val="20"/>
                <w:color w:val="auto"/>
              </w:rPr>
            </w:pPr>
            <w:r>
              <w:rPr>
                <w:rFonts w:ascii="Arial" w:cs="Arial" w:eastAsia="Arial" w:hAnsi="Arial"/>
                <w:sz w:val="15"/>
                <w:szCs w:val="15"/>
                <w:color w:val="auto"/>
              </w:rPr>
              <w:t>over (under)</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line="164"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Fair Value over</w:t>
            </w:r>
          </w:p>
        </w:tc>
      </w:tr>
      <w:tr>
        <w:trPr>
          <w:trHeight w:val="213"/>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61"/>
              <w:spacing w:after="0"/>
              <w:rPr>
                <w:sz w:val="20"/>
                <w:szCs w:val="20"/>
                <w:color w:val="auto"/>
              </w:rPr>
            </w:pPr>
            <w:r>
              <w:rPr>
                <w:rFonts w:ascii="Arial" w:cs="Arial" w:eastAsia="Arial" w:hAnsi="Arial"/>
                <w:sz w:val="15"/>
                <w:szCs w:val="15"/>
                <w:color w:val="auto"/>
              </w:rPr>
              <w:t>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4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5"/>
                <w:szCs w:val="15"/>
                <w:color w:val="auto"/>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40" w:type="dxa"/>
            <w:vAlign w:val="bottom"/>
          </w:tcPr>
          <w:p>
            <w:pPr>
              <w:spacing w:after="0"/>
              <w:rPr>
                <w:sz w:val="18"/>
                <w:szCs w:val="18"/>
                <w:color w:val="auto"/>
              </w:rPr>
            </w:pPr>
          </w:p>
        </w:tc>
        <w:tc>
          <w:tcPr>
            <w:tcW w:w="820" w:type="dxa"/>
            <w:vAlign w:val="bottom"/>
          </w:tcPr>
          <w:p>
            <w:pPr>
              <w:jc w:val="right"/>
              <w:ind w:right="340"/>
              <w:spacing w:after="0"/>
              <w:rPr>
                <w:sz w:val="20"/>
                <w:szCs w:val="20"/>
                <w:color w:val="auto"/>
              </w:rPr>
            </w:pPr>
            <w:r>
              <w:rPr>
                <w:rFonts w:ascii="Arial" w:cs="Arial" w:eastAsia="Arial" w:hAnsi="Arial"/>
                <w:sz w:val="15"/>
                <w:szCs w:val="15"/>
                <w:color w:val="auto"/>
              </w:rPr>
              <w:t>Cost</w:t>
            </w:r>
          </w:p>
        </w:tc>
      </w:tr>
      <w:tr>
        <w:trPr>
          <w:trHeight w:val="21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35"/>
        </w:trPr>
        <w:tc>
          <w:tcPr>
            <w:tcW w:w="4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Investments accounted for using the equity method held by AFG’s continuing operations, by category, carrying value and net investment income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260"/>
              <w:spacing w:after="0"/>
              <w:rPr>
                <w:sz w:val="20"/>
                <w:szCs w:val="20"/>
                <w:color w:val="auto"/>
              </w:rPr>
            </w:pPr>
            <w:r>
              <w:rPr>
                <w:rFonts w:ascii="Arial" w:cs="Arial" w:eastAsia="Arial" w:hAnsi="Arial"/>
                <w:sz w:val="15"/>
                <w:szCs w:val="15"/>
                <w:color w:val="auto"/>
              </w:rPr>
              <w:t>Net Investment Income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680"/>
              <w:spacing w:after="0"/>
              <w:rPr>
                <w:sz w:val="20"/>
                <w:szCs w:val="20"/>
                <w:color w:val="auto"/>
              </w:rPr>
            </w:pPr>
            <w:r>
              <w:rPr>
                <w:rFonts w:ascii="Arial" w:cs="Arial" w:eastAsia="Arial" w:hAnsi="Arial"/>
                <w:sz w:val="15"/>
                <w:szCs w:val="15"/>
                <w:color w:val="auto"/>
              </w:rPr>
              <w:t>Carrying Value</w:t>
            </w:r>
          </w:p>
        </w:tc>
        <w:tc>
          <w:tcPr>
            <w:tcW w:w="2740" w:type="dxa"/>
            <w:vAlign w:val="bottom"/>
            <w:gridSpan w:val="6"/>
          </w:tcPr>
          <w:p>
            <w:pPr>
              <w:ind w:left="100"/>
              <w:spacing w:after="0"/>
              <w:rPr>
                <w:sz w:val="20"/>
                <w:szCs w:val="20"/>
                <w:color w:val="auto"/>
              </w:rPr>
            </w:pPr>
            <w:r>
              <w:rPr>
                <w:rFonts w:ascii="Arial" w:cs="Arial" w:eastAsia="Arial" w:hAnsi="Arial"/>
                <w:sz w:val="15"/>
                <w:szCs w:val="15"/>
                <w:color w:val="auto"/>
              </w:rPr>
              <w:t>Three months ended September 30,</w:t>
            </w:r>
          </w:p>
        </w:tc>
        <w:tc>
          <w:tcPr>
            <w:tcW w:w="140" w:type="dxa"/>
            <w:vAlign w:val="bottom"/>
          </w:tcPr>
          <w:p>
            <w:pPr>
              <w:spacing w:after="0"/>
              <w:rPr>
                <w:sz w:val="17"/>
                <w:szCs w:val="17"/>
                <w:color w:val="auto"/>
              </w:rPr>
            </w:pPr>
          </w:p>
        </w:tc>
        <w:tc>
          <w:tcPr>
            <w:tcW w:w="2540" w:type="dxa"/>
            <w:vAlign w:val="bottom"/>
            <w:gridSpan w:val="4"/>
          </w:tcPr>
          <w:p>
            <w:pPr>
              <w:jc w:val="right"/>
              <w:ind w:right="80"/>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20"/>
              <w:spacing w:after="0" w:line="144" w:lineRule="exact"/>
              <w:rPr>
                <w:sz w:val="20"/>
                <w:szCs w:val="20"/>
                <w:color w:val="auto"/>
              </w:rPr>
            </w:pPr>
            <w:r>
              <w:rPr>
                <w:rFonts w:ascii="Arial" w:cs="Arial" w:eastAsia="Arial" w:hAnsi="Arial"/>
                <w:sz w:val="15"/>
                <w:szCs w:val="15"/>
                <w:color w:val="auto"/>
              </w:rPr>
              <w:t>September 30,</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81"/>
              <w:spacing w:after="0" w:line="144" w:lineRule="exact"/>
              <w:rPr>
                <w:sz w:val="20"/>
                <w:szCs w:val="20"/>
                <w:color w:val="auto"/>
              </w:rPr>
            </w:pPr>
            <w:r>
              <w:rPr>
                <w:rFonts w:ascii="Arial" w:cs="Arial" w:eastAsia="Arial" w:hAnsi="Arial"/>
                <w:sz w:val="15"/>
                <w:szCs w:val="15"/>
                <w:color w:val="auto"/>
              </w:rPr>
              <w:t>December 31,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5"/>
                <w:szCs w:val="15"/>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5"/>
                <w:szCs w:val="15"/>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21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42"/>
        </w:trPr>
        <w:tc>
          <w:tcPr>
            <w:tcW w:w="3120" w:type="dxa"/>
            <w:vAlign w:val="bottom"/>
          </w:tcPr>
          <w:p>
            <w:pPr>
              <w:ind w:left="180"/>
              <w:spacing w:after="0" w:line="142" w:lineRule="exact"/>
              <w:rPr>
                <w:sz w:val="20"/>
                <w:szCs w:val="20"/>
                <w:color w:val="auto"/>
              </w:rPr>
            </w:pPr>
            <w:r>
              <w:rPr>
                <w:rFonts w:ascii="Arial" w:cs="Arial" w:eastAsia="Arial" w:hAnsi="Arial"/>
                <w:sz w:val="16"/>
                <w:szCs w:val="16"/>
                <w:color w:val="auto"/>
              </w:rPr>
              <w:t>Total investments accounted for using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1,517</w:t>
            </w:r>
          </w:p>
        </w:tc>
        <w:tc>
          <w:tcPr>
            <w:tcW w:w="8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94"/>
        </w:trPr>
        <w:tc>
          <w:tcPr>
            <w:tcW w:w="3120" w:type="dxa"/>
            <w:vAlign w:val="bottom"/>
          </w:tcPr>
          <w:p>
            <w:pPr>
              <w:ind w:left="360"/>
              <w:spacing w:after="0"/>
              <w:rPr>
                <w:sz w:val="20"/>
                <w:szCs w:val="20"/>
                <w:color w:val="auto"/>
              </w:rPr>
            </w:pPr>
            <w:r>
              <w:rPr>
                <w:rFonts w:ascii="Arial" w:cs="Arial" w:eastAsia="Arial" w:hAnsi="Arial"/>
                <w:sz w:val="16"/>
                <w:szCs w:val="16"/>
                <w:color w:val="auto"/>
              </w:rPr>
              <w:t>the equity method</w:t>
            </w: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200" w:hanging="412"/>
        <w:spacing w:after="0" w:line="266" w:lineRule="auto"/>
        <w:tabs>
          <w:tab w:leader="none" w:pos="4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92% with underlying investments in multi-family properties, 1% in single family properties and 7% in other property types as of September 30, 2022 and 88% with underlying investments in multi-family properties, 1% in single family properties and 11% in other property types as of December 31, 2021.</w:t>
      </w:r>
    </w:p>
    <w:p>
      <w:pPr>
        <w:spacing w:after="0" w:line="21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6"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With respect to partnerships and similar investments, AFG had unfunded commitments of $389 million and $366 million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77"/>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08"/>
              <w:spacing w:after="0"/>
              <w:rPr>
                <w:sz w:val="20"/>
                <w:szCs w:val="20"/>
                <w:color w:val="auto"/>
              </w:rPr>
            </w:pPr>
            <w:r>
              <w:rPr>
                <w:rFonts w:ascii="Arial" w:cs="Arial" w:eastAsia="Arial" w:hAnsi="Arial"/>
                <w:sz w:val="13"/>
                <w:szCs w:val="13"/>
                <w:color w:val="auto"/>
              </w:rPr>
              <w:t>Fair Value as</w:t>
            </w:r>
          </w:p>
        </w:tc>
      </w:tr>
      <w:tr>
        <w:trPr>
          <w:trHeight w:val="166"/>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21"/>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September 30, 2022</w:t>
            </w:r>
          </w:p>
        </w:tc>
        <w:tc>
          <w:tcPr>
            <w:tcW w:w="3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1,124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1,421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90 %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1,465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94 %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88 %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8,311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1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419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806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3,270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September 30, 2022, the gross unrealized losses on fixed maturities of $728 million relate to approximately 1,900 securities. Investment grade securities (as determined by nationally recognized rating agencies) represented approximately 94% of the gross unrealized loss and 94% of the fair value.</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and communications with industry specialists and discussions with issuer management.</w:t>
      </w:r>
    </w:p>
    <w:p>
      <w:pPr>
        <w:spacing w:after="0" w:line="195"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color w:val="auto"/>
        </w:rPr>
        <w:t>AFG analyzes its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September 30, 2022.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Credit losses on available for sale fixed maturities are measured based on the present value of expected future cash flows compared to amortized cost. Impairment losses are recognized through an allowance and recoveries of previously impaired amounts are recorded as an immediate reversal of all or a portion of the allowance. In addition, the allowance on available for sale fixed maturities cannot cause the amortized cost net of the allowance to be below fair value. Accordingly, future changes in the fair value of an impaired security (when the allowance was limited by the fair value) due to reasons other than issuer credit (e.g. changes in market interest rates) result in increases or decreases in the allowance, which are recorded through realized gains (losses) on securities. A progression of the allowance for expected credit losses on fixed maturity securities held by AFG’s continuing operations is shown below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Initial allowance for purchased securities with credit deterioration</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Balance at June 30, 2021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allowance for purchased securities with credit deterioration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Initial allowance for purchased securities with credit deterioration</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Balance at January 1, 2021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allowance for purchased securities with credit deterioration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mortgage-backed securities, collateralized loan obligations and other asset-backed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third quarter and first nine months of 2022 and 2021, AFG did not purchase any securities with expected credit losses.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September 30, 2022 (dollars in millions). Securities with sinking funds are reported at average maturity. Actual maturities may differ from contractual maturities because certain securities may be called or prepaid by the issuers.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Collateralized loan obligations and other ABS (average life of approximately 3.5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15"/>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MBS (average life of approximately 5.5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50"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September 30, 2022 or December 31, 2021.</w:t>
      </w:r>
    </w:p>
    <w:p>
      <w:pPr>
        <w:spacing w:after="0" w:line="249"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 millions) investment income earned and investment expenses incurred in AFG’s</w:t>
      </w:r>
      <w:r>
        <w:rPr>
          <w:rFonts w:ascii="Arial" w:cs="Arial" w:eastAsia="Arial" w:hAnsi="Arial"/>
          <w:sz w:val="20"/>
          <w:szCs w:val="20"/>
          <w:b w:val="1"/>
          <w:bCs w:val="1"/>
          <w:color w:val="003366"/>
        </w:rPr>
        <w:t xml:space="preserve"> </w:t>
      </w:r>
      <w:r>
        <w:rPr>
          <w:rFonts w:ascii="Arial" w:cs="Arial" w:eastAsia="Arial" w:hAnsi="Arial"/>
          <w:sz w:val="17"/>
          <w:szCs w:val="17"/>
          <w:color w:val="000000"/>
        </w:rPr>
        <w:t>continuing 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48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2021</w:t>
            </w: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180" w:type="dxa"/>
            <w:vAlign w:val="bottom"/>
          </w:tcPr>
          <w:p>
            <w:pPr>
              <w:jc w:val="right"/>
              <w:ind w:right="1002"/>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Dividends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 (*)</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Equity in earnings of partnerships and similar investments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4840" w:type="dxa"/>
            <w:vAlign w:val="bottom"/>
          </w:tcPr>
          <w:p>
            <w:pPr>
              <w:ind w:left="600"/>
              <w:spacing w:after="0"/>
              <w:rPr>
                <w:sz w:val="20"/>
                <w:szCs w:val="20"/>
                <w:color w:val="auto"/>
              </w:rPr>
            </w:pPr>
            <w:r>
              <w:rPr>
                <w:rFonts w:ascii="Arial" w:cs="Arial" w:eastAsia="Arial" w:hAnsi="Arial"/>
                <w:sz w:val="16"/>
                <w:szCs w:val="16"/>
                <w:color w:val="auto"/>
              </w:rPr>
              <w:t>Gross investment income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expenses</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4840" w:type="dxa"/>
            <w:vAlign w:val="bottom"/>
          </w:tcPr>
          <w:p>
            <w:pPr>
              <w:ind w:left="600"/>
              <w:spacing w:after="0"/>
              <w:rPr>
                <w:sz w:val="20"/>
                <w:szCs w:val="20"/>
                <w:color w:val="auto"/>
              </w:rPr>
            </w:pPr>
            <w:r>
              <w:rPr>
                <w:rFonts w:ascii="Arial" w:cs="Arial" w:eastAsia="Arial" w:hAnsi="Arial"/>
                <w:sz w:val="16"/>
                <w:szCs w:val="16"/>
                <w:color w:val="auto"/>
              </w:rPr>
              <w:t>Net investment income</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169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r>
      <w:tr>
        <w:trPr>
          <w:trHeight w:val="20"/>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420" w:right="60" w:hanging="412"/>
        <w:spacing w:after="0" w:line="241" w:lineRule="auto"/>
        <w:tabs>
          <w:tab w:leader="none" w:pos="411"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Although the change in the fair value of the majority of AFG’s equity securities is recorded in realized gains (losses) on securities, AFG records holding gains and losses in net investment income on its portfolio of limited partnerships and similar investments that do not qualify for equity method accounting and certain other securities classified at purchase as “fair value through net investment income.”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86"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Realized gains (losses) and changes in unrealized appreciation (depreciation) from continuing operations included in AOCI related to fixed maturity securities are summarized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center"/>
              <w:ind w:left="607"/>
              <w:spacing w:after="0"/>
              <w:rPr>
                <w:sz w:val="20"/>
                <w:szCs w:val="20"/>
                <w:color w:val="auto"/>
              </w:rPr>
            </w:pPr>
            <w:r>
              <w:rPr>
                <w:rFonts w:ascii="Arial" w:cs="Arial" w:eastAsia="Arial" w:hAnsi="Arial"/>
                <w:sz w:val="13"/>
                <w:szCs w:val="13"/>
                <w:color w:val="auto"/>
              </w:rPr>
              <w:t>Three months ended September 30, 2022</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color w:val="auto"/>
              </w:rPr>
              <w:t>Three months ended September 30, 2021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w w:val="99"/>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Change in</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Unrealized</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center"/>
              <w:ind w:left="606"/>
              <w:spacing w:after="0"/>
              <w:rPr>
                <w:sz w:val="20"/>
                <w:szCs w:val="20"/>
                <w:color w:val="auto"/>
              </w:rPr>
            </w:pPr>
            <w:r>
              <w:rPr>
                <w:rFonts w:ascii="Arial" w:cs="Arial" w:eastAsia="Arial" w:hAnsi="Arial"/>
                <w:sz w:val="15"/>
                <w:szCs w:val="15"/>
                <w:color w:val="auto"/>
                <w:w w:val="97"/>
              </w:rPr>
              <w:t>(2)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1"/>
        </w:trPr>
        <w:tc>
          <w:tcPr>
            <w:tcW w:w="288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8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left="606"/>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5"/>
        </w:trPr>
        <w:tc>
          <w:tcPr>
            <w:tcW w:w="288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center"/>
              <w:ind w:left="606"/>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2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jc w:val="center"/>
              <w:ind w:left="607"/>
              <w:spacing w:after="0"/>
              <w:rPr>
                <w:sz w:val="20"/>
                <w:szCs w:val="20"/>
                <w:color w:val="auto"/>
              </w:rPr>
            </w:pPr>
            <w:r>
              <w:rPr>
                <w:rFonts w:ascii="Arial" w:cs="Arial" w:eastAsia="Arial" w:hAnsi="Arial"/>
                <w:sz w:val="13"/>
                <w:szCs w:val="13"/>
                <w:color w:val="auto"/>
              </w:rPr>
              <w:t>Nine months ended September 30, 2022</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ind w:left="720"/>
              <w:spacing w:after="0"/>
              <w:rPr>
                <w:sz w:val="20"/>
                <w:szCs w:val="20"/>
                <w:color w:val="auto"/>
              </w:rPr>
            </w:pPr>
            <w:r>
              <w:rPr>
                <w:rFonts w:ascii="Arial" w:cs="Arial" w:eastAsia="Arial" w:hAnsi="Arial"/>
                <w:sz w:val="13"/>
                <w:szCs w:val="13"/>
                <w:color w:val="auto"/>
              </w:rPr>
              <w:t>Nine months ended September 30, 2021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w w:val="99"/>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Change in</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Unrealized</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center"/>
              <w:ind w:left="606"/>
              <w:spacing w:after="0"/>
              <w:rPr>
                <w:sz w:val="20"/>
                <w:szCs w:val="20"/>
                <w:color w:val="auto"/>
              </w:rPr>
            </w:pPr>
            <w:r>
              <w:rPr>
                <w:rFonts w:ascii="Arial" w:cs="Arial" w:eastAsia="Arial" w:hAnsi="Arial"/>
                <w:sz w:val="15"/>
                <w:szCs w:val="15"/>
                <w:color w:val="auto"/>
                <w:w w:val="97"/>
              </w:rPr>
              <w:t>(1)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1"/>
        </w:trPr>
        <w:tc>
          <w:tcPr>
            <w:tcW w:w="288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8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left="606"/>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5"/>
        </w:trPr>
        <w:tc>
          <w:tcPr>
            <w:tcW w:w="288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center"/>
              <w:ind w:left="606"/>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All equity securities other than those accounted for under the equity method are carried at fair value through net earnings. AFG recorded net holding gains (losses) on equity securities from continuing operations during the third quarter and first nine months of 2022 and 2021 on securities that were still owned at September 30, 2022 and September 30, 2021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48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2021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2021</w:t>
            </w: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35"/>
        </w:trPr>
        <w:tc>
          <w:tcPr>
            <w:tcW w:w="48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from continuing operations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5"/>
                <w:szCs w:val="15"/>
                <w:color w:val="auto"/>
              </w:rPr>
              <w:t>Nine months ended September 30,</w:t>
            </w:r>
          </w:p>
        </w:tc>
        <w:tc>
          <w:tcPr>
            <w:tcW w:w="30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2022</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color w:val="auto"/>
              </w:rPr>
              <w:t>2021</w:t>
            </w:r>
          </w:p>
        </w:tc>
        <w:tc>
          <w:tcPr>
            <w:tcW w:w="30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315"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b w:val="1"/>
          <w:bCs w:val="1"/>
          <w:color w:val="003366"/>
        </w:rPr>
        <w:t xml:space="preserve">Derivatives Designated and Qualifying as Cash Flow Hedges </w:t>
      </w:r>
      <w:r>
        <w:rPr>
          <w:rFonts w:ascii="Arial" w:cs="Arial" w:eastAsia="Arial" w:hAnsi="Arial"/>
          <w:sz w:val="17"/>
          <w:szCs w:val="17"/>
          <w:color w:val="000000"/>
        </w:rPr>
        <w:t>As of September 30, 2022, AFG has interest rate swaps that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short-term reference rates (LIBOR or SOFR).</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short-term LIBOR or SOFR. The notional amounts of the interest rate swaps generally decline over each swap’s respective life (the swaps expire between July 2024 and July 2028) in anticipation of the expected decline in AFG’s portfolio of fixed maturity securities with floating interest rates based on short-term LIBOR or SOFR. The total outstanding notional amount of AFG’s interest rate swaps was $1.22 billion at September 30, 2022, all of which were entered into in the first nine months of 2022. The fair value of the interest rate swaps in an asset position and included in other assets at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September 30, 2022 was less than $1 million. The fair value of the interest rate swaps in a liability position and included in other liabilities at September 30, 2022 was $37 million. The net unrealized gain or loss on cash flow hedges is included in AOCI, net of deferred taxes. The amount reclassified from AOCI (before taxes) to net earnings was income of $1 million and $3 million for the third quarter and first nine months of 2022, respectively. A collateral receivable supporting these swaps of $63 million at September 30, 2022 is included in other assets in AFG’s Balance Sheet.</w:t>
      </w:r>
    </w:p>
    <w:p>
      <w:pPr>
        <w:spacing w:after="0" w:line="194"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 is the investment manager and it has investments ranging from 7.4% to 82.7% of the most subordinate debt tranche of fourteen active collateralized loan obligation entities (“CLOs”), which are considered variable interest entities. AFG also owns portions of the senior debt tranches of certain of these CLOs. Upon formation between 2012 and 2022,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0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$97 million (including $62 million invested in the most subordinate tranches and $12 million invested in a temporary warehousing entity) at September 30, 2022, and $76 million at December 31, 2021.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 May 2022, AFG formed one new CLO, which issued $404 million face amount of liabilities (including $13 million face amount purchased by AFG).</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held by continuing operations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2021</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782"/>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center"/>
              <w:ind w:left="782"/>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802"/>
              <w:spacing w:after="0"/>
              <w:rPr>
                <w:sz w:val="20"/>
                <w:szCs w:val="20"/>
                <w:color w:val="auto"/>
              </w:rPr>
            </w:pPr>
            <w:r>
              <w:rPr>
                <w:rFonts w:ascii="Arial" w:cs="Arial" w:eastAsia="Arial" w:hAnsi="Arial"/>
                <w:sz w:val="16"/>
                <w:szCs w:val="16"/>
                <w:color w:val="auto"/>
                <w:w w:val="98"/>
              </w:rPr>
              <w:t>(11)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 (*)</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20" w:right="40" w:hanging="412"/>
        <w:spacing w:after="0" w:line="284" w:lineRule="auto"/>
        <w:tabs>
          <w:tab w:leader="none" w:pos="4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$12 million and $40 million invested in temporary warehousing entities at September 30, 2022 and September 30, 2021, respectively, that were established to provide AFG the ability to form new CLOs when management believes market conditions are favorable.</w:t>
      </w:r>
    </w:p>
    <w:p>
      <w:pPr>
        <w:spacing w:after="0" w:line="33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2021</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40"/>
              <w:spacing w:after="0"/>
              <w:rPr>
                <w:sz w:val="20"/>
                <w:szCs w:val="20"/>
                <w:color w:val="auto"/>
              </w:rPr>
            </w:pPr>
            <w:r>
              <w:rPr>
                <w:rFonts w:ascii="Arial" w:cs="Arial" w:eastAsia="Arial" w:hAnsi="Arial"/>
                <w:sz w:val="16"/>
                <w:szCs w:val="16"/>
                <w:color w:val="auto"/>
              </w:rPr>
              <w:t>Assets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680"/>
              <w:spacing w:after="0"/>
              <w:rPr>
                <w:sz w:val="20"/>
                <w:szCs w:val="20"/>
                <w:color w:val="auto"/>
              </w:rPr>
            </w:pPr>
            <w:r>
              <w:rPr>
                <w:rFonts w:ascii="Arial" w:cs="Arial" w:eastAsia="Arial" w:hAnsi="Arial"/>
                <w:sz w:val="16"/>
                <w:szCs w:val="16"/>
                <w:color w:val="auto"/>
              </w:rPr>
              <w:t>77</w:t>
            </w:r>
          </w:p>
        </w:tc>
      </w:tr>
      <w:tr>
        <w:trPr>
          <w:trHeight w:val="217"/>
        </w:trPr>
        <w:tc>
          <w:tcPr>
            <w:tcW w:w="5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rPr>
              <w:t>(68)</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680"/>
              <w:spacing w:after="0"/>
              <w:rPr>
                <w:sz w:val="20"/>
                <w:szCs w:val="20"/>
                <w:color w:val="auto"/>
              </w:rPr>
            </w:pPr>
            <w:r>
              <w:rPr>
                <w:rFonts w:ascii="Arial" w:cs="Arial" w:eastAsia="Arial" w:hAnsi="Arial"/>
                <w:sz w:val="16"/>
                <w:szCs w:val="16"/>
                <w:color w:val="auto"/>
              </w:rPr>
              <w:t>12</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(losses) attributable to AFG:</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240"/>
              <w:spacing w:after="0"/>
              <w:rPr>
                <w:sz w:val="20"/>
                <w:szCs w:val="20"/>
                <w:color w:val="auto"/>
              </w:rPr>
            </w:pPr>
            <w:r>
              <w:rPr>
                <w:rFonts w:ascii="Arial" w:cs="Arial" w:eastAsia="Arial" w:hAnsi="Arial"/>
                <w:sz w:val="16"/>
                <w:szCs w:val="16"/>
                <w:color w:val="auto"/>
              </w:rPr>
              <w:t>From continuing operations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680"/>
              <w:spacing w:after="0"/>
              <w:rPr>
                <w:sz w:val="20"/>
                <w:szCs w:val="20"/>
                <w:color w:val="auto"/>
              </w:rPr>
            </w:pPr>
            <w:r>
              <w:rPr>
                <w:rFonts w:ascii="Arial" w:cs="Arial" w:eastAsia="Arial" w:hAnsi="Arial"/>
                <w:sz w:val="16"/>
                <w:szCs w:val="16"/>
                <w:color w:val="auto"/>
              </w:rPr>
              <w:t>17</w:t>
            </w:r>
          </w:p>
        </w:tc>
      </w:tr>
      <w:tr>
        <w:trPr>
          <w:trHeight w:val="216"/>
        </w:trPr>
        <w:tc>
          <w:tcPr>
            <w:tcW w:w="5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From discontinued annuity operations</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rPr>
              <w:t>20</w:t>
            </w:r>
          </w:p>
        </w:tc>
      </w:tr>
      <w:tr>
        <w:trPr>
          <w:trHeight w:val="210"/>
        </w:trPr>
        <w:tc>
          <w:tcPr>
            <w:tcW w:w="5180" w:type="dxa"/>
            <w:vAlign w:val="bottom"/>
          </w:tcPr>
          <w:p>
            <w:pPr>
              <w:ind w:left="460"/>
              <w:spacing w:after="0"/>
              <w:rPr>
                <w:sz w:val="20"/>
                <w:szCs w:val="20"/>
                <w:color w:val="auto"/>
              </w:rPr>
            </w:pPr>
            <w:r>
              <w:rPr>
                <w:rFonts w:ascii="Arial" w:cs="Arial" w:eastAsia="Arial" w:hAnsi="Arial"/>
                <w:sz w:val="16"/>
                <w:szCs w:val="16"/>
                <w:color w:val="auto"/>
              </w:rPr>
              <w:t>Total</w:t>
            </w: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center"/>
              <w:ind w:left="680"/>
              <w:spacing w:after="0"/>
              <w:rPr>
                <w:sz w:val="20"/>
                <w:szCs w:val="20"/>
                <w:color w:val="auto"/>
              </w:rPr>
            </w:pPr>
            <w:r>
              <w:rPr>
                <w:rFonts w:ascii="Arial" w:cs="Arial" w:eastAsia="Arial" w:hAnsi="Arial"/>
                <w:sz w:val="16"/>
                <w:szCs w:val="16"/>
                <w:color w:val="auto"/>
              </w:rPr>
              <w:t>37</w:t>
            </w: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$366 million and $72 million at September 30, 2022 and December 31, 2021, respectively. The aggregate unpaid principal balance of the CLOs’ debt exceeded its carrying value by $448 million and $187 million at those dates. The CLO assets include loans with an aggregate fair value of $4 million at September 30, 2022 and $9 million at December 31, 2021, for which the CLOs are not accruing interest because the loans are in default (aggregate unpaid principal balance of $12 million at September 30, 2022 and $18 million at December 31, 2021).</w:t>
      </w:r>
    </w:p>
    <w:p>
      <w:pPr>
        <w:spacing w:after="0" w:line="206"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$1.81 billion at September 30, 2022 and $1.64 billion at December 31, 2021.</w:t>
      </w:r>
    </w:p>
    <w:p>
      <w:pPr>
        <w:spacing w:after="0" w:line="202"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goodwill balance of $246 million during the first nine months of 2022.</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Included in other assets in AFG’s Balance Sheet is $111 million at September 30, 2022 and $106 million at December 31, 2021 in amortizable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related to property and casualty insurance acquisitions. These amounts are net of accumulated amortization of $20 million and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$67 million, respectively. Amortization of intangibles was $2 million and $1 million in the third quarter of 2022 and 2021, respectively, and $7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$5 million in the first nine months of 2022 and 2021,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200" w:type="dxa"/>
            <w:vAlign w:val="bottom"/>
          </w:tcPr>
          <w:p>
            <w:pPr>
              <w:spacing w:after="0"/>
              <w:rPr>
                <w:sz w:val="20"/>
                <w:szCs w:val="20"/>
                <w:color w:val="auto"/>
              </w:rPr>
            </w:pPr>
            <w:r>
              <w:rPr>
                <w:rFonts w:ascii="Arial" w:cs="Arial" w:eastAsia="Arial" w:hAnsi="Arial"/>
                <w:sz w:val="29"/>
                <w:szCs w:val="29"/>
                <w:b w:val="1"/>
                <w:bCs w:val="1"/>
                <w:color w:val="003366"/>
              </w:rPr>
              <w:t>I.</w:t>
            </w:r>
          </w:p>
        </w:tc>
        <w:tc>
          <w:tcPr>
            <w:tcW w:w="5160" w:type="dxa"/>
            <w:vAlign w:val="bottom"/>
          </w:tcPr>
          <w:p>
            <w:pPr>
              <w:ind w:left="280"/>
              <w:spacing w:after="0"/>
              <w:rPr>
                <w:sz w:val="20"/>
                <w:szCs w:val="20"/>
                <w:color w:val="auto"/>
              </w:rPr>
            </w:pPr>
            <w:r>
              <w:rPr>
                <w:rFonts w:ascii="Arial" w:cs="Arial" w:eastAsia="Arial" w:hAnsi="Arial"/>
                <w:sz w:val="29"/>
                <w:szCs w:val="29"/>
                <w:b w:val="1"/>
                <w:bCs w:val="1"/>
                <w:color w:val="003366"/>
              </w:rPr>
              <w:t>Long-Term Debt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(in millions):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September 30, 2022</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8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0"/>
              <w:spacing w:after="0" w:line="151"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740" w:type="dxa"/>
            <w:vAlign w:val="bottom"/>
          </w:tcPr>
          <w:p>
            <w:pPr>
              <w:jc w:val="right"/>
              <w:ind w:right="1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586</w:t>
            </w:r>
          </w:p>
        </w:tc>
        <w:tc>
          <w:tcPr>
            <w:tcW w:w="520" w:type="dxa"/>
            <w:vAlign w:val="bottom"/>
            <w:gridSpan w:val="3"/>
          </w:tcPr>
          <w:p>
            <w:pPr>
              <w:jc w:val="right"/>
              <w:ind w:right="18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590</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3.50% Senior Notes due August 2026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20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197"/>
        </w:trPr>
        <w:tc>
          <w:tcPr>
            <w:tcW w:w="20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20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Scheduled principal payments on debt for the balance of 2022, the subsequent five years and thereafter are as follows: 2022 — none; 2023 — none; 2024 — none; 2025 — none; 2026 — none; 2027 — none and thereafter — $1.56 billion.</w:t>
      </w:r>
    </w:p>
    <w:p>
      <w:pPr>
        <w:spacing w:after="0" w:line="199"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In the first six months of 2022, AFG repurchased $49 million principal amount of its 3.50% Senior Notes due in August 2026 in open market transactions for $51 million. In June 2022, AFG redeemed the remaining $376 million of outstanding 3.50% Senior Notes due August 2026 for $382 million (including a $6 million make-whole premium).</w:t>
      </w:r>
    </w:p>
    <w:p>
      <w:pPr>
        <w:spacing w:after="0" w:line="20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the third quarter of 2022, AFG repurchased $4 million principal amount of its 4.50% Senior Notes due in June 2047 for $3 million and $5 million principal amount of its 5.25% Senior Notes due in April 2030 for $5 million in open market transactions (a portion of these repurchases settled in the first few days of October 2022).</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AFG can borrow up to $500 million under its revolving credit facility, which expires in December 2025. Amounts borrowed under this agreement bear interest at rates ranging from 1.00% to 1.875% (currently 1.375%) over LIBOR based on AFG’s credit rating. No amounts were borrowed under this facility at September 30, 2022 or December 31, 2021.</w:t>
      </w:r>
    </w:p>
    <w:p>
      <w:pPr>
        <w:spacing w:after="0" w:line="202"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59"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97"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3366"/>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Quarter ended September 30, 2022</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auto"/>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unrealized losses on cash flow hedges</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plans adjustments (“OPRP”)</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Quarter ended September 30, 2021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4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plans adjustments (“OPRP”)</w:t>
            </w:r>
          </w:p>
        </w:tc>
        <w:tc>
          <w:tcPr>
            <w:tcW w:w="140" w:type="dxa"/>
            <w:vAlign w:val="bottom"/>
          </w:tcPr>
          <w:p>
            <w:pPr>
              <w:spacing w:after="0"/>
              <w:rPr>
                <w:sz w:val="17"/>
                <w:szCs w:val="17"/>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8"/>
          </w:tcPr>
          <w:p>
            <w:pPr>
              <w:jc w:val="center"/>
              <w:ind w:right="30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39" w:lineRule="exact"/>
              <w:rPr>
                <w:sz w:val="20"/>
                <w:szCs w:val="20"/>
                <w:color w:val="auto"/>
              </w:rPr>
            </w:pPr>
            <w:r>
              <w:rPr>
                <w:rFonts w:ascii="Arial" w:cs="Arial" w:eastAsia="Arial" w:hAnsi="Arial"/>
                <w:sz w:val="14"/>
                <w:szCs w:val="14"/>
                <w:color w:val="auto"/>
              </w:rPr>
              <w:t>AOCI</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60" w:type="dxa"/>
            <w:vAlign w:val="bottom"/>
          </w:tcPr>
          <w:p>
            <w:pPr>
              <w:spacing w:after="0"/>
              <w:rPr>
                <w:sz w:val="12"/>
                <w:szCs w:val="12"/>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9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Nine months ended September 30, 2022</w:t>
            </w:r>
          </w:p>
        </w:tc>
        <w:tc>
          <w:tcPr>
            <w:tcW w:w="29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losses on securities arising during the period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losses on cash flow hedges arising during the period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w:t>
            </w: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losses on cash flow hedges</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Nine months ended September 30, 2021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ind w:left="160"/>
              <w:spacing w:after="0"/>
              <w:rPr>
                <w:sz w:val="20"/>
                <w:szCs w:val="20"/>
                <w:color w:val="auto"/>
              </w:rPr>
            </w:pPr>
            <w:r>
              <w:rPr>
                <w:rFonts w:ascii="Arial" w:cs="Arial" w:eastAsia="Arial" w:hAnsi="Arial"/>
                <w:sz w:val="15"/>
                <w:szCs w:val="15"/>
                <w:color w:val="auto"/>
              </w:rPr>
              <w:t>Unrealized holding losses on securities arising during the period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for unrealized gains on securities of subsidiaries sold</w:t>
            </w: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losses on cash flow hedges arising during the period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gridSpan w:val="2"/>
          </w:tcPr>
          <w:p>
            <w:pPr>
              <w:ind w:left="160"/>
              <w:spacing w:after="0" w:line="149" w:lineRule="exact"/>
              <w:rPr>
                <w:sz w:val="20"/>
                <w:szCs w:val="20"/>
                <w:color w:val="auto"/>
              </w:rPr>
            </w:pPr>
            <w:r>
              <w:rPr>
                <w:rFonts w:ascii="Arial" w:cs="Arial" w:eastAsia="Arial" w:hAnsi="Arial"/>
                <w:sz w:val="15"/>
                <w:szCs w:val="15"/>
                <w:color w:val="auto"/>
              </w:rPr>
              <w:t>Reclassification adjustment for investment income included in net earnings from</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340"/>
              <w:spacing w:after="0"/>
              <w:rPr>
                <w:sz w:val="20"/>
                <w:szCs w:val="20"/>
                <w:color w:val="auto"/>
              </w:rPr>
            </w:pPr>
            <w:r>
              <w:rPr>
                <w:rFonts w:ascii="Arial" w:cs="Arial" w:eastAsia="Arial" w:hAnsi="Arial"/>
                <w:sz w:val="15"/>
                <w:szCs w:val="15"/>
                <w:color w:val="auto"/>
              </w:rPr>
              <w:t>discontinued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for unrealized gains on cash flow hedges of subsidiaries sold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5"/>
                <w:szCs w:val="15"/>
                <w:color w:val="auto"/>
              </w:rPr>
              <w:t>Pension and OPRP adjustments: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losses on pension and OPRP arising during the period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gridSpan w:val="2"/>
          </w:tcPr>
          <w:p>
            <w:pPr>
              <w:ind w:left="160"/>
              <w:spacing w:after="0" w:line="149" w:lineRule="exact"/>
              <w:rPr>
                <w:sz w:val="20"/>
                <w:szCs w:val="20"/>
                <w:color w:val="auto"/>
              </w:rPr>
            </w:pPr>
            <w:r>
              <w:rPr>
                <w:rFonts w:ascii="Arial" w:cs="Arial" w:eastAsia="Arial" w:hAnsi="Arial"/>
                <w:sz w:val="15"/>
                <w:szCs w:val="15"/>
                <w:color w:val="auto"/>
              </w:rPr>
              <w:t>Reclassification adjustment for pension settlement loss included in other expense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0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in net earnings</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pension and OPRP adjustments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reclassification adjustment out of net unrealized gains (losses) on securities affected the following lines in AFG’s Statement of Earnings:</w:t>
      </w:r>
    </w:p>
    <w:p>
      <w:pPr>
        <w:spacing w:after="0" w:line="52"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OCI component</w:t>
            </w:r>
          </w:p>
        </w:tc>
        <w:tc>
          <w:tcPr>
            <w:tcW w:w="6700" w:type="dxa"/>
            <w:vAlign w:val="bottom"/>
          </w:tcPr>
          <w:p>
            <w:pPr>
              <w:ind w:left="20"/>
              <w:spacing w:after="0"/>
              <w:rPr>
                <w:sz w:val="20"/>
                <w:szCs w:val="20"/>
                <w:color w:val="auto"/>
              </w:rPr>
            </w:pPr>
            <w:r>
              <w:rPr>
                <w:rFonts w:ascii="Arial" w:cs="Arial" w:eastAsia="Arial" w:hAnsi="Arial"/>
                <w:sz w:val="15"/>
                <w:szCs w:val="15"/>
                <w:color w:val="auto"/>
              </w:rPr>
              <w:t>Affected line in the statement of earnings</w:t>
            </w:r>
          </w:p>
        </w:tc>
      </w:tr>
      <w:tr>
        <w:trPr>
          <w:trHeight w:val="195"/>
        </w:trPr>
        <w:tc>
          <w:tcPr>
            <w:tcW w:w="29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Pretax</w:t>
            </w:r>
          </w:p>
        </w:tc>
        <w:tc>
          <w:tcPr>
            <w:tcW w:w="100" w:type="dxa"/>
            <w:vAlign w:val="bottom"/>
          </w:tcPr>
          <w:p>
            <w:pPr>
              <w:spacing w:after="0"/>
              <w:rPr>
                <w:sz w:val="16"/>
                <w:szCs w:val="16"/>
                <w:color w:val="auto"/>
              </w:rPr>
            </w:pPr>
          </w:p>
        </w:tc>
        <w:tc>
          <w:tcPr>
            <w:tcW w:w="67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Realized gains (losses) on securities</w:t>
            </w:r>
          </w:p>
        </w:tc>
      </w:tr>
      <w:tr>
        <w:trPr>
          <w:trHeight w:val="200"/>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Tax</w:t>
            </w:r>
          </w:p>
        </w:tc>
        <w:tc>
          <w:tcPr>
            <w:tcW w:w="670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r>
    </w:tbl>
    <w:p>
      <w:pPr>
        <w:spacing w:after="0" w:line="347"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b w:val="1"/>
          <w:bCs w:val="1"/>
          <w:color w:val="003366"/>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form of stock options, stock appreciation rights, restricted stock awards, restricted stock units and stock awards. In the first nine months of 2022, AFG issued 151,080 shares of restricted Common Stock (fair value of $133.94 per share) under the Stock Incentive Plan.</w:t>
      </w:r>
    </w:p>
    <w:p>
      <w:pPr>
        <w:spacing w:after="0" w:line="212"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color w:val="auto"/>
        </w:rPr>
        <w:t>Total compensation expense related to stock incentive plans of AFG and its subsidiaries was $4 million in the third quarter of 2022 and 2021 and $14 million and $11 million in the first nine months of 2022 and 2021,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on continuing operations at the statutory rate of 21% to the provision for income taxes as shown 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AFG’s Statement of Earnings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11"/>
          </w:tcPr>
          <w:p>
            <w:pPr>
              <w:ind w:left="560"/>
              <w:spacing w:after="0"/>
              <w:rPr>
                <w:sz w:val="20"/>
                <w:szCs w:val="20"/>
                <w:color w:val="auto"/>
              </w:rPr>
            </w:pPr>
            <w:r>
              <w:rPr>
                <w:rFonts w:ascii="Arial" w:cs="Arial" w:eastAsia="Arial" w:hAnsi="Arial"/>
                <w:sz w:val="15"/>
                <w:szCs w:val="15"/>
                <w:color w:val="auto"/>
              </w:rPr>
              <w:t>Three months ended September 30,</w:t>
            </w:r>
          </w:p>
        </w:tc>
        <w:tc>
          <w:tcPr>
            <w:tcW w:w="120" w:type="dxa"/>
            <w:vAlign w:val="bottom"/>
          </w:tcPr>
          <w:p>
            <w:pPr>
              <w:spacing w:after="0"/>
              <w:rPr>
                <w:sz w:val="17"/>
                <w:szCs w:val="17"/>
                <w:color w:val="auto"/>
              </w:rPr>
            </w:pPr>
          </w:p>
        </w:tc>
        <w:tc>
          <w:tcPr>
            <w:tcW w:w="3840" w:type="dxa"/>
            <w:vAlign w:val="bottom"/>
            <w:gridSpan w:val="8"/>
          </w:tcPr>
          <w:p>
            <w:pPr>
              <w:jc w:val="right"/>
              <w:ind w:right="71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5"/>
                <w:szCs w:val="15"/>
                <w:color w:val="auto"/>
                <w:w w:val="95"/>
              </w:rPr>
              <w:t>2022</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2022</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5"/>
                <w:szCs w:val="15"/>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5"/>
                <w:szCs w:val="15"/>
                <w:color w:val="auto"/>
                <w:w w:val="96"/>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Amount</w:t>
            </w:r>
          </w:p>
        </w:tc>
        <w:tc>
          <w:tcPr>
            <w:tcW w:w="100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Amount</w:t>
            </w:r>
          </w:p>
        </w:tc>
        <w:tc>
          <w:tcPr>
            <w:tcW w:w="102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0" w:type="dxa"/>
            <w:vAlign w:val="bottom"/>
          </w:tcPr>
          <w:p>
            <w:pPr>
              <w:spacing w:after="0"/>
              <w:rPr>
                <w:sz w:val="1"/>
                <w:szCs w:val="1"/>
                <w:color w:val="auto"/>
              </w:rPr>
            </w:pPr>
          </w:p>
        </w:tc>
      </w:tr>
      <w:tr>
        <w:trPr>
          <w:trHeight w:val="143"/>
        </w:trPr>
        <w:tc>
          <w:tcPr>
            <w:tcW w:w="33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Earnings from continuing operations before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(“EBT”)</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Employee stock ownership plan dividend</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paid deduction</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exempt interest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Adjustment to prior year taxes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received deduction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Foreign operations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Nondeductible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Change in valuation allowance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42"/>
        </w:trPr>
        <w:tc>
          <w:tcPr>
            <w:tcW w:w="3360" w:type="dxa"/>
            <w:vAlign w:val="bottom"/>
          </w:tcPr>
          <w:p>
            <w:pPr>
              <w:ind w:left="20"/>
              <w:spacing w:after="0" w:line="142" w:lineRule="exact"/>
              <w:rPr>
                <w:sz w:val="20"/>
                <w:szCs w:val="20"/>
                <w:color w:val="auto"/>
              </w:rPr>
            </w:pPr>
            <w:r>
              <w:rPr>
                <w:rFonts w:ascii="Arial" w:cs="Arial" w:eastAsia="Arial" w:hAnsi="Arial"/>
                <w:sz w:val="16"/>
                <w:szCs w:val="16"/>
                <w:color w:val="auto"/>
              </w:rPr>
              <w:t>Provision for income taxes as shown in the</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100" w:type="dxa"/>
            <w:vAlign w:val="bottom"/>
            <w:gridSpan w:val="3"/>
            <w:vMerge w:val="restart"/>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100" w:type="dxa"/>
            <w:vAlign w:val="bottom"/>
            <w:gridSpan w:val="3"/>
            <w:vMerge w:val="restart"/>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89"/>
        </w:trPr>
        <w:tc>
          <w:tcPr>
            <w:tcW w:w="3360" w:type="dxa"/>
            <w:vAlign w:val="bottom"/>
          </w:tcPr>
          <w:p>
            <w:pPr>
              <w:ind w:left="180"/>
              <w:spacing w:after="0"/>
              <w:rPr>
                <w:sz w:val="20"/>
                <w:szCs w:val="20"/>
                <w:color w:val="auto"/>
              </w:rPr>
            </w:pPr>
            <w:r>
              <w:rPr>
                <w:rFonts w:ascii="Arial" w:cs="Arial" w:eastAsia="Arial" w:hAnsi="Arial"/>
                <w:sz w:val="16"/>
                <w:szCs w:val="16"/>
                <w:color w:val="auto"/>
              </w:rPr>
              <w:t>statement of earnings</w:t>
            </w: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AFG’s net operating loss carryforwards (“NOL”) subject to separate return limitation year (“SRLY”) tax rules of $43 million will expire unutilized at December 31, 2022. Since AFG maintains a full valuation allowance against its SRLY NOLs, the expiration of these loss carryforwards will be offset by a corresponding reduction in the valuation allowance and will have no overall impact on AFG’s income tax expense or results of operations.</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August 2022, the United States federal government enacted the Inflation Reduction Act (“IRA”) which, among other things, created a new corporate alternative minimum tax (“AMT”) based on the earnings that a company reports in its financial statements and imposes a 1% excise tax on corporate stock repurchases. The effective date of the IRA is January 1, 2023, and the August 2022 enactment did not have an immediate impact on AFG’s financial statements. Due to the lack of specific guidance at this time, AFG cannot determine whether it will be subject to the new AMT. Any AMT incurred would be available to offset AFG’s taxes payable under the standard calculation in future periods. Accordingly, the AMT is a timing difference and would result in the recording of an offsetting deferred tax asset with no impact on overall income tax expense. The excise tax on stock repurchases would be recorded as part of the cost of the repurchases directly in shareholders’ equity.</w:t>
      </w:r>
    </w:p>
    <w:p>
      <w:pPr>
        <w:spacing w:after="0" w:line="197"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7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M — “Contingencies”</w:t>
      </w:r>
      <w:r>
        <w:rPr>
          <w:rFonts w:ascii="Arial" w:cs="Arial" w:eastAsia="Arial" w:hAnsi="Arial"/>
          <w:sz w:val="17"/>
          <w:szCs w:val="17"/>
          <w:color w:val="auto"/>
        </w:rPr>
        <w:t xml:space="preserve"> of AFG’s 2021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1" w:lineRule="exact"/>
        <w:rPr>
          <w:sz w:val="20"/>
          <w:szCs w:val="20"/>
          <w:color w:val="auto"/>
        </w:rPr>
      </w:pPr>
    </w:p>
    <w:p>
      <w:pPr>
        <w:ind w:right="760"/>
        <w:spacing w:after="0" w:line="237" w:lineRule="auto"/>
        <w:rPr>
          <w:sz w:val="20"/>
          <w:szCs w:val="20"/>
          <w:color w:val="auto"/>
        </w:rPr>
      </w:pPr>
      <w:r>
        <w:rPr>
          <w:rFonts w:ascii="Arial" w:cs="Arial" w:eastAsia="Arial" w:hAnsi="Arial"/>
          <w:sz w:val="20"/>
          <w:szCs w:val="20"/>
          <w:b w:val="1"/>
          <w:bCs w:val="1"/>
          <w:color w:val="003366"/>
        </w:rPr>
        <w:t xml:space="preserve">Property and Casualty Insurance Reserves </w:t>
      </w:r>
      <w:r>
        <w:rPr>
          <w:rFonts w:ascii="Arial" w:cs="Arial" w:eastAsia="Arial" w:hAnsi="Arial"/>
          <w:sz w:val="17"/>
          <w:szCs w:val="17"/>
          <w:color w:val="000000"/>
        </w:rPr>
        <w:t>The following table provides an analysis of changes in the liability for losses and loss</w:t>
      </w:r>
      <w:r>
        <w:rPr>
          <w:rFonts w:ascii="Arial" w:cs="Arial" w:eastAsia="Arial" w:hAnsi="Arial"/>
          <w:sz w:val="20"/>
          <w:szCs w:val="20"/>
          <w:b w:val="1"/>
          <w:bCs w:val="1"/>
          <w:color w:val="003366"/>
        </w:rPr>
        <w:t xml:space="preserve"> </w:t>
      </w:r>
      <w:r>
        <w:rPr>
          <w:rFonts w:ascii="Arial" w:cs="Arial" w:eastAsia="Arial" w:hAnsi="Arial"/>
          <w:sz w:val="17"/>
          <w:szCs w:val="17"/>
          <w:color w:val="000000"/>
        </w:rPr>
        <w:t>adjustment expenses during the first nine months of 2022 and 2021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2021</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11,074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10,392</w:t>
            </w:r>
          </w:p>
        </w:tc>
      </w:tr>
      <w:tr>
        <w:trPr>
          <w:trHeight w:val="21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7,275</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2,543</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2,335</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17"/>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7,591</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12,067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10,991</w:t>
            </w:r>
          </w:p>
        </w:tc>
      </w:tr>
      <w:tr>
        <w:trPr>
          <w:trHeight w:val="21"/>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net decrease in the provision for claims of prior years during the first nine months of 2022 reflects (i) lower than anticipated losses in the crop business, lower than expected claim frequency in the trucking and ocean marine businesses and in the Singapore operations, lower than expected claim frequency and severity in the aviation business and lower than anticipated claim severity in the property and inland marine business (within the Property and transportation sub-segment), (ii) lower than anticipated claim severity in the workers’ compensation businesses, lower than expected claim frequency in the executive liability business and lower than anticipated claim frequency and severity in the excess and surplus business (within the Specialty casualty sub-segment) and (iii) lower than anticipated claim frequency in the surety, trade credit and financial institutions businesses (within the Specialty financial sub-segment). This favorable development was partially offset by higher than anticipated claim severity in the targeted markets and excess liability businesses (within the Specialty casualty sub-segment).</w:t>
      </w:r>
    </w:p>
    <w:p>
      <w:pPr>
        <w:spacing w:after="0" w:line="208"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net decrease in the provision for claims of prior years during the first nine months of 2021 reflects (i) lower than anticipated claim frequency and severity in the transportation businesses, lower than expected losses in the crop business, lower than expected claim severity in the property and inland marine business and lower than expected claim frequency in the aviation business (within the Property and transportation sub-segment),</w:t>
      </w:r>
    </w:p>
    <w:p>
      <w:pPr>
        <w:spacing w:after="0" w:line="2" w:lineRule="exact"/>
        <w:rPr>
          <w:sz w:val="20"/>
          <w:szCs w:val="20"/>
          <w:color w:val="auto"/>
        </w:rPr>
      </w:pPr>
    </w:p>
    <w:p>
      <w:pPr>
        <w:ind w:right="120" w:firstLine="8"/>
        <w:spacing w:after="0" w:line="256" w:lineRule="auto"/>
        <w:tabs>
          <w:tab w:leader="none" w:pos="237"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lower than anticipated claim severity in the workers’ compensation businesses (within the Specialty casualty sub-segment) and (iii) lower than anticipated claim frequency in the surety and trade credit businesses and lower than expected claim frequency and severity in the financial institutions business (within the Specialty financial sub-segment). This favorable development was partially offset by (i) higher than expected claim frequency and severity in equine business (within the Property and transportation sub-segment) and (ii) higher than anticipated claim severity in the general liability and targeted markets businesses (within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2022 and 2021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related to continuing operations are shown below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Recoverables from Reinsurers</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3"/>
                <w:szCs w:val="13"/>
                <w:color w:val="auto"/>
              </w:rPr>
              <w:t>Premiums Receivable</w:t>
            </w:r>
          </w:p>
        </w:tc>
        <w:tc>
          <w:tcPr>
            <w:tcW w:w="380" w:type="dxa"/>
            <w:vAlign w:val="bottom"/>
            <w:tcBorders>
              <w:bottom w:val="single" w:sz="8" w:color="auto"/>
            </w:tcBorders>
          </w:tcPr>
          <w:p>
            <w:pPr>
              <w:spacing w:after="0"/>
              <w:rPr>
                <w:sz w:val="15"/>
                <w:szCs w:val="15"/>
                <w:color w:val="auto"/>
              </w:rPr>
            </w:pPr>
          </w:p>
        </w:tc>
      </w:tr>
      <w:tr>
        <w:trPr>
          <w:trHeight w:val="201"/>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rPr>
              <w:t>2021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rPr>
              <w:t>2021</w:t>
            </w:r>
          </w:p>
        </w:tc>
        <w:tc>
          <w:tcPr>
            <w:tcW w:w="380" w:type="dxa"/>
            <w:vAlign w:val="bottom"/>
            <w:tcBorders>
              <w:bottom w:val="single" w:sz="8" w:color="auto"/>
            </w:tcBorders>
          </w:tcPr>
          <w:p>
            <w:pPr>
              <w:spacing w:after="0"/>
              <w:rPr>
                <w:sz w:val="17"/>
                <w:szCs w:val="17"/>
                <w:color w:val="auto"/>
              </w:rPr>
            </w:pP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Balance at September 30</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Balance at January 1</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w:t>
            </w:r>
          </w:p>
        </w:tc>
        <w:tc>
          <w:tcPr>
            <w:tcW w:w="96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97"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Page</w:t>
            </w:r>
          </w:p>
        </w:tc>
        <w:tc>
          <w:tcPr>
            <w:tcW w:w="5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36"/>
        </w:trPr>
        <w:tc>
          <w:tcPr>
            <w:tcW w:w="412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860" w:type="dxa"/>
            <w:vAlign w:val="bottom"/>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33</w:t>
            </w:r>
          </w:p>
        </w:tc>
        <w:tc>
          <w:tcPr>
            <w:tcW w:w="5460" w:type="dxa"/>
            <w:vAlign w:val="bottom"/>
          </w:tcPr>
          <w:p>
            <w:pPr>
              <w:ind w:left="140"/>
              <w:spacing w:after="0"/>
              <w:rPr>
                <w:sz w:val="20"/>
                <w:szCs w:val="20"/>
                <w:color w:val="auto"/>
              </w:rPr>
            </w:pPr>
            <w:r>
              <w:rPr>
                <w:rFonts w:ascii="Arial" w:cs="Arial" w:eastAsia="Arial" w:hAnsi="Arial"/>
                <w:sz w:val="16"/>
                <w:szCs w:val="16"/>
                <w:b w:val="1"/>
                <w:bCs w:val="1"/>
                <w:color w:val="0000FF"/>
              </w:rPr>
              <w:t>Results of Operations — Third Quarter</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34</w:t>
            </w:r>
          </w:p>
        </w:tc>
        <w:tc>
          <w:tcPr>
            <w:tcW w:w="5460" w:type="dxa"/>
            <w:vAlign w:val="bottom"/>
          </w:tcPr>
          <w:p>
            <w:pPr>
              <w:ind w:left="46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35</w:t>
            </w:r>
          </w:p>
        </w:tc>
        <w:tc>
          <w:tcPr>
            <w:tcW w:w="5460" w:type="dxa"/>
            <w:vAlign w:val="bottom"/>
          </w:tcPr>
          <w:p>
            <w:pPr>
              <w:ind w:left="46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35</w:t>
            </w:r>
          </w:p>
        </w:tc>
        <w:tc>
          <w:tcPr>
            <w:tcW w:w="5460" w:type="dxa"/>
            <w:vAlign w:val="bottom"/>
          </w:tcPr>
          <w:p>
            <w:pPr>
              <w:ind w:left="46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35</w:t>
            </w:r>
          </w:p>
        </w:tc>
        <w:tc>
          <w:tcPr>
            <w:tcW w:w="5460" w:type="dxa"/>
            <w:vAlign w:val="bottom"/>
          </w:tcPr>
          <w:p>
            <w:pPr>
              <w:ind w:left="140"/>
              <w:spacing w:after="0"/>
              <w:rPr>
                <w:sz w:val="20"/>
                <w:szCs w:val="20"/>
                <w:color w:val="auto"/>
              </w:rPr>
            </w:pPr>
            <w:r>
              <w:rPr>
                <w:rFonts w:ascii="Arial" w:cs="Arial" w:eastAsia="Arial" w:hAnsi="Arial"/>
                <w:sz w:val="16"/>
                <w:szCs w:val="16"/>
                <w:b w:val="1"/>
                <w:bCs w:val="1"/>
                <w:color w:val="0000FF"/>
              </w:rPr>
              <w:t>Results of Operations — First Nine Months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35</w:t>
            </w:r>
          </w:p>
        </w:tc>
        <w:tc>
          <w:tcPr>
            <w:tcW w:w="5460" w:type="dxa"/>
            <w:vAlign w:val="bottom"/>
          </w:tcPr>
          <w:p>
            <w:pPr>
              <w:ind w:left="46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36</w:t>
            </w:r>
          </w:p>
        </w:tc>
        <w:tc>
          <w:tcPr>
            <w:tcW w:w="5460" w:type="dxa"/>
            <w:vAlign w:val="bottom"/>
          </w:tcPr>
          <w:p>
            <w:pPr>
              <w:ind w:left="46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37</w:t>
            </w:r>
          </w:p>
        </w:tc>
        <w:tc>
          <w:tcPr>
            <w:tcW w:w="5460" w:type="dxa"/>
            <w:vAlign w:val="bottom"/>
          </w:tcPr>
          <w:p>
            <w:pPr>
              <w:ind w:left="46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40</w:t>
            </w:r>
          </w:p>
        </w:tc>
        <w:tc>
          <w:tcPr>
            <w:tcW w:w="5460" w:type="dxa"/>
            <w:vAlign w:val="bottom"/>
          </w:tcPr>
          <w:p>
            <w:pPr>
              <w:ind w:left="460"/>
              <w:spacing w:after="0"/>
              <w:rPr>
                <w:sz w:val="20"/>
                <w:szCs w:val="20"/>
                <w:color w:val="auto"/>
              </w:rPr>
            </w:pPr>
            <w:r>
              <w:rPr>
                <w:rFonts w:ascii="Arial" w:cs="Arial" w:eastAsia="Arial" w:hAnsi="Arial"/>
                <w:sz w:val="16"/>
                <w:szCs w:val="16"/>
                <w:b w:val="1"/>
                <w:bCs w:val="1"/>
                <w:color w:val="0000FF"/>
              </w:rPr>
              <w:t>Real Estate Entities Acquired from the Annuity</w:t>
            </w: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0000FF"/>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b w:val="1"/>
                <w:bCs w:val="1"/>
                <w:color w:val="0000FF"/>
              </w:rPr>
              <w:t>Managed Investment Entities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41</w:t>
            </w:r>
          </w:p>
        </w:tc>
        <w:tc>
          <w:tcPr>
            <w:tcW w:w="5460" w:type="dxa"/>
            <w:vAlign w:val="bottom"/>
          </w:tcPr>
          <w:p>
            <w:pPr>
              <w:ind w:left="620"/>
              <w:spacing w:after="0"/>
              <w:rPr>
                <w:sz w:val="20"/>
                <w:szCs w:val="20"/>
                <w:color w:val="auto"/>
              </w:rPr>
            </w:pPr>
            <w:r>
              <w:rPr>
                <w:rFonts w:ascii="Arial" w:cs="Arial" w:eastAsia="Arial" w:hAnsi="Arial"/>
                <w:sz w:val="16"/>
                <w:szCs w:val="16"/>
                <w:b w:val="1"/>
                <w:bCs w:val="1"/>
                <w:color w:val="0000FF"/>
              </w:rPr>
              <w:t>Operations</w:t>
            </w:r>
          </w:p>
        </w:tc>
        <w:tc>
          <w:tcPr>
            <w:tcW w:w="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6"/>
                <w:szCs w:val="16"/>
                <w:b w:val="1"/>
                <w:bCs w:val="1"/>
                <w:color w:val="0000FF"/>
              </w:rPr>
              <w:t>Results of Operations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44</w:t>
            </w:r>
          </w:p>
        </w:tc>
        <w:tc>
          <w:tcPr>
            <w:tcW w:w="5460" w:type="dxa"/>
            <w:vAlign w:val="bottom"/>
          </w:tcPr>
          <w:p>
            <w:pPr>
              <w:ind w:left="460"/>
              <w:spacing w:after="0"/>
              <w:rPr>
                <w:sz w:val="20"/>
                <w:szCs w:val="20"/>
                <w:color w:val="auto"/>
              </w:rPr>
            </w:pPr>
            <w:r>
              <w:rPr>
                <w:rFonts w:ascii="Arial" w:cs="Arial" w:eastAsia="Arial" w:hAnsi="Arial"/>
                <w:sz w:val="16"/>
                <w:szCs w:val="16"/>
                <w:b w:val="1"/>
                <w:bCs w:val="1"/>
                <w:color w:val="0000FF"/>
              </w:rPr>
              <w:t>Discontinued Annuity Operations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360"/>
              <w:spacing w:after="0"/>
              <w:rPr>
                <w:sz w:val="20"/>
                <w:szCs w:val="20"/>
                <w:color w:val="auto"/>
              </w:rPr>
            </w:pPr>
            <w:r>
              <w:rPr>
                <w:rFonts w:ascii="Arial" w:cs="Arial" w:eastAsia="Arial" w:hAnsi="Arial"/>
                <w:sz w:val="16"/>
                <w:szCs w:val="16"/>
                <w:b w:val="1"/>
                <w:bCs w:val="1"/>
                <w:color w:val="0000FF"/>
              </w:rPr>
              <w:t>General</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44</w:t>
            </w:r>
          </w:p>
        </w:tc>
        <w:tc>
          <w:tcPr>
            <w:tcW w:w="5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recoverability of asset values; expected losses and the adequacy of reserves for asbestos, environmental pollution and mass tort claims; rate changes; and improved loss experience.</w:t>
      </w:r>
    </w:p>
    <w:p>
      <w:pPr>
        <w:spacing w:after="0" w:line="20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Actual results and/or financial condition could differ materially from those contained in or implied by such forward-looking statements for a variety of reasons including but not limited to:</w:t>
      </w:r>
    </w:p>
    <w:p>
      <w:pPr>
        <w:spacing w:after="0" w:line="1" w:lineRule="exact"/>
        <w:rPr>
          <w:sz w:val="20"/>
          <w:szCs w:val="20"/>
          <w:color w:val="auto"/>
        </w:rPr>
      </w:pPr>
    </w:p>
    <w:p>
      <w:pPr>
        <w:ind w:left="580" w:right="18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currency fluctuations and extended economic recessions or expansions in the U.S. and/or abroad;</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7" w:lineRule="exact"/>
        <w:rPr>
          <w:rFonts w:ascii="Arial" w:cs="Arial" w:eastAsia="Arial" w:hAnsi="Arial"/>
          <w:sz w:val="17"/>
          <w:szCs w:val="17"/>
          <w:color w:val="auto"/>
        </w:rPr>
      </w:pPr>
    </w:p>
    <w:p>
      <w:pPr>
        <w:ind w:left="580" w:right="800" w:hanging="329"/>
        <w:spacing w:after="0" w:line="256"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effects of the COVID-19 pandemic;</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13" w:lineRule="exact"/>
        <w:rPr>
          <w:rFonts w:ascii="Arial" w:cs="Arial" w:eastAsia="Arial" w:hAnsi="Arial"/>
          <w:sz w:val="17"/>
          <w:szCs w:val="17"/>
          <w:color w:val="auto"/>
        </w:rPr>
      </w:pPr>
    </w:p>
    <w:p>
      <w:pPr>
        <w:ind w:left="580" w:right="500" w:hanging="329"/>
        <w:spacing w:after="0" w:line="253"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ind w:left="580" w:right="34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and/or expose AFG to litigation;</w:t>
      </w:r>
    </w:p>
    <w:p>
      <w:pPr>
        <w:spacing w:after="0" w:line="1" w:lineRule="exact"/>
        <w:rPr>
          <w:rFonts w:ascii="Arial" w:cs="Arial" w:eastAsia="Arial" w:hAnsi="Arial"/>
          <w:sz w:val="17"/>
          <w:szCs w:val="17"/>
          <w:color w:val="auto"/>
        </w:rPr>
      </w:pPr>
    </w:p>
    <w:p>
      <w:pPr>
        <w:ind w:left="580" w:right="180" w:hanging="329"/>
        <w:spacing w:after="0" w:line="256"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 and</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effects on AFG’s reputation, including as a result of environmental, social and governance matters.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4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2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28"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 AFG’s former annuity operations are reported as discontinued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AFG reported net earnings from continuing operations of $165 million ($1.93 per share, diluted) for the third quarter of 2022 compared to</w:t>
      </w:r>
    </w:p>
    <w:p>
      <w:pPr>
        <w:spacing w:after="0" w:line="2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$219 million ($2.56 per share, diluted) for the third quarter of 2021. Lower underwriting profit, lower net investment income, higher holding company expenses and higher net realized losses on securities in the third quarter of 2022 compared to the third quarter of 2021 were the drivers of these results, partially offset by lower interest charges on borrowed money.</w:t>
      </w:r>
    </w:p>
    <w:p>
      <w:pPr>
        <w:spacing w:after="0" w:line="209" w:lineRule="exact"/>
        <w:rPr>
          <w:sz w:val="20"/>
          <w:szCs w:val="20"/>
          <w:color w:val="auto"/>
        </w:rPr>
      </w:pPr>
    </w:p>
    <w:p>
      <w:pPr>
        <w:ind w:right="480"/>
        <w:spacing w:after="0" w:line="266" w:lineRule="auto"/>
        <w:rPr>
          <w:sz w:val="20"/>
          <w:szCs w:val="20"/>
          <w:color w:val="auto"/>
        </w:rPr>
      </w:pPr>
      <w:r>
        <w:rPr>
          <w:rFonts w:ascii="Arial" w:cs="Arial" w:eastAsia="Arial" w:hAnsi="Arial"/>
          <w:sz w:val="17"/>
          <w:szCs w:val="17"/>
          <w:color w:val="auto"/>
        </w:rPr>
        <w:t>AFG reported net earnings from continuing operations of $622 million ($7.29 per share, diluted) for the first nine months of 2022 compared to $726 million ($8.45 per share, diluted) for the first nine months of 2021. Higher underwriting profit, higher net investment income, lower interest charges on borrowed money and lower holding company expenses in 2022 compared to 2021 were more than offset by net realized losses on securities in the first nine months of 2022 compared to net realized gains on securities in the first nine months of 2021.</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Sale of the Annuity Business</w:t>
      </w:r>
    </w:p>
    <w:p>
      <w:pPr>
        <w:spacing w:after="0" w:line="2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May 2021, AFG sold its annuity business, including Great American Life Insurance Company and its two insurance subsidiaries, Annuity Investors Life Insurance Company and Manhattan National Life Insurance Company to Massachusetts Mutual Life Insurance Company (“MassMutual”). Total proceeds from the sale were $3.57 billion and AFG realized an after-tax gain on the sale of $656 million in the first six months of 2021.</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2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Inflation, supply chain disruption, labor shortages and other economic conditions may impact premium levels, loss cost trends and investment returns. Management believes that AFG’s strong financial position and current liquidity and capital at its subsidiaries will give AFG the flexibility to continue to effectively address and respond to the ongoing uncertainties presented by the macro-economic environment, the conflict between Russia and Ukraine and the COVID-19 pandemic. AFG’s insurance subsidiaries continue to have capital at or in excess of the levels required by ratings agencies in order to maintain their current ratings, and the parent company does not have any near-term debt maturities.</w:t>
      </w:r>
    </w:p>
    <w:p>
      <w:pPr>
        <w:spacing w:after="0" w:line="2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Management expects continued premium growth and strong underwriting results in the ongoing favorable property and casualty insurance market. In addition, the deployment of cash in a rising interest rate environment will continue to increase investment income on fixed maturity investments compared to 2021.</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72"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recoverability of reinsurance,</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 and</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2021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20" w:type="dxa"/>
            <w:vAlign w:val="bottom"/>
            <w:tcBorders>
              <w:bottom w:val="single" w:sz="8" w:color="auto"/>
            </w:tcBorders>
          </w:tcPr>
          <w:p>
            <w:pPr>
              <w:spacing w:after="0"/>
              <w:rPr>
                <w:sz w:val="17"/>
                <w:szCs w:val="17"/>
                <w:color w:val="auto"/>
              </w:rPr>
            </w:pPr>
          </w:p>
        </w:tc>
      </w:tr>
      <w:tr>
        <w:trPr>
          <w:trHeight w:val="201"/>
        </w:trPr>
        <w:tc>
          <w:tcPr>
            <w:tcW w:w="682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5"/>
                <w:szCs w:val="15"/>
                <w:color w:val="auto"/>
              </w:rPr>
              <w:t>September 30, 2022</w:t>
            </w:r>
          </w:p>
        </w:tc>
        <w:tc>
          <w:tcPr>
            <w:tcW w:w="280" w:type="dxa"/>
            <w:vAlign w:val="bottom"/>
          </w:tcPr>
          <w:p>
            <w:pPr>
              <w:spacing w:after="0"/>
              <w:rPr>
                <w:sz w:val="17"/>
                <w:szCs w:val="17"/>
                <w:color w:val="auto"/>
              </w:rPr>
            </w:pPr>
          </w:p>
        </w:tc>
        <w:tc>
          <w:tcPr>
            <w:tcW w:w="1000" w:type="dxa"/>
            <w:vAlign w:val="bottom"/>
          </w:tcPr>
          <w:p>
            <w:pPr>
              <w:jc w:val="right"/>
              <w:ind w:right="401"/>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480"/>
              <w:spacing w:after="0"/>
              <w:rPr>
                <w:sz w:val="20"/>
                <w:szCs w:val="20"/>
                <w:color w:val="auto"/>
              </w:rPr>
            </w:pPr>
            <w:r>
              <w:rPr>
                <w:rFonts w:ascii="Arial" w:cs="Arial" w:eastAsia="Arial" w:hAnsi="Arial"/>
                <w:sz w:val="15"/>
                <w:szCs w:val="15"/>
                <w:color w:val="auto"/>
              </w:rPr>
              <w:t>2020</w:t>
            </w:r>
          </w:p>
        </w:tc>
      </w:tr>
      <w:tr>
        <w:trPr>
          <w:trHeight w:val="211"/>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1,559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1,993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1,993</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4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6,074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6,869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7,486</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682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26.6 %</w:t>
            </w:r>
          </w:p>
        </w:tc>
      </w:tr>
      <w:tr>
        <w:trPr>
          <w:trHeight w:val="217"/>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r>
    </w:tbl>
    <w:p>
      <w:pPr>
        <w:spacing w:after="0" w:line="31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In addition, maintaining a ratio of debt, excluding subordinated debt and debt secured by real estate (if any), to total capital of 35% or lower is a financial covenant in AFG’s bank credit facility. The ratio is calculated by dividing the principal amount of AFG’s long-term debt by its total capital, which includes long-term debt and shareholders’ equity (excluding unrealized gains (losses) related to fixed maturity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8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2022</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2021</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(1,062)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(1,318)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(1,337)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cash flows as premiums collected and investment income exceed policy acquisition costs, claims payments and operating expenses. AFG’s net cash provided by operating activities is impacted by the level and timing of</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property and casualty premiums, claim and expense payments and recoveries from reinsurers. AFG’s discontinued annuity operations, which were sold in May 2021, typically produced positive net operating cash flows as investment income exceeded acquisition costs and operating expenses. Interest credited on annuity policyholder funds is a non-cash increase in AFG’s annuity benefits accumulated liability and annuity premiums, benefits and withdrawals are considered financing activities due to the deposit-type nature of annuities.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$133 million during the first nine months of 2022 and reduced cash flows from operating activities by $78 million in the first nine months of 2021, accounting for a $211 million increase in cash flows from operating activities in the 2022 period compared to the 2021 period. 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to the financial statements, AFG has no right to use the CLO assets and no obligation to pay the CLO liabilities and such assets and liabilities are shown separately in AFG’s Balance Sheet. Excluding the impact of the managed investment entities, net cash provided by operating activities was $910 million in the first nine months of 2022 compared to $1.50 billion in the first nine months of 2021, a decrease of $593 million reflecting the sale of the annuity operations.</w:t>
      </w:r>
    </w:p>
    <w:p>
      <w:pPr>
        <w:spacing w:after="0" w:line="216"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b w:val="1"/>
          <w:bCs w:val="1"/>
          <w:color w:val="003366"/>
        </w:rPr>
        <w:t xml:space="preserve">Net Cash Used in Investing Activities </w:t>
      </w:r>
      <w:r>
        <w:rPr>
          <w:rFonts w:ascii="Arial" w:cs="Arial" w:eastAsia="Arial" w:hAnsi="Arial"/>
          <w:sz w:val="17"/>
          <w:szCs w:val="17"/>
          <w:color w:val="000000"/>
        </w:rPr>
        <w:t>AFG’s investing activities consist primarily of the investment of funds provided by its property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casualty businesses and, prior to the May 2021 sale, its discontinued annuity operations. Cash proceeds from the sale of the annuity operations in excess of cash and cash equivalents held in the annuity subsidiaries that were sold was a $1.48 billion source of cash provided by investing activities in the first nine months of 2021. Investing activities also include the purchase and disposal of managed investment entity investments, which are presented separately in AFG’s Balance Sheet. Net investment activity in the managed investment entities was a $260 million use of cash in the first nine months of 2022 compared to a $99 million source of cash in the comparable 2021 period, accounting for a $359 million increase in net cash used in investing activities in the first nine months of 2022 compared to the same 2021 period. See </w:t>
      </w:r>
      <w:r>
        <w:rPr>
          <w:rFonts w:ascii="Arial" w:cs="Arial" w:eastAsia="Arial" w:hAnsi="Arial"/>
          <w:sz w:val="17"/>
          <w:szCs w:val="17"/>
          <w:i w:val="1"/>
          <w:iCs w:val="1"/>
          <w:color w:val="000000"/>
        </w:rPr>
        <w:t>Note A — “Accounting Policies —</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Managed Investment 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G — “Managed Investment Entities” </w:t>
      </w:r>
      <w:r>
        <w:rPr>
          <w:rFonts w:ascii="Arial" w:cs="Arial" w:eastAsia="Arial" w:hAnsi="Arial"/>
          <w:sz w:val="17"/>
          <w:szCs w:val="17"/>
          <w:color w:val="000000"/>
        </w:rPr>
        <w:t>to the financial statements. Excluding the impact of the sale of the</w:t>
      </w:r>
      <w:r>
        <w:rPr>
          <w:rFonts w:ascii="Arial" w:cs="Arial" w:eastAsia="Arial" w:hAnsi="Arial"/>
          <w:sz w:val="17"/>
          <w:szCs w:val="17"/>
          <w:i w:val="1"/>
          <w:iCs w:val="1"/>
          <w:color w:val="000000"/>
        </w:rPr>
        <w:t xml:space="preserve"> </w:t>
      </w:r>
      <w:r>
        <w:rPr>
          <w:rFonts w:ascii="Arial" w:cs="Arial" w:eastAsia="Arial" w:hAnsi="Arial"/>
          <w:sz w:val="17"/>
          <w:szCs w:val="17"/>
          <w:color w:val="000000"/>
        </w:rPr>
        <w:t>annuity operations and the activity of the managed investment entities, net cash used in investing activities was $802 million in the first nine months of 2022 compared to $1.68 billion in the first nine months of 2021, a decrease of $877 million as the opportunistic investment of cash on hand in the property and casualty operations during the rising interest rate environment in the first nine months of 2022 was more than offset by the absence of investing activities from the disposed annuity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issuances and repurchases of common stock, dividend payments and, prior to the sale of the annuity business, transactions with annuity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policyholders. Net cash used in financing activities was $1.32 billion for the first nine months of 2022 compared to $1.30 billion in the first nine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months of 2021, an increase of $19 million. Debt retirements were a $436 million use of cash in the first nine months of 2022 compared to no debt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retirements in the first nine months of 2021. During the first nine months of 2022, AFG repurchased $10 million of its Common Stock compared to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$318 million in the comparable 2021 period, resulting in a $308 million decrease in net cash used in financing activities in the first nine months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2022 compared to the first nine months of 2021. AFG paid cash dividends totaling $989 million in the first nine months of 2022 compared to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$1.48 billion in the first nine months of 2021, resulting in a net $493 million decrease in cash used in financing activities in the first nine months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2022 compared to the first nine months of 2021. Net annuity receipts exceeded annuity surrenders, benefits, withdrawals and transfers by</w:t>
      </w:r>
    </w:p>
    <w:p>
      <w:pPr>
        <w:spacing w:after="0" w:line="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$477 million in 2021 through the May 31, 2021 effective date of the sale, accounting for a $477 million increase in net cash used in financing activities in the 2022 period compared to the 2021 period. Financing activities also include issuances and retirements of managed investment entity liabilities, which are nonrecourse to AFG and presented separately in AFG’s Balance Sheet. Issuances of managed investment entity liabilities exceeded retirements by $105 million in the first nine months of 2022 compared to retirements exceeding issuances by $36 million in the first nine months of 2021, accounting for a $141 million decrease in net cash used in financing activities in the 2022 period compared to the 2021 period. See </w:t>
      </w:r>
      <w:r>
        <w:rPr>
          <w:rFonts w:ascii="Arial" w:cs="Arial" w:eastAsia="Arial" w:hAnsi="Arial"/>
          <w:sz w:val="17"/>
          <w:szCs w:val="17"/>
          <w:i w:val="1"/>
          <w:iCs w:val="1"/>
          <w:color w:val="auto"/>
        </w:rPr>
        <w:t xml:space="preserve">Note A — “Accounting Policies — Managed Investment Entities”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G — “Managed Investment Entities” </w:t>
      </w:r>
      <w:r>
        <w:rPr>
          <w:rFonts w:ascii="Arial" w:cs="Arial" w:eastAsia="Arial" w:hAnsi="Arial"/>
          <w:sz w:val="17"/>
          <w:szCs w:val="17"/>
          <w:color w:val="auto"/>
        </w:rPr>
        <w:t>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6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AFG’s capital and liquidity was significantly enhanced as a result of the 2021 sale of its annuity business to MassMutual for proceeds of $3.57 billion. By the end of the second quarter of 2022, AFG had deployed the proceeds from this sale primarily through special cash dividends, share repurchases, debt retirements and the purchase of Verikai. Nevertheless, AFG continues to have significant excess capital available for future returns of capital to shareholders in the form of regular and special cash dividends and through opportunistic share repurchases or to be deployed into its property and casualty businesses as management identifies the potential for healthy, profitable organic growth, and opportunities to expand through acquisitions and start-ups that meet target return thresholds.</w:t>
      </w:r>
    </w:p>
    <w:p>
      <w:pPr>
        <w:spacing w:after="0" w:line="206"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During the first nine months of 2022, AFG repurchased 80,701 shares of its Common Stock for $10 million and paid special cash dividends totaling $850 million ($2.00 per share in March and $8.00 per share in May). In addition, on November 2, 2022, AFG declared a special cash dividend of $2.00 per share, payable on November 22, 2022. The aggregate amount of this special dividend will be approximately $170 million.</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 During the first nine months of 2022, AFG retired $434 million principal amount of its senior notes for $441 million cash ($5 million of which settled in early October).</w:t>
      </w:r>
    </w:p>
    <w:p>
      <w:pPr>
        <w:spacing w:after="0" w:line="222"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During 2021, AFG repurchased 2,777,684 shares of its Common Stock for $319 million and paid special cash dividends of $26.00 per share of AFG Common Stock ($14.00 per share in June, $2.00 per share in August, $4.00 per share in October, $4.00 per share in November and $2.00 per share in December) totaling $2.21 billion.</w:t>
      </w:r>
    </w:p>
    <w:p>
      <w:pPr>
        <w:spacing w:after="0" w:line="201"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In December 2021, AFG acquired Verikai, Inc., a machine learning and artificial intelligence company that utilizes predictive risk tools to assess insurance risk, for $120 million using cash on hand at the parent.</w:t>
      </w:r>
    </w:p>
    <w:p>
      <w:pPr>
        <w:spacing w:after="0" w:line="19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AFG can borrow up to $500 million under its revolving credit facility, which expires in December 2025. Amounts borrowed under this agreement bear interest at rates ranging from 1.00% to 1.875% (currently 1.375%) over LIBOR based on AFG’s credit rating. The credit facility also includes provisions relating to the replacement of LIBOR with different floating rates in the event of the discontinuance of LIBOR. There were no borrowings under this agreement, or under any other parent company short-term borrowing arrangements, during 2021 or the first nine months of 2022.</w:t>
      </w:r>
    </w:p>
    <w:p>
      <w:pPr>
        <w:spacing w:after="0" w:line="206"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70"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events such as reserve deficiencies, inadequate premium rates or reinsurer insolvencies. Even in the current uncertain economic environment, management believes that the capital levels in AFG’s insurance subsidiaries are adequate to maintain its business and rating agency ratings. Nonetheless, changes in statutory accounting rules, significant declines in the fair value of the insurance subsidiaries’ investment portfolios or significant ratings downgrades on these investments, could create a need for additional capital.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28"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At September 30, 2022, AFG’s investment portfolio contained $10.03 billion in fixed maturity securities classified as available for sale and carried at fair value with unrealized gains and losses included in accumulated other comprehensive income and $30 million in fixed maturities classified as trading with holding gains and losses included in net investment income. In addition, AFG’s investment portfolio includes $692 million in equity securities carried at fair value with holding gains and losses included in realized gains (losses) on securities and $304 million in equity securities carried at fair value with holding gains and losses included in net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Fair values for AFG’s portfolio are determined by AFG’s internal investment professionals using data from nationally recognized pricing services, non-binding broker quotes and other market information. Fair values of equity securities are generally based on published closing prices. At September 30, 2022, approximately 86% of AFG’s fixed maturity portfolio was priced using pricing services and 8% was priced using non-binding broker quotes. When prices obtained for the same security vary, AFG’s internal investment professionals select the price they believe is most indicative of an exit price.</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mortgage-backed securities (“MBS”)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0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September 30, 2022 (dollars in millions). Effects of increases or decreases from the 100 basis points illustrated would be approximately proportional.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10,064</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(302)</w:t>
            </w:r>
          </w:p>
        </w:tc>
      </w:tr>
    </w:tbl>
    <w:p>
      <w:pPr>
        <w:spacing w:after="0" w:line="23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At September 30, 2022, approximately 91% of the fixed maturities held by AFG were rated “investment grade” (credit rating of AAA to BBB) by nationally recognized rating agencies, 4% were rated “non-investment grade” and 5%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125"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Municipal bonds represented approximately 12% of AFG’s fixed maturity portfolio at September 30, 2022. AFG’s municipal bond portfolio is high quality, with over 99% of the securities rated investment grade at that date. The portfolio is well diversified across the states of issuance and individual issuers. At September 30, 2022, approximately 92% of the municipal bond portfolio was held in revenue bonds, with the remaining 8% held in general obligation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Summarized information for the unrealized gains and losses recorded in AFG’s Balance Sheet at September 30, 2022, is shown in the following table (dollars in millions). Approximately $322 million of available for sale fixed maturity securities had no unrealized gains or losses at September 30, 2022.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52"/>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3"/>
                <w:szCs w:val="13"/>
                <w:color w:val="auto"/>
              </w:rPr>
            </w:pPr>
          </w:p>
        </w:tc>
        <w:tc>
          <w:tcPr>
            <w:tcW w:w="1140" w:type="dxa"/>
            <w:vAlign w:val="bottom"/>
          </w:tcPr>
          <w:p>
            <w:pPr>
              <w:jc w:val="center"/>
              <w:ind w:right="117"/>
              <w:spacing w:after="0" w:line="153" w:lineRule="exact"/>
              <w:rPr>
                <w:sz w:val="20"/>
                <w:szCs w:val="20"/>
                <w:color w:val="auto"/>
              </w:rPr>
            </w:pPr>
            <w:r>
              <w:rPr>
                <w:rFonts w:ascii="Arial" w:cs="Arial" w:eastAsia="Arial" w:hAnsi="Arial"/>
                <w:sz w:val="15"/>
                <w:szCs w:val="15"/>
                <w:color w:val="auto"/>
                <w:w w:val="99"/>
              </w:rPr>
              <w:t>With</w:t>
            </w: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rPr>
              <w:t>Unrealized</w:t>
            </w:r>
          </w:p>
        </w:tc>
      </w:tr>
      <w:tr>
        <w:trPr>
          <w:trHeight w:val="201"/>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328</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9,384</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301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10,112</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(728)</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93 %</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271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1,905</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69</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(179)</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Media</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(5)</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(100)</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(171)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Collateralized loan obligations</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(72)</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Asset managers</w:t>
            </w:r>
          </w:p>
        </w:tc>
        <w:tc>
          <w:tcPr>
            <w:tcW w:w="2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(52)</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94 %</w:t>
            </w:r>
          </w:p>
        </w:tc>
      </w:tr>
    </w:tbl>
    <w:p>
      <w:pPr>
        <w:spacing w:after="0" w:line="315"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September 30, 2022, based on their fair values. Securities with sinking funds are reported at average maturity. Actual maturities may differ from contractual maturities because certain securities may be called or prepaid by the issuers.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58" w:lineRule="exact"/>
              <w:rPr>
                <w:sz w:val="20"/>
                <w:szCs w:val="20"/>
                <w:color w:val="auto"/>
              </w:rPr>
            </w:pPr>
            <w:r>
              <w:rPr>
                <w:rFonts w:ascii="Arial" w:cs="Arial" w:eastAsia="Arial" w:hAnsi="Arial"/>
                <w:sz w:val="15"/>
                <w:szCs w:val="15"/>
                <w:color w:val="auto"/>
                <w:w w:val="99"/>
              </w:rPr>
              <w:t>With</w:t>
            </w: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rPr>
              <w:t>Unrealized</w:t>
            </w: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7"/>
                <w:szCs w:val="17"/>
                <w:color w:val="auto"/>
                <w:w w:val="99"/>
              </w:rPr>
              <w:t>Maturity</w:t>
            </w:r>
          </w:p>
        </w:tc>
        <w:tc>
          <w:tcPr>
            <w:tcW w:w="78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7"/>
                <w:szCs w:val="17"/>
                <w:color w:val="auto"/>
              </w:rPr>
              <w:t>One year or less</w:t>
            </w:r>
          </w:p>
        </w:tc>
        <w:tc>
          <w:tcPr>
            <w:tcW w:w="1320" w:type="dxa"/>
            <w:vAlign w:val="bottom"/>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4 %</w:t>
            </w: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27"/>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7"/>
                <w:szCs w:val="17"/>
                <w:color w:val="auto"/>
              </w:rPr>
              <w:t>After five years through ten years</w:t>
            </w:r>
          </w:p>
        </w:tc>
        <w:tc>
          <w:tcPr>
            <w:tcW w:w="1320" w:type="dxa"/>
            <w:vAlign w:val="bottom"/>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9 %</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42 %</w:t>
            </w: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Collateralized loan obligations and other asset-backed securities (average life of approximately 3.5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r>
      <w:tr>
        <w:trPr>
          <w:trHeight w:val="227"/>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Mortgage-backed securities (average life of approximately 5.5 years)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60" w:type="dxa"/>
            <w:vAlign w:val="bottom"/>
          </w:tcPr>
          <w:p>
            <w:pPr>
              <w:spacing w:after="0"/>
              <w:rPr>
                <w:sz w:val="14"/>
                <w:szCs w:val="14"/>
                <w:color w:val="auto"/>
              </w:rPr>
            </w:pPr>
          </w:p>
        </w:tc>
        <w:tc>
          <w:tcPr>
            <w:tcW w:w="104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3"/>
                <w:szCs w:val="13"/>
                <w:color w:val="auto"/>
              </w:rPr>
            </w:pPr>
          </w:p>
        </w:tc>
        <w:tc>
          <w:tcPr>
            <w:tcW w:w="1040" w:type="dxa"/>
            <w:vAlign w:val="bottom"/>
          </w:tcPr>
          <w:p>
            <w:pPr>
              <w:jc w:val="center"/>
              <w:ind w:right="78"/>
              <w:spacing w:after="0" w:line="158"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60" w:type="dxa"/>
            <w:vAlign w:val="bottom"/>
          </w:tcPr>
          <w:p>
            <w:pPr>
              <w:spacing w:after="0"/>
              <w:rPr>
                <w:sz w:val="17"/>
                <w:szCs w:val="17"/>
                <w:color w:val="auto"/>
              </w:rPr>
            </w:pPr>
          </w:p>
        </w:tc>
        <w:tc>
          <w:tcPr>
            <w:tcW w:w="1040" w:type="dxa"/>
            <w:vAlign w:val="bottom"/>
          </w:tcPr>
          <w:p>
            <w:pPr>
              <w:jc w:val="center"/>
              <w:ind w:right="78"/>
              <w:spacing w:after="0"/>
              <w:rPr>
                <w:sz w:val="20"/>
                <w:szCs w:val="20"/>
                <w:color w:val="auto"/>
              </w:rPr>
            </w:pPr>
            <w:r>
              <w:rPr>
                <w:rFonts w:ascii="Arial" w:cs="Arial" w:eastAsia="Arial" w:hAnsi="Arial"/>
                <w:sz w:val="15"/>
                <w:szCs w:val="15"/>
                <w:color w:val="auto"/>
              </w:rPr>
              <w:t>Gain (Loss)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rPr>
              <w:t>Fixed Maturities at September 30, 2022</w:t>
            </w:r>
          </w:p>
        </w:tc>
        <w:tc>
          <w:tcPr>
            <w:tcW w:w="42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Exceeding $500,000 (12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$500,000 or less (259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106 %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Exceeding $500,000 (394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$500,000 or less (1,511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8"/>
                <w:szCs w:val="18"/>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728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color w:val="auto"/>
              </w:rPr>
              <w:t>Securities with Unrealized Losses at September 30, 2022</w:t>
            </w: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3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(1,456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(164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(219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(66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2021 Form 10-K under </w:t>
      </w:r>
      <w:r>
        <w:rPr>
          <w:rFonts w:ascii="Arial" w:cs="Arial" w:eastAsia="Arial" w:hAnsi="Arial"/>
          <w:sz w:val="17"/>
          <w:szCs w:val="17"/>
          <w:i w:val="1"/>
          <w:iCs w:val="1"/>
          <w:color w:val="auto"/>
        </w:rPr>
        <w:t>Management’s Discussion and Analysis — “Investments.”</w:t>
      </w:r>
    </w:p>
    <w:p>
      <w:pPr>
        <w:spacing w:after="0" w:line="19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September 30, 2022.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41"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“Asbestos and environmental reserves</w:t>
      </w:r>
      <w:r>
        <w:rPr>
          <w:rFonts w:ascii="Arial" w:cs="Arial" w:eastAsia="Arial" w:hAnsi="Arial"/>
          <w:sz w:val="17"/>
          <w:szCs w:val="17"/>
          <w:color w:val="auto"/>
        </w:rPr>
        <w:t>” under “</w:t>
      </w:r>
      <w:r>
        <w:rPr>
          <w:rFonts w:ascii="Arial" w:cs="Arial" w:eastAsia="Arial" w:hAnsi="Arial"/>
          <w:sz w:val="17"/>
          <w:szCs w:val="17"/>
          <w:i w:val="1"/>
          <w:iCs w:val="1"/>
          <w:color w:val="auto"/>
        </w:rPr>
        <w:t>Results of Operations — Property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Casualty Insurance Segment — Net prior year reserve development” </w:t>
      </w:r>
      <w:r>
        <w:rPr>
          <w:rFonts w:ascii="Arial" w:cs="Arial" w:eastAsia="Arial" w:hAnsi="Arial"/>
          <w:sz w:val="17"/>
          <w:szCs w:val="17"/>
          <w:color w:val="auto"/>
        </w:rPr>
        <w:t>for the quarters ended September 30, 2022 and 2021 and</w:t>
      </w:r>
      <w:r>
        <w:rPr>
          <w:rFonts w:ascii="Arial" w:cs="Arial" w:eastAsia="Arial" w:hAnsi="Arial"/>
          <w:sz w:val="17"/>
          <w:szCs w:val="17"/>
          <w:i w:val="1"/>
          <w:iCs w:val="1"/>
          <w:color w:val="auto"/>
        </w:rPr>
        <w:t xml:space="preserve"> Management’s Discussion and Analysis — “Uncertainties — Asbestos and Environmental-related (“A&amp;E”) Insurance Reserves</w:t>
      </w:r>
      <w:r>
        <w:rPr>
          <w:rFonts w:ascii="Arial" w:cs="Arial" w:eastAsia="Arial" w:hAnsi="Arial"/>
          <w:sz w:val="17"/>
          <w:szCs w:val="17"/>
          <w:color w:val="auto"/>
        </w:rPr>
        <w:t>” in AFG’s 2021 Form 10–K.</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center"/>
              <w:ind w:right="12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center"/>
              <w:ind w:right="1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September 30, 2022</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Assets:</w:t>
            </w:r>
          </w:p>
        </w:tc>
        <w:tc>
          <w:tcPr>
            <w:tcW w:w="43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6"/>
              </w:rPr>
              <w:t>(97)</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5,099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24,530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5,099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center"/>
              <w:ind w:left="468"/>
              <w:spacing w:after="0"/>
              <w:rPr>
                <w:sz w:val="20"/>
                <w:szCs w:val="20"/>
                <w:color w:val="auto"/>
              </w:rPr>
            </w:pPr>
            <w:r>
              <w:rPr>
                <w:rFonts w:ascii="Arial" w:cs="Arial" w:eastAsia="Arial" w:hAnsi="Arial"/>
                <w:sz w:val="14"/>
                <w:szCs w:val="14"/>
                <w:color w:val="auto"/>
                <w:w w:val="96"/>
              </w:rPr>
              <w:t>(97)</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15,852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6"/>
              </w:rPr>
              <w:t>(85)</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4,746</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w w:val="96"/>
              </w:rPr>
              <w:t>(85)</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w w:val="96"/>
              </w:rPr>
              <w:t>(12)</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w w:val="96"/>
              </w:rPr>
              <w:t>(12)</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24,530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w w:val="96"/>
              </w:rPr>
              <w:t>(97)</w:t>
            </w: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2021</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15,821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68"/>
              <w:spacing w:after="0"/>
              <w:rPr>
                <w:sz w:val="20"/>
                <w:szCs w:val="20"/>
                <w:color w:val="auto"/>
              </w:rPr>
            </w:pPr>
            <w:r>
              <w:rPr>
                <w:rFonts w:ascii="Arial" w:cs="Arial" w:eastAsia="Arial" w:hAnsi="Arial"/>
                <w:sz w:val="14"/>
                <w:szCs w:val="14"/>
                <w:color w:val="auto"/>
                <w:w w:val="96"/>
              </w:rPr>
              <w:t>(76)</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15,745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7,890</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680" w:type="dxa"/>
            <w:vAlign w:val="bottom"/>
            <w:tcBorders>
              <w:top w:val="single" w:sz="8" w:color="CCEEFF"/>
              <w:bottom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w w:val="96"/>
              </w:rPr>
              <w:t>(76)</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w w:val="96"/>
              </w:rPr>
              <w:t>(76)</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18,699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left="468"/>
              <w:spacing w:after="0"/>
              <w:rPr>
                <w:sz w:val="20"/>
                <w:szCs w:val="20"/>
                <w:color w:val="auto"/>
              </w:rPr>
            </w:pPr>
            <w:r>
              <w:rPr>
                <w:rFonts w:ascii="Arial" w:cs="Arial" w:eastAsia="Arial" w:hAnsi="Arial"/>
                <w:sz w:val="14"/>
                <w:szCs w:val="14"/>
                <w:color w:val="auto"/>
                <w:w w:val="96"/>
              </w:rPr>
              <w:t>(76)</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23,919</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3,478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net of tax</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680" w:type="dxa"/>
            <w:vAlign w:val="bottom"/>
            <w:tcBorders>
              <w:top w:val="single" w:sz="8" w:color="CCEEFF"/>
              <w:bottom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w w:val="96"/>
              </w:rPr>
              <w:t>(76)</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Three months ended September 30, 2022</w:t>
            </w:r>
          </w:p>
        </w:tc>
        <w:tc>
          <w:tcPr>
            <w:tcW w:w="35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September 30, 2021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from continuing operations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18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income of $4 million in the third quarter of 2022 and $5 million in the third quarter of 2021, representing the change in fair value of AFG’s CLO investments and $4 million of income in both the third quarter of 2022 and 2021, in CLO management fees earned.</w:t>
      </w:r>
    </w:p>
    <w:p>
      <w:pPr>
        <w:spacing w:after="0" w:line="1" w:lineRule="exact"/>
        <w:rPr>
          <w:rFonts w:ascii="Arial" w:cs="Arial" w:eastAsia="Arial" w:hAnsi="Arial"/>
          <w:sz w:val="14"/>
          <w:szCs w:val="14"/>
          <w:color w:val="auto"/>
        </w:rPr>
      </w:pPr>
    </w:p>
    <w:p>
      <w:pPr>
        <w:ind w:left="420" w:right="64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$4 million and $3 million in the third quarter of 2022 and 2021, respectively, in distributions recorded as interest expense by the CLOs.</w:t>
      </w: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Nine months ended September 30, 2022</w:t>
            </w:r>
          </w:p>
        </w:tc>
        <w:tc>
          <w:tcPr>
            <w:tcW w:w="35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3,934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Nine months ended September 30, 2021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Subsidiaries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3,904</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from continuing operations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 from continuing operations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earnings from discontinued operations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320" w:hanging="412"/>
        <w:spacing w:after="0" w:line="261" w:lineRule="auto"/>
        <w:tabs>
          <w:tab w:leader="none" w:pos="4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 loss of $10 million in the first nine months of 2022 and income of $17 million in the first nine months of 2021, representing the change in fair value of AFG’s CLO investments and $12 million of income in both the first nine months of 2022 and 2021, in CLO management fees earned.</w:t>
      </w:r>
    </w:p>
    <w:p>
      <w:pPr>
        <w:spacing w:after="0" w:line="1" w:lineRule="exact"/>
        <w:rPr>
          <w:rFonts w:ascii="Arial" w:cs="Arial" w:eastAsia="Arial" w:hAnsi="Arial"/>
          <w:sz w:val="14"/>
          <w:szCs w:val="14"/>
          <w:color w:val="auto"/>
        </w:rPr>
      </w:pPr>
    </w:p>
    <w:p>
      <w:pPr>
        <w:ind w:left="420" w:right="280" w:hanging="412"/>
        <w:spacing w:after="0" w:line="261" w:lineRule="auto"/>
        <w:tabs>
          <w:tab w:leader="none" w:pos="4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$13 million and $9 million in the first nine months of 2022 and 2021, respectively, in distributions recorded as interest expense by the CLOs.</w:t>
      </w:r>
    </w:p>
    <w:p>
      <w:pPr>
        <w:ind w:left="400" w:hanging="392"/>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In addition to discontinued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AFG recorded $914 million in non-core net earnings from the discontinued annuity operations (sold in May 2021) in the first nine months of 2021, which includes a $656 million after-tax gain on the sale.</w:t>
      </w:r>
    </w:p>
    <w:p>
      <w:pPr>
        <w:spacing w:after="0" w:line="200"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color w:val="auto"/>
        </w:rPr>
        <w:t>In the first nine months of 2021, AFG recognized a non-core after-tax gain of $3 million related to contingent consideration received from the December 2020 sale of AFG’s Lloyd’s of London insurer, Neon Underwriting Ltd (“Neon”).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3080" w:type="dxa"/>
            <w:vAlign w:val="bottom"/>
            <w:gridSpan w:val="6"/>
          </w:tcPr>
          <w:p>
            <w:pPr>
              <w:ind w:left="34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40" w:type="dxa"/>
            <w:vAlign w:val="bottom"/>
            <w:gridSpan w:val="4"/>
          </w:tcPr>
          <w:p>
            <w:pPr>
              <w:jc w:val="right"/>
              <w:ind w:right="299"/>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2021</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Neon exited lines (*)</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Gain (loss) on retirement of debt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5180" w:type="dxa"/>
            <w:vAlign w:val="bottom"/>
          </w:tcPr>
          <w:p>
            <w:pPr>
              <w:ind w:left="680"/>
              <w:spacing w:after="0"/>
              <w:rPr>
                <w:sz w:val="20"/>
                <w:szCs w:val="20"/>
                <w:color w:val="auto"/>
              </w:rPr>
            </w:pPr>
            <w:r>
              <w:rPr>
                <w:rFonts w:ascii="Arial" w:cs="Arial" w:eastAsia="Arial" w:hAnsi="Arial"/>
                <w:sz w:val="16"/>
                <w:szCs w:val="16"/>
                <w:color w:val="auto"/>
              </w:rPr>
              <w:t>Earnings before income taxes</w:t>
            </w: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890</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Core operating earnings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Non-core items: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68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Neon exited lines (*)</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180" w:type="dxa"/>
            <w:vAlign w:val="bottom"/>
          </w:tcPr>
          <w:p>
            <w:pPr>
              <w:ind w:left="680"/>
              <w:spacing w:after="0"/>
              <w:rPr>
                <w:sz w:val="20"/>
                <w:szCs w:val="20"/>
                <w:color w:val="auto"/>
              </w:rPr>
            </w:pPr>
            <w:r>
              <w:rPr>
                <w:rFonts w:ascii="Arial" w:cs="Arial" w:eastAsia="Arial" w:hAnsi="Arial"/>
                <w:sz w:val="16"/>
                <w:szCs w:val="16"/>
                <w:color w:val="auto"/>
              </w:rPr>
              <w:t>Gain (loss) on retirement of debt</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518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provision for income taxes</w:t>
            </w:r>
          </w:p>
        </w:tc>
        <w:tc>
          <w:tcPr>
            <w:tcW w:w="9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10"/>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earnings from continuing operations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Net earnings from discontinued annuity operations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Core net operating earnings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Neon exited lines (*)</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Gain (loss) on retirement of debt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Discontinued annuity operations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per share amounts: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Core net operating earnings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Neon exited lines (*)</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retirement of debt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per share amounts, continuing operations</w:t>
            </w: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Discontinued annuity operations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10.66</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20" w:right="60" w:hanging="412"/>
        <w:spacing w:after="0" w:line="284" w:lineRule="auto"/>
        <w:tabs>
          <w:tab w:leader="none" w:pos="4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first nine months of 2021, AFG recognized a non-core after-tax gain of $3 million related to contingent consideration received on the sale of Neon.</w:t>
      </w:r>
    </w:p>
    <w:p>
      <w:pPr>
        <w:spacing w:after="0" w:line="18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Net earnings were $165 million in the third quarter of 2022 compared to $219 million in the third quarter of 2021 reflecting lower core net operating earnings and higher net realized losses on securities in the third quarter of 2022 compared to the third quarter of 2021. Core net operating earnings for the third quarter of 2022 decreased $39 million compared to the third quarter of 2021 reflecting lower underwriting profit, lower net investment income and higher holding company expenses, partially offset by lower interest charges on borrowed money. Realized losses on securities in the third quarter</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of 2022 and 2021 resulted primarily from the change in fair value of equity securities that were still held at the balance sheet date.</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Net earnings were $622 million in the first nine months of 2022 compared to $1.64 billion in the first nine months of 2021. The lower results reflect net earnings from the discontinued annuity operations in the first nine months 2021 and net realized losses on securities in the first nine months of 2022 compared to net realized gains on securities in the first nine months of 2021, partially offset by higher core net operating earnings. The discontinued annuity operations includes an after-tax gain on the sale of the annuity subsidiaries of $656 million. Core net operating earnings for the first nine months of 2022 increased $96 million compared to the first nine months of 2021 reflecting higher underwriting profit, higher net investment income, lower interest charges on borrowed money and lower holding company expenses. Realized gains (losses) on securities in the first nine months of 2022 and 2021 resulted primarily from the change in fair value of equity securities that were still held at the balance sheet date.</w:t>
      </w:r>
    </w:p>
    <w:p>
      <w:pPr>
        <w:spacing w:after="0" w:line="210" w:lineRule="exact"/>
        <w:rPr>
          <w:sz w:val="20"/>
          <w:szCs w:val="20"/>
          <w:color w:val="auto"/>
        </w:rPr>
      </w:pPr>
    </w:p>
    <w:p>
      <w:pPr>
        <w:ind w:right="480"/>
        <w:spacing w:after="0" w:line="288" w:lineRule="auto"/>
        <w:rPr>
          <w:sz w:val="20"/>
          <w:szCs w:val="20"/>
          <w:color w:val="auto"/>
        </w:rPr>
      </w:pPr>
      <w:r>
        <w:rPr>
          <w:rFonts w:ascii="Arial" w:cs="Arial" w:eastAsia="Arial" w:hAnsi="Arial"/>
          <w:sz w:val="29"/>
          <w:szCs w:val="29"/>
          <w:b w:val="1"/>
          <w:bCs w:val="1"/>
          <w:color w:val="003366"/>
        </w:rPr>
        <w:t>RESULTS OF OPERATIONS — THREE MONTHS ENDED SEPTEMBER 30, 2022 AND 2021</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Subsequent to the sale of its annuity operations, AFG reports its operations as two segments: (i) Property and casualty insurance (“P&amp;C”) and</w:t>
      </w:r>
    </w:p>
    <w:p>
      <w:pPr>
        <w:spacing w:after="0" w:line="7"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which includes holding company costs and income and expenses related to the managed investment entities (“MIEs”).</w:t>
      </w:r>
    </w:p>
    <w:p>
      <w:pPr>
        <w:spacing w:after="0" w:line="200" w:lineRule="exact"/>
        <w:rPr>
          <w:rFonts w:ascii="Arial" w:cs="Arial" w:eastAsia="Arial" w:hAnsi="Arial"/>
          <w:sz w:val="17"/>
          <w:szCs w:val="17"/>
          <w:color w:val="auto"/>
        </w:rPr>
      </w:pPr>
    </w:p>
    <w:p>
      <w:pPr>
        <w:spacing w:after="0" w:line="398"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September 30, 2022 and 2021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September 30, 2022</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 on retirement of debt,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Consol.</w:t>
            </w: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color w:val="auto"/>
              </w:rPr>
              <w:t>Annuity</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rPr>
              <w:t>MIEs</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September 30, 2021</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23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Earnings from continuing operations before income taxes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property and casualty insurance operations contributed $289 million in pretax earnings in the third quarter of 2022 compared to $329 million in the third quarter of 2021, a decrease of $40 million (12%). The decrease in pretax earnings reflects lower underwriting profit and lower net investment income in the third quarter of 2022 compared to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5"/>
                <w:szCs w:val="15"/>
                <w:color w:val="auto"/>
              </w:rPr>
              <w:t>Three months ended September 30,</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2,656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(927)</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26 %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1,729</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15 %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(200)</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9 %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1,529</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16 %</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954</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23 %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407</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7 %</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148"/>
        </w:trPr>
        <w:tc>
          <w:tcPr>
            <w:tcW w:w="6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175 %</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Earnings before income taxes</w:t>
            </w:r>
          </w:p>
        </w:tc>
        <w:tc>
          <w:tcPr>
            <w:tcW w:w="2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289</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329</w:t>
            </w:r>
          </w:p>
        </w:tc>
        <w:tc>
          <w:tcPr>
            <w:tcW w:w="1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(12 %)</w:t>
            </w:r>
          </w:p>
        </w:tc>
      </w:tr>
      <w:tr>
        <w:trPr>
          <w:trHeight w:val="21"/>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21590</wp:posOffset>
            </wp:positionV>
            <wp:extent cx="2117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640"/>
        <w:spacing w:after="0"/>
        <w:tabs>
          <w:tab w:leader="none" w:pos="2340" w:val="left"/>
          <w:tab w:leader="none" w:pos="3760" w:val="left"/>
        </w:tabs>
        <w:rPr>
          <w:sz w:val="20"/>
          <w:szCs w:val="20"/>
          <w:color w:val="auto"/>
        </w:rPr>
      </w:pPr>
      <w:r>
        <w:rPr>
          <w:rFonts w:ascii="Arial" w:cs="Arial" w:eastAsia="Arial" w:hAnsi="Arial"/>
          <w:sz w:val="15"/>
          <w:szCs w:val="15"/>
          <w:color w:val="auto"/>
        </w:rPr>
        <w:t>2022</w:t>
      </w:r>
      <w:r>
        <w:rPr>
          <w:sz w:val="20"/>
          <w:szCs w:val="20"/>
          <w:color w:val="auto"/>
        </w:rPr>
        <w:tab/>
      </w:r>
      <w:r>
        <w:rPr>
          <w:rFonts w:ascii="Arial" w:cs="Arial" w:eastAsia="Arial" w:hAnsi="Arial"/>
          <w:sz w:val="15"/>
          <w:szCs w:val="15"/>
          <w:color w:val="auto"/>
        </w:rPr>
        <w:t>2021</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21590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jc w:val="right"/>
              <w:spacing w:after="0"/>
              <w:rPr>
                <w:sz w:val="20"/>
                <w:szCs w:val="20"/>
                <w:color w:val="auto"/>
              </w:rPr>
            </w:pPr>
            <w:r>
              <w:rPr>
                <w:rFonts w:ascii="Arial" w:cs="Arial" w:eastAsia="Arial" w:hAnsi="Arial"/>
                <w:sz w:val="16"/>
                <w:szCs w:val="16"/>
                <w:color w:val="auto"/>
              </w:rPr>
              <w:t>66.4 %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62.4 %</w:t>
            </w:r>
          </w:p>
        </w:tc>
        <w:tc>
          <w:tcPr>
            <w:tcW w:w="130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26.6 %</w:t>
            </w:r>
          </w:p>
        </w:tc>
        <w:tc>
          <w:tcPr>
            <w:tcW w:w="130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1"/>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89.0 %</w:t>
            </w:r>
          </w:p>
        </w:tc>
        <w:tc>
          <w:tcPr>
            <w:tcW w:w="130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58"/>
        </w:trPr>
        <w:tc>
          <w:tcPr>
            <w:tcW w:w="1620" w:type="dxa"/>
            <w:vAlign w:val="bottom"/>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62.4 %</w:t>
            </w:r>
          </w:p>
        </w:tc>
        <w:tc>
          <w:tcPr>
            <w:tcW w:w="130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26.6 %</w:t>
            </w:r>
          </w:p>
        </w:tc>
        <w:tc>
          <w:tcPr>
            <w:tcW w:w="130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89.0 %</w:t>
            </w:r>
          </w:p>
        </w:tc>
        <w:tc>
          <w:tcPr>
            <w:tcW w:w="130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-1130935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-856615</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-591185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Gross written premiums (“GWP”) for AFG’s property and casualty insurance segment were $3.15 billion for the third quarter of 2022 compared to</w:t>
      </w:r>
    </w:p>
    <w:p>
      <w:pPr>
        <w:spacing w:after="0" w:line="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$2.66 billion for the third quarter of 2021, an increase of $497 million (19%). Detail of AFG’s property and casualty gross written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9"/>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1,737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9"/>
        </w:trPr>
        <w:tc>
          <w:tcPr>
            <w:tcW w:w="53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3,153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21"/>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jc w:val="both"/>
        <w:ind w:right="52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37% of gross written premiums for the third quarter of 2022 compared to 35% of gross written premiums for the third quarter of 2021, an increase of 2 percentage points.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color w:val="auto"/>
              </w:rPr>
              <w:t>Three months ended 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of GWP</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written premiums (“NWP”) for AFG’s property and casualty insurance segment were $1.98 billion for the third quarter of 2022 compared to</w:t>
      </w:r>
    </w:p>
    <w:p>
      <w:pPr>
        <w:spacing w:after="0" w:line="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$1.73 billion for the third quarter of 2021, an increase of $255 million (15%). Detail of AFG’s property and casualty net written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rPr>
              <w:t>Three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Arial" w:cs="Arial" w:eastAsia="Arial" w:hAnsi="Arial"/>
                <w:sz w:val="14"/>
                <w:szCs w:val="14"/>
                <w:color w:val="auto"/>
              </w:rPr>
              <w:t>% Change</w:t>
            </w:r>
          </w:p>
        </w:tc>
      </w:tr>
      <w:tr>
        <w:trPr>
          <w:trHeight w:val="21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773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22 %</w:t>
            </w: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earned premiums (“NEP”) for AFG’s property and casualty insurance segment were $1.77 billion for the third quarter of 2022 compared to</w:t>
      </w:r>
    </w:p>
    <w:p>
      <w:pPr>
        <w:spacing w:after="0" w:line="7"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$1.53 billion for the third quarter of 2021, an increase of $238 million (16%). Detail of AFG’s property and casualty net earned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color w:val="auto"/>
              </w:rPr>
              <w:t>Three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80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17 %</w:t>
            </w: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Gross written premiums for the third quarter of 2022 increased $497 million (19%) compared to the third quarter of 2021 reflecting increased exposures, new business opportunities and renewal rate increases. Overall average renewal rates increased approximately 5% in the third quarter of 2022. Excluding overall rate decreases in the workers’ compensation businesses, renewal rates increased approximately 6%.</w:t>
      </w:r>
    </w:p>
    <w:p>
      <w:pPr>
        <w:spacing w:after="0" w:line="19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$403 million (30%) in the third quarter of 2022 compared to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2021. While nearly all businesses in this group reported higher year-over-year premiums, the growth was driven by higher commodity futures pricing in the crop insurance business. Excluding the impact of the crop insurance business, gross and net written premiums increased 14% and 10%, respectively, in the third quarter of 2022 compared to the third quarter of 2021. Average renewal rates increased approximately 5% for this group in the third quarter of 2022. Reinsurance premiums ceded as a percentage of gross written premiums increased 3 percentage points in the third quarter of 2022 compared to the third quarter of 2021 reflecting growth in the crop insurance operations (which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cede a larger percentage of premiums than the other businesses in the Property and transportation sub-segment), higher cessions in the ocean marine business and the impact of reinstatement premiums related to Hurricane Ian.</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$63 million (6%) in the third quarter of 2022 compared to the third quarter of 2021 due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primarily to increased exposures resulting from payroll growth in the workers’ compensation businesses and the impact of economic recovery in the social services business. This premium growth was partially offset by lower year-over-year premiums in the mergers and acquisitions liability business. Average renewal rates increased approximately 6% for this group in the third quarter of 2022. Excluding overall rate decreases in the workers’ compensation businesses, renewal rates for this group increased approximately 7%. Reinsurance premiums ceded as a percentage of gross written premiums decreased 1 percentage point in the third quarter of 2022 compared to the third quarter of 2021 reflecting lower gross written premiums in the mergers and acquisitions liability business (which cedes a larger percentage of premiums than the other businesses in the Specialty casualty sub-segment).</w:t>
      </w:r>
    </w:p>
    <w:p>
      <w:pPr>
        <w:spacing w:after="0" w:line="216"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$31 million (15%) in the third quarter of 2022 compared to the third quarter of 2021 due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primarily to growth in the financial institutions business related to lender-placed mortgage protection insurance. Average renewal rates increased approximately 4% for this group in the third quarter of 2022. Reinsurance premiums ceded as a percentage of gross written premiums increased 6 percentage points in the third quarter of 2022 compared to the third quarter of 2021 reflecting the impact of reinstatement premiums related to Hurricane Ian and higher cessions in the innovative markets business.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the operations that make up AFG’s other Specialty property and casualty insurance sub-segments. Reinsurance premiums assumed increased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$13 million in the third quarter of 2022 compared to the third quarter of 2021 reflecting an increase in premiums retained, primarily from businesses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table below (dollars in millions) details the components of the combined ratio and underwriting profit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Three months ended September 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color w:val="auto"/>
              </w:rPr>
              <w:t>Three months ended September 30,</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414"/>
        </w:trPr>
        <w:tc>
          <w:tcPr>
            <w:tcW w:w="1500" w:type="dxa"/>
            <w:vAlign w:val="bottom"/>
          </w:tcPr>
          <w:p>
            <w:pPr>
              <w:jc w:val="right"/>
              <w:spacing w:after="0"/>
              <w:rPr>
                <w:sz w:val="20"/>
                <w:szCs w:val="20"/>
                <w:color w:val="auto"/>
              </w:rPr>
            </w:pPr>
            <w:r>
              <w:rPr>
                <w:rFonts w:ascii="Arial" w:cs="Arial" w:eastAsia="Arial" w:hAnsi="Arial"/>
                <w:sz w:val="16"/>
                <w:szCs w:val="16"/>
                <w:color w:val="auto"/>
              </w:rPr>
              <w:t>77.3 %</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73.7 %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39</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55.3 %</w:t>
            </w:r>
          </w:p>
        </w:tc>
        <w:tc>
          <w:tcPr>
            <w:tcW w:w="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54.6 %</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47.2 %</w:t>
            </w:r>
          </w:p>
        </w:tc>
        <w:tc>
          <w:tcPr>
            <w:tcW w:w="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34.2 %</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15</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66.4 %</w:t>
            </w:r>
          </w:p>
        </w:tc>
        <w:tc>
          <w:tcPr>
            <w:tcW w:w="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62.4 %</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66.5 %</w:t>
            </w:r>
          </w:p>
        </w:tc>
        <w:tc>
          <w:tcPr>
            <w:tcW w:w="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62.4 %</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-4036695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-3762375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-3462655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-3213735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-2939415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-2639695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-2390775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-2117090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-1816735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-1567815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-1293495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-993775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-744855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-471170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-170815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7260"/>
          </w:cols>
          <w:pgMar w:left="320" w:top="116" w:right="339" w:bottom="1440" w:gutter="0" w:footer="0" w:header="0"/>
          <w:type w:val="continuous"/>
        </w:sectPr>
      </w:pPr>
    </w:p>
    <w:p>
      <w:pPr>
        <w:spacing w:after="0" w:line="102"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The Specialty property and casualty insurance operations generated an underwriting profit of $158 million in the third quarter of 2022 compared to $169 million in the third quarter of 2021, a decrease of $11 million (7%). This decrease reflects lower underwriting profit in the Property and transportation and Specialty financial sub-segments, partially offset by higher underwriting profit in the Specialty casualty sub-segment. Overall catastrophe losses were $51 million (2.5 points on the combined ratio), including $18 million in net reinstatement premiums, in the third quarter of 2022 compared to $31 million (2.1 points) in the third quarter of 2021. As a result of catastrophe losses incurred in the third quarter of 2022, AFG reduced certain profit-based commissions payable to agents by $12 million, resulting in a net impact from catastrophes of $39 million for the 2022 quarter. Underwriting results for the Specialty property and casualty insurance operations include $3 million (0.1 points on the combined ratio) in COVID-19 related losses in the third quarter of 2021.</w:t>
      </w:r>
    </w:p>
    <w:p>
      <w:pPr>
        <w:spacing w:after="0" w:line="209"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$39 million for the third quarter of 2022 compared to $45 million for the third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2021, a decrease of $6 million (13%), reflecting lower underwriting profit in the crop operations compared to very strong crop results in 2021. Catastrophe losses were $13 million (1.4 points on the combined ratio), including $4 million in net reinstatement premiums in the third quarter of 2022 compared to catastrophe losses of $14 million (2.1 points) in the third quarter of 2021.</w:t>
      </w:r>
    </w:p>
    <w:p>
      <w:pPr>
        <w:spacing w:after="0" w:line="218"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$118 million for the third quarter of 2022 compared to $110 million for the third quarter</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of 2021, an increase of $8 million (7%). This increase reflects higher year-over-year underwriting profit in the executive liability, social services and mergers and acquisitions liability businesses, partially offset by an overall decrease in favorable prior year reserve development. Catastrophe losses were $3 million (0.4 points on the combined ratio), including $1 million in reinstatement premiums in the third quarter of 2022 compared to catastrophe</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losses of $3 million (0.4 points) in the third quarter of 2021. Underwriting results for the Specialty casualty sub-segment include $1 million (0.1 points on the combined ratio) in COVID-19 related losses in the third quarter of 2021.</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$15 million for the third quarter of 2022 compared to $26 million in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2021, a decrease of $11 million (42%). This decrease was primarily the result of catastrophe losses from Hurricane Ian in the financial institutions business. Catastrophe losses were $34 million (15.2 points on the combined ratio), including $13 million in net reinstatement premiums compared to $14 million (8.2 points) in the third quarter of 2021. As a result of the catastrophe losses incurred in the third quarter of 2022, the Specialty financial sub-segment reduced profit-based commissions payable to agents, which had a favorable impact on the combined ratio. Underwriting results for the Specialty financial sub-segment include $2 million (0.9 points on the combined ratio) in COVID-19 related losses in the third quarter of 2021.</w:t>
      </w:r>
    </w:p>
    <w:p>
      <w:pPr>
        <w:spacing w:after="0" w:line="213" w:lineRule="exact"/>
        <w:rPr>
          <w:sz w:val="20"/>
          <w:szCs w:val="20"/>
          <w:color w:val="auto"/>
        </w:rPr>
      </w:pPr>
    </w:p>
    <w:p>
      <w:pPr>
        <w:jc w:val="both"/>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$14 million in the third quarter of 2022 compared to $12 million in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2021, an increase of $2 million (17%). This increase reflects higher losses in the business assumed by AFG’s internal reinsurance program from the operations that make up AFG’s other Specialty sub-segments in the third quarter of 2022 compared to the third quarter of 2021.</w:t>
      </w:r>
    </w:p>
    <w:p>
      <w:pPr>
        <w:spacing w:after="0" w:line="216"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$3 million and $1 million in the third quarter of 2022 and 2021, respectively, related to business outside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66.5% for the third quarter of 2022 compared to 62.4% for the third quarter of 2021,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4.1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rPr>
              <w:t>Three months ended 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Amount</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Ratio</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669</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74.1 %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3"/>
        </w:trPr>
        <w:tc>
          <w:tcPr>
            <w:tcW w:w="56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4"/>
                <w:szCs w:val="14"/>
                <w:color w:val="auto"/>
              </w:rPr>
            </w:pPr>
          </w:p>
        </w:tc>
        <w:tc>
          <w:tcPr>
            <w:tcW w:w="1220" w:type="dxa"/>
            <w:vAlign w:val="bottom"/>
            <w:vMerge w:val="restart"/>
          </w:tcPr>
          <w:p>
            <w:pPr>
              <w:jc w:val="right"/>
              <w:ind w:right="4"/>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54.6 %</w:t>
            </w:r>
          </w:p>
        </w:tc>
        <w:tc>
          <w:tcPr>
            <w:tcW w:w="13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0.9 %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163"/>
        </w:trPr>
        <w:tc>
          <w:tcPr>
            <w:tcW w:w="56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3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65.6 %</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2.1 %</w:t>
            </w:r>
          </w:p>
        </w:tc>
        <w:tc>
          <w:tcPr>
            <w:tcW w:w="132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62.4 %</w:t>
            </w:r>
          </w:p>
        </w:tc>
        <w:tc>
          <w:tcPr>
            <w:tcW w:w="13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1,196</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65.6 %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63"/>
        </w:trPr>
        <w:tc>
          <w:tcPr>
            <w:tcW w:w="56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3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COVID-19 related and catastrophe losses</w:t>
      </w:r>
    </w:p>
    <w:p>
      <w:pPr>
        <w:spacing w:after="0" w:line="2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current accident year loss and LAE ratio, excluding COVID-19 related and catastrophe losses for AFG’s Specialty property and casualty insurance operations was 67.0% for the third quarter of 2022 compared to 65.6% for the third quarter of 2021, an increase of 1.4 percentage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jc w:val="both"/>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3.6 percentage point increase in the loss and LAE ratio for the current year, excluding COVID-19 related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and catastrophe losses is due primarily to lower profitability in the crop insurance business compared to very strong results recorded in the 2021 quarter.</w:t>
      </w:r>
    </w:p>
    <w:p>
      <w:pPr>
        <w:spacing w:after="0" w:line="216" w:lineRule="exact"/>
        <w:rPr>
          <w:sz w:val="20"/>
          <w:szCs w:val="20"/>
          <w:color w:val="auto"/>
        </w:rPr>
      </w:pPr>
    </w:p>
    <w:p>
      <w:pPr>
        <w:ind w:right="68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2.0 percentage point decrease in the loss and LAE ratio for the current year, excluding COVID-19 related and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catastrophe losses reflects improved results in the workers’ compensation and executive liability businesses.</w:t>
      </w:r>
    </w:p>
    <w:p>
      <w:pPr>
        <w:spacing w:after="0" w:line="215"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2.0 percentage point increase in the loss and LAE ratio for the current year, excluding COVID-19 related and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catastrophe losses reflects higher reported losses in the financial institutions business, partially offset by improved results in the fidelity and crime business.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70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$56 million in the third quarter of 2022 compared to $83 million in the third quarter of 2021, a decrease of $27 million (33%).</w:t>
      </w:r>
    </w:p>
    <w:p>
      <w:pPr>
        <w:spacing w:after="0" w:line="203"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$15 million in the third quarter of 2022 reflects lower than expected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frequency and severity in the trucking business, lower than anticipated claim frequency in the aviation and ocean marine businesses and in the Singapore operations and lower than expected claim severity in the property and inland marine business. Net favorable reserve development of $18 million in the third quarter of 2021 reflects lower than expected claim severity in the ocean marine business, lower than expected claim frequency in the aviation business and lower than anticipated claim frequency and severity in the trucking business.</w:t>
      </w:r>
    </w:p>
    <w:p>
      <w:pPr>
        <w:spacing w:after="0" w:line="23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$42 million in the third quarter of 2022 reflects lower than anticipated claim severity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workers’ compensation businesses, partially offset by higher than anticipated claim severity in the targeted markets and excess and surplus businesses. Net favorable reserve development of $56 million in the third quarter of 2021 reflects lower than anticipated claim severity in the workers’ compensation businesses and lower than expected claim frequency and severity in the excess and surplus business.</w:t>
      </w:r>
    </w:p>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$11 million in the third quarter of 2022 reflects lower than anticipated claim frequency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surety and trade credit businesses. Net favorable reserve development of $18 million in the third quarter of 2021 reflects lower than anticipated claim frequency in the surety and trade credit businesses.</w:t>
      </w:r>
    </w:p>
    <w:p>
      <w:pPr>
        <w:spacing w:after="0" w:line="216"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$12 million in the third quarter of 2022 and $9 million in the third quarter of 2021, reflecting net adverse reserve development associated with AFG’s internal reinsurance program, partially offset by the amortization of the deferred gains on the retroactive reinsurance transactions entered into in connection with the sale of businesses in 1998 and 2001.</w:t>
      </w:r>
    </w:p>
    <w:p>
      <w:pPr>
        <w:spacing w:after="0" w:line="218"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3366"/>
        </w:rPr>
        <w:t xml:space="preserve">Asbestos and environmental reserves </w:t>
      </w:r>
      <w:r>
        <w:rPr>
          <w:rFonts w:ascii="Arial" w:cs="Arial" w:eastAsia="Arial" w:hAnsi="Arial"/>
          <w:sz w:val="17"/>
          <w:szCs w:val="17"/>
          <w:color w:val="000000"/>
        </w:rPr>
        <w:t>During the third quarter of 2022, AFG completed an in-depth internal review of its asbestos and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environmental exposures relating to the run-off operations of its property and casualty insurance segment and its exposures related to former railroad and manufacturing operations and sites. In addition to its ongoing internal monitoring of asbestos and environmental exposures, AFG has periodically conducted comprehensive external studies of its asbestos and environmental reserves with the aid of specialty actuarial, engineering and consulting firms and outside counsel, with an in-depth internal review during the intervening years.</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During the 2022 internal review, no new trends were identified and recent claims activity was generally consistent with AFG’s expectations resulting from AFG’s in-depth internal review in 2021 and most recent external study in 2020. As a result, and consistent with the internal review in the third quarter of 2021, the 2022 review resulted in no net change to AFG’s property and casualty insurance segment’s asbestos and environmental reserves. See </w:t>
      </w:r>
      <w:r>
        <w:rPr>
          <w:rFonts w:ascii="Arial" w:cs="Arial" w:eastAsia="Arial" w:hAnsi="Arial"/>
          <w:sz w:val="17"/>
          <w:szCs w:val="17"/>
          <w:i w:val="1"/>
          <w:iCs w:val="1"/>
          <w:color w:val="auto"/>
        </w:rPr>
        <w:t>Management’s Discussion and Analysis — “Uncertainties — Asbestos and Environmental-related (“A&amp;E”) Insurance Reserves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Management’s Discussion and Analysis — “Results of Operations — Holding Company, Other and Unallocated” </w:t>
      </w:r>
      <w:r>
        <w:rPr>
          <w:rFonts w:ascii="Arial" w:cs="Arial" w:eastAsia="Arial" w:hAnsi="Arial"/>
          <w:sz w:val="17"/>
          <w:szCs w:val="17"/>
          <w:color w:val="auto"/>
        </w:rPr>
        <w:t>in AFG’s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6" w:right="45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At September 30, 2022, the property and casualty insurance segment’s insurance reserves include A&amp;E reserves of $391 million, net of reinsurance recoverables. At September 30, 2022, the property and casualty insurance segment’s three-year survival ratios compare favorably with industry survival ratios published by S&amp;P Global Market Intelligence (as of December 31, 2021, and adjusted for several large industry portfolio transfers) as detailed in the following table:</w:t>
      </w:r>
    </w:p>
    <w:p>
      <w:pPr>
        <w:spacing w:after="0" w:line="10" w:lineRule="exact"/>
        <w:rPr>
          <w:sz w:val="20"/>
          <w:szCs w:val="20"/>
          <w:color w:val="auto"/>
        </w:rPr>
      </w:pPr>
    </w:p>
    <w:p>
      <w:pPr>
        <w:jc w:val="center"/>
        <w:ind w:left="5560"/>
        <w:spacing w:after="0"/>
        <w:rPr>
          <w:sz w:val="20"/>
          <w:szCs w:val="20"/>
          <w:color w:val="auto"/>
        </w:rPr>
      </w:pPr>
      <w:r>
        <w:rPr>
          <w:rFonts w:ascii="Arial" w:cs="Arial" w:eastAsia="Arial" w:hAnsi="Arial"/>
          <w:sz w:val="14"/>
          <w:szCs w:val="14"/>
          <w:color w:val="auto"/>
        </w:rPr>
        <w:t>Property and Casualty Insurance Reserves</w:t>
      </w:r>
    </w:p>
    <w:p>
      <w:pPr>
        <w:spacing w:after="0" w:line="42" w:lineRule="exact"/>
        <w:rPr>
          <w:sz w:val="20"/>
          <w:szCs w:val="20"/>
          <w:color w:val="auto"/>
        </w:rPr>
      </w:pPr>
    </w:p>
    <w:p>
      <w:pPr>
        <w:jc w:val="center"/>
        <w:ind w:left="5560"/>
        <w:spacing w:after="0"/>
        <w:rPr>
          <w:sz w:val="20"/>
          <w:szCs w:val="20"/>
          <w:color w:val="auto"/>
        </w:rPr>
      </w:pPr>
      <w:r>
        <w:rPr>
          <w:rFonts w:ascii="Arial" w:cs="Arial" w:eastAsia="Arial" w:hAnsi="Arial"/>
          <w:sz w:val="14"/>
          <w:szCs w:val="14"/>
          <w:color w:val="auto"/>
        </w:rPr>
        <w:t>Three-Year Survival Ratio (Times Paid Losses)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Asbestos</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Environmental</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color w:val="auto"/>
              </w:rPr>
              <w:t>Total A&amp;E</w:t>
            </w:r>
          </w:p>
        </w:tc>
      </w:tr>
      <w:tr>
        <w:trPr>
          <w:trHeight w:val="214"/>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AFG (9/30/2022)</w:t>
            </w: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5"/>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Industry (12/31/2021)</w:t>
            </w: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8.5</w:t>
            </w:r>
          </w:p>
        </w:tc>
      </w:tr>
    </w:tbl>
    <w:p>
      <w:pPr>
        <w:spacing w:after="0" w:line="22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In addition, the 2022 and 2021 internal reviews encompassed reserves for asbestos and environmental exposures of AFG’s former railroad and manufacturing operations. For a discussion of the minor increases in AFG’s liabilities recorded for those operations, see “</w:t>
      </w:r>
      <w:r>
        <w:rPr>
          <w:rFonts w:ascii="Arial" w:cs="Arial" w:eastAsia="Arial" w:hAnsi="Arial"/>
          <w:sz w:val="17"/>
          <w:szCs w:val="17"/>
          <w:i w:val="1"/>
          <w:iCs w:val="1"/>
          <w:color w:val="auto"/>
        </w:rPr>
        <w:t>Results of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Holding Company, Other and Unallocated</w:t>
      </w:r>
      <w:r>
        <w:rPr>
          <w:rFonts w:ascii="Arial" w:cs="Arial" w:eastAsia="Arial" w:hAnsi="Arial"/>
          <w:sz w:val="17"/>
          <w:szCs w:val="17"/>
          <w:color w:val="auto"/>
        </w:rPr>
        <w:t>,” for the quarters ended September 30, 2022 and 2021.</w:t>
      </w:r>
    </w:p>
    <w:p>
      <w:pPr>
        <w:spacing w:after="0" w:line="195"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$3 million and $1 million in the third quarter of 2022 and the third quarter of 2021, respectively, related to business outside the Specialty group that AFG no longer writes.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COVID-19 related losses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the third quarter of 2022, AFG’s Specialty property and casualty insurance operations released $8 million of prior accident year COVID-19 reserves based on improved loss experience in the trade credit and workers’ compensation businesses. In the third quarter of 2021, AFG’s Specialty property and casualty insurance operations recorded $3 million in reserve charges related to COVID-19, primarily related to the economic slowdown impacting the trade credit business, and released approximately $2 million of accident year 2020 reserves based on loss experience. Given the uncertainties surrounding the ultimate number and scope of claims relating to the pandemic, approximately 53% of the $79 million in cumulative COVID-19 related losses are held as incurred but not reported reserves at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jc w:val="both"/>
        <w:ind w:right="500"/>
        <w:spacing w:after="0" w:line="259" w:lineRule="auto"/>
        <w:rPr>
          <w:sz w:val="20"/>
          <w:szCs w:val="20"/>
          <w:color w:val="auto"/>
        </w:rPr>
      </w:pPr>
      <w:r>
        <w:rPr>
          <w:rFonts w:ascii="Arial" w:cs="Arial" w:eastAsia="Arial" w:hAnsi="Arial"/>
          <w:sz w:val="17"/>
          <w:szCs w:val="17"/>
          <w:color w:val="auto"/>
        </w:rPr>
        <w:t>AFG generally seeks to reduce its exposure to catastrophes through individual risk selection, including minimizing coastal and known fault-line exposures, and the purchase of reinsurance. Based on data available at December 31, 2021, AFG’s exposure to a catastrophic earthquake or windstorm that industry models indicate should statistically occur once in every 100, 250 or 500 years as a percentage of AFG’s Shareholders’ Equity is shown below:</w:t>
      </w:r>
    </w:p>
    <w:p>
      <w:pPr>
        <w:spacing w:after="0" w:line="103" w:lineRule="exact"/>
        <w:rPr>
          <w:sz w:val="20"/>
          <w:szCs w:val="20"/>
          <w:color w:val="auto"/>
        </w:rPr>
      </w:pPr>
    </w:p>
    <w:tbl>
      <w:tblPr>
        <w:tblLayout w:type="fixed"/>
        <w:tblInd w:w="3200" w:type="dxa"/>
        <w:tblCellMar>
          <w:top w:w="0" w:type="dxa"/>
          <w:left w:w="0" w:type="dxa"/>
          <w:bottom w:w="0" w:type="dxa"/>
          <w:right w:w="0" w:type="dxa"/>
        </w:tblCellMar>
      </w:tblPr>
      <w:tr>
        <w:trPr>
          <w:trHeight w:val="200"/>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rPr>
              <w:t>Approximate impact of modeled loss</w:t>
            </w:r>
          </w:p>
        </w:tc>
      </w:tr>
      <w:tr>
        <w:trPr>
          <w:trHeight w:val="205"/>
        </w:trPr>
        <w:tc>
          <w:tcPr>
            <w:tcW w:w="1660" w:type="dxa"/>
            <w:vAlign w:val="bottom"/>
            <w:gridSpan w:val="2"/>
          </w:tcPr>
          <w:p>
            <w:pPr>
              <w:jc w:val="center"/>
              <w:ind w:right="100"/>
              <w:spacing w:after="0"/>
              <w:rPr>
                <w:sz w:val="20"/>
                <w:szCs w:val="20"/>
                <w:color w:val="auto"/>
              </w:rPr>
            </w:pPr>
            <w:r>
              <w:rPr>
                <w:rFonts w:ascii="Arial" w:cs="Arial" w:eastAsia="Arial" w:hAnsi="Arial"/>
                <w:sz w:val="15"/>
                <w:szCs w:val="15"/>
                <w:color w:val="auto"/>
              </w:rPr>
              <w:t>Industry Model</w:t>
            </w:r>
          </w:p>
        </w:tc>
        <w:tc>
          <w:tcPr>
            <w:tcW w:w="3220" w:type="dxa"/>
            <w:vAlign w:val="bottom"/>
          </w:tcPr>
          <w:p>
            <w:pPr>
              <w:jc w:val="center"/>
              <w:spacing w:after="0"/>
              <w:rPr>
                <w:sz w:val="20"/>
                <w:szCs w:val="20"/>
                <w:color w:val="auto"/>
              </w:rPr>
            </w:pPr>
            <w:r>
              <w:rPr>
                <w:rFonts w:ascii="Arial" w:cs="Arial" w:eastAsia="Arial" w:hAnsi="Arial"/>
                <w:sz w:val="15"/>
                <w:szCs w:val="15"/>
                <w:color w:val="auto"/>
              </w:rPr>
              <w:t>on AFG’s Shareholders’ Equity</w:t>
            </w:r>
          </w:p>
        </w:tc>
      </w:tr>
      <w:tr>
        <w:trPr>
          <w:trHeight w:val="213"/>
        </w:trPr>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100-year event</w:t>
            </w:r>
          </w:p>
        </w:tc>
        <w:tc>
          <w:tcPr>
            <w:tcW w:w="10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15"/>
        </w:trPr>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rPr>
              <w:t>250-year event</w:t>
            </w:r>
          </w:p>
        </w:tc>
        <w:tc>
          <w:tcPr>
            <w:tcW w:w="3220" w:type="dxa"/>
            <w:vAlign w:val="bottom"/>
          </w:tcPr>
          <w:p>
            <w:pPr>
              <w:jc w:val="center"/>
              <w:spacing w:after="0"/>
              <w:rPr>
                <w:sz w:val="20"/>
                <w:szCs w:val="20"/>
                <w:color w:val="auto"/>
              </w:rPr>
            </w:pPr>
            <w:r>
              <w:rPr>
                <w:rFonts w:ascii="Arial" w:cs="Arial" w:eastAsia="Arial" w:hAnsi="Arial"/>
                <w:sz w:val="16"/>
                <w:szCs w:val="16"/>
                <w:color w:val="auto"/>
                <w:w w:val="94"/>
              </w:rPr>
              <w:t>1%</w:t>
            </w:r>
          </w:p>
        </w:tc>
      </w:tr>
      <w:tr>
        <w:trPr>
          <w:trHeight w:val="217"/>
        </w:trPr>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500-year event</w:t>
            </w:r>
          </w:p>
        </w:tc>
        <w:tc>
          <w:tcPr>
            <w:tcW w:w="3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r>
    </w:tbl>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AFG maintains comprehensive property catastrophe reinsurance coverage for its property and casualty insurance operations, including a $20 million per occurrence net retention, for losses up to $125 million in the vast majority of circumstances. In certain unlikely events, AFG’s ultimate loss under this coverage could be as high as $39 million for a single occurrence. AFG’s operating units purchased replacement reinsurance coverage for those layers of catastrophe reinsurance program expected to be affected by Hurricane Ian. AFG further maintains supplemental fully collateralized reinsurance coverage up to 94% of $325 million for catastrophe losses in excess of $125 million of traditional catastrophe reinsurance through a catastrophe bond.</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Catastrophe losses of $33 million in the third quarter of 2022 (before net reinstatement premiums) resulted primarily from Hurricane Ian. Catastrophe losses of $31 million in the third quarter of 2021 resulted primarily from Hurricane Ida and, to a lesser extent, storms in multiple regions of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0"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AFG’s property and casualty commissions and other underwriting expenses (“U/W Exp”) were $436 million in the third quarter of 2022 compared to $407 million for the third quarter of 2021, an increase of $29 million (7%). AFG’s underwriting expense ratio, calculated as commissions and other underwriting expenses divided by net premiums earned, was 24.7% for the third quarter of 2022 compared to 26.6% for the third quarter of 2021, a decrease of 1.9 percentage points. Detail</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of AFG’s property and casualty commissions and other underwriting expenses and underwriting expense ratios is shown below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8"/>
          </w:tcPr>
          <w:p>
            <w:pPr>
              <w:ind w:left="120"/>
              <w:spacing w:after="0"/>
              <w:rPr>
                <w:sz w:val="20"/>
                <w:szCs w:val="20"/>
                <w:color w:val="auto"/>
              </w:rPr>
            </w:pPr>
            <w:r>
              <w:rPr>
                <w:rFonts w:ascii="Arial" w:cs="Arial" w:eastAsia="Arial" w:hAnsi="Arial"/>
                <w:sz w:val="14"/>
                <w:szCs w:val="14"/>
                <w:color w:val="auto"/>
              </w:rPr>
              <w:t>Three months ended September 30,</w:t>
            </w:r>
          </w:p>
        </w:tc>
        <w:tc>
          <w:tcPr>
            <w:tcW w:w="12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965"/>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964"/>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Change in</w:t>
            </w:r>
          </w:p>
        </w:tc>
      </w:tr>
      <w:tr>
        <w:trPr>
          <w:trHeight w:val="198"/>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 of NEP</w:t>
            </w: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27.3 %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44.1 %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1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33.4 %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(1.3 %)</w:t>
            </w:r>
          </w:p>
        </w:tc>
      </w:tr>
      <w:tr>
        <w:trPr>
          <w:trHeight w:val="230"/>
        </w:trPr>
        <w:tc>
          <w:tcPr>
            <w:tcW w:w="49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6" w:lineRule="exact"/>
        <w:rPr>
          <w:sz w:val="20"/>
          <w:szCs w:val="20"/>
          <w:color w:val="auto"/>
        </w:rPr>
      </w:pPr>
    </w:p>
    <w:p>
      <w:pPr>
        <w:ind w:right="740"/>
        <w:spacing w:after="0" w:line="259"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1.7 percentage points in the third quarter of 2022 compared to the third quarter of 2021 reflecting the impact of higher premiums in the crop insurance business on the ratio in the third quarter of 2022 compared to the third quarter of 2021.</w:t>
      </w:r>
    </w:p>
    <w:p>
      <w:pPr>
        <w:spacing w:after="0" w:line="207" w:lineRule="exact"/>
        <w:rPr>
          <w:sz w:val="20"/>
          <w:szCs w:val="20"/>
          <w:color w:val="auto"/>
        </w:rPr>
      </w:pPr>
    </w:p>
    <w:p>
      <w:pPr>
        <w:ind w:right="50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were comparable in the third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2022 and the third quarter of 2021.</w:t>
      </w:r>
    </w:p>
    <w:p>
      <w:pPr>
        <w:spacing w:after="0" w:line="215"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decreased 5.9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third quarter of 2022 compared to the third quarter of 2021 reflecting lower profit-based commissions to agents in the third quarter of 2022 compared to the third quarter of 2021.</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0"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Net investment income in AFG’s property and casualty insurance operations was $145 million in the third quarter of 2022 compared to $165 million in the third quarter of 2021, a decrease of $20 million (12%). The average invested assets and overall yield earned on investments held by AFG’s property and casualty insurance operations are provided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color w:val="auto"/>
              </w:rPr>
              <w:t>Three months ended September 30,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8"/>
        </w:trPr>
        <w:tc>
          <w:tcPr>
            <w:tcW w:w="55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 Change</w:t>
            </w:r>
          </w:p>
        </w:tc>
      </w:tr>
      <w:tr>
        <w:trPr>
          <w:trHeight w:val="20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550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80"/>
              <w:spacing w:after="0"/>
              <w:rPr>
                <w:sz w:val="20"/>
                <w:szCs w:val="20"/>
                <w:color w:val="auto"/>
              </w:rPr>
            </w:pPr>
            <w:r>
              <w:rPr>
                <w:rFonts w:ascii="Arial" w:cs="Arial" w:eastAsia="Arial" w:hAnsi="Arial"/>
                <w:sz w:val="16"/>
                <w:szCs w:val="16"/>
                <w:color w:val="auto"/>
              </w:rPr>
              <w:t>28</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35 %</w:t>
            </w:r>
          </w:p>
        </w:tc>
      </w:tr>
      <w:tr>
        <w:trPr>
          <w:trHeight w:val="216"/>
        </w:trPr>
        <w:tc>
          <w:tcPr>
            <w:tcW w:w="5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10"/>
        </w:trPr>
        <w:tc>
          <w:tcPr>
            <w:tcW w:w="550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15"/>
        </w:trPr>
        <w:tc>
          <w:tcPr>
            <w:tcW w:w="5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14,105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13,194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911</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7 %</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15"/>
        </w:trPr>
        <w:tc>
          <w:tcPr>
            <w:tcW w:w="5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15"/>
        </w:trPr>
        <w:tc>
          <w:tcPr>
            <w:tcW w:w="5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5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decrease in the property and casualty insurance segment’s net investment income for the third quarter of 2022 compared to the third quarter of 2021 reflects lower returns on AFG’s alternative investments portfolio (partnerships and similar investments and AFG-managed CLOs) as compared to the very strong performance of this portfolio in the prior year period, partially offset by higher yields on fixed maturity investments. The property and casualty insurance segment’s overall yield on investments (net investment income as a percentage of average invested assets) was 4.11% for the third quarter of 2022 compared to 5.00% for the third quarter of 2021, a decrease of 0.89 percentage points as higher yields on fixed maturity investments were more than offset by lower yields on alternative investments. The annualized return earned on alternative investments was 7.1% in the third quarter of 2022 compared to 20.3% in the comparable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$11 million for the third quarter of 2022 compared to $4 million for the third quarter of 2021, an increase of $7 million (175%).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color w:val="auto"/>
              </w:rPr>
              <w:t>Three months ended September 30,</w:t>
            </w:r>
          </w:p>
        </w:tc>
        <w:tc>
          <w:tcPr>
            <w:tcW w:w="34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7"/>
                <w:szCs w:val="17"/>
                <w:color w:val="auto"/>
              </w:rPr>
            </w:pPr>
          </w:p>
        </w:tc>
      </w:tr>
      <w:tr>
        <w:trPr>
          <w:trHeight w:val="20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Income (loss) related to the sale of real estate</w:t>
            </w:r>
          </w:p>
        </w:tc>
        <w:tc>
          <w:tcPr>
            <w:tcW w:w="1100" w:type="dxa"/>
            <w:vAlign w:val="bottom"/>
          </w:tcPr>
          <w:p>
            <w:pPr>
              <w:jc w:val="right"/>
              <w:ind w:right="904"/>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22"/>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income</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expenses:</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Amortization of intangibles</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 on funds withheld</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80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expenses</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10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8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$2 million of expenses in the third quarter of 2022 related to certain technology initiatives.</w:t>
      </w: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2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$44 million in the third quarter of 2022 compared to $45 million in the third quarter of 2021, a decrease of $1 million (2%). AFG’s net core pretax loss outside of its property and casualty insurance segment (excluding realized gains and losses) totaled $45 million in both the third quarter of 2022 and the third quarter of 2021.</w:t>
      </w:r>
    </w:p>
    <w:p>
      <w:pPr>
        <w:spacing w:after="0" w:line="20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three months ended September 30, 2022 and 2021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260" w:type="dxa"/>
            <w:vAlign w:val="bottom"/>
            <w:gridSpan w:val="2"/>
          </w:tcPr>
          <w:p>
            <w:pPr>
              <w:jc w:val="right"/>
              <w:ind w:right="2"/>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6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6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w w:val="98"/>
              </w:rPr>
              <w:t>(21)</w:t>
            </w:r>
          </w:p>
        </w:tc>
        <w:tc>
          <w:tcPr>
            <w:tcW w:w="126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gain on retirement of debt</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GAAP loss from continuing operations before income taxes, excluding realized gains and</w:t>
            </w:r>
          </w:p>
        </w:tc>
        <w:tc>
          <w:tcPr>
            <w:tcW w:w="1000" w:type="dxa"/>
            <w:vAlign w:val="bottom"/>
            <w:vMerge w:val="restart"/>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2"/>
                <w:szCs w:val="12"/>
                <w:color w:val="auto"/>
              </w:rPr>
            </w:pPr>
          </w:p>
        </w:tc>
        <w:tc>
          <w:tcPr>
            <w:tcW w:w="1100" w:type="dxa"/>
            <w:vAlign w:val="bottom"/>
            <w:vMerge w:val="restart"/>
          </w:tcPr>
          <w:p>
            <w:pPr>
              <w:jc w:val="right"/>
              <w:ind w:right="922"/>
              <w:spacing w:after="0"/>
              <w:rPr>
                <w:sz w:val="20"/>
                <w:szCs w:val="20"/>
                <w:color w:val="auto"/>
              </w:rPr>
            </w:pPr>
            <w:r>
              <w:rPr>
                <w:rFonts w:ascii="Arial" w:cs="Arial" w:eastAsia="Arial" w:hAnsi="Arial"/>
                <w:sz w:val="16"/>
                <w:szCs w:val="16"/>
                <w:color w:val="auto"/>
                <w:w w:val="89"/>
              </w:rPr>
              <w:t>$</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w w:val="98"/>
              </w:rPr>
              <w:t>(45)</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194"/>
        </w:trPr>
        <w:tc>
          <w:tcPr>
            <w:tcW w:w="7020" w:type="dxa"/>
            <w:vAlign w:val="bottom"/>
          </w:tcPr>
          <w:p>
            <w:pPr>
              <w:ind w:left="180"/>
              <w:spacing w:after="0"/>
              <w:rPr>
                <w:sz w:val="20"/>
                <w:szCs w:val="20"/>
                <w:color w:val="auto"/>
              </w:rPr>
            </w:pPr>
            <w:r>
              <w:rPr>
                <w:rFonts w:ascii="Arial" w:cs="Arial" w:eastAsia="Arial" w:hAnsi="Arial"/>
                <w:sz w:val="16"/>
                <w:szCs w:val="16"/>
                <w:b w:val="1"/>
                <w:bCs w:val="1"/>
                <w:color w:val="auto"/>
              </w:rPr>
              <w:t>losses</w:t>
            </w:r>
          </w:p>
        </w:tc>
        <w:tc>
          <w:tcPr>
            <w:tcW w:w="10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Excludes a pretax non-core gain on retirement of debt of $1 million in the third quarter of 2022.</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$10 million in the third quarter of 2022 compared to $9 million in the third quarter of 2021, an increase of $1 million (11%), reflecting higher average investment balances and income from directly owned real estate investments.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third quarter of 2022, AFG collected $20 million for these services compared to $18 million in the third quarter of 2021. Management views this fee income, net of the $13 million in the third quarter of 2022 and</w:t>
      </w:r>
    </w:p>
    <w:p>
      <w:pPr>
        <w:spacing w:after="0" w:line="2"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$11 million in the third quarter of 2021 in expenses incurred to generate such fees, as a reduction in the cost of underwriting its property and casualty insurance policies. In addition, AFG’s property and casualty insurance businesses collected $2 million and $3 million in fees from AFG’s disposed annuity operations during the third quarter of 2022 and the third quarter of 2021, respectively, as compensation for certain services provided under a transition services agreement. The expenses related to providing such services are embedded in property and casualty underwriting expenses. Consistent with internal management reporting, all of these fees and the related expenses are netted and recorded as a reduction of commissions and other underwriting expenses in AFG’s segmented results.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Other income in the table above includes $4 million in both the third quarter of 2022 and the third quarter of 2021,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$7 million in the third quarter of 2022 and $2 million the third quarter of 2021, an increase of $5 million (250%) due primarily to $3 million in income from the sale of real estate in the 2022 quarter.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other expenses of $47 million in the third quarter of 2022 compared to $36 million in the third quarter of 2021, an increase of $11 million (31%), reflecting slightly higher holding company expenses and charges to increase the liabilities related to the A&amp;E exposures of AFG’s former railroad and manufacturing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A&amp;E Reserves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2022 and 2021 in-depth internal reviews of A&amp;E exposures discussed under “A</w:t>
      </w:r>
      <w:r>
        <w:rPr>
          <w:rFonts w:ascii="Arial" w:cs="Arial" w:eastAsia="Arial" w:hAnsi="Arial"/>
          <w:sz w:val="17"/>
          <w:szCs w:val="17"/>
          <w:i w:val="1"/>
          <w:iCs w:val="1"/>
          <w:color w:val="auto"/>
        </w:rPr>
        <w:t>sbestos and environmental reserves</w:t>
      </w:r>
      <w:r>
        <w:rPr>
          <w:rFonts w:ascii="Arial" w:cs="Arial" w:eastAsia="Arial" w:hAnsi="Arial"/>
          <w:sz w:val="17"/>
          <w:szCs w:val="17"/>
          <w:color w:val="auto"/>
        </w:rPr>
        <w:t>” under</w:t>
      </w:r>
    </w:p>
    <w:p>
      <w:pPr>
        <w:spacing w:after="0" w:line="1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Results of Operations — Property and Casualty Insurance Segment — Net prior year reserve development</w:t>
      </w:r>
      <w:r>
        <w:rPr>
          <w:rFonts w:ascii="Arial" w:cs="Arial" w:eastAsia="Arial" w:hAnsi="Arial"/>
          <w:sz w:val="17"/>
          <w:szCs w:val="17"/>
          <w:color w:val="auto"/>
        </w:rPr>
        <w:t>,” AFG’s holding companies and other operations outside of its property and casualty insurance operations recorded minor charges in the third quarter of 2022 and the third quarter of 2021 to increase liabilities related to the A&amp;E exposures of AFG’s former railroad and manufacturing operations. Both charges are included in AFG’s core operating earnings. The charges were due primarily to relatively small movements across several sites that reflect changes in the scope and costs of investigation and an increase in estimated ongoing operation and maintenance costs.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17"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the third quarter of 2022 compared to $24 million in the third quarter of 2021, a decrease of $5 million (21%) reflecting the retirement of AFG’s $425 million principal amount of 3.50% Senior Notes during the first six months of 2022.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Gain on Retirement of Debt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2022, AFG repurchased $9 million principal amount of its senior notes which resulted in a $1 million pretax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AFG’s realized gains (losses) on securities were net losses of $35 million in the third quarter of 2022 compared to $17 million in the third quarter of 2021, an increase of $18 million (106%). Realized gains (losses) on securities consisted of the following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Three months ended September 30,</w:t>
            </w:r>
          </w:p>
        </w:tc>
      </w:tr>
      <w:tr>
        <w:trPr>
          <w:trHeight w:val="199"/>
        </w:trPr>
        <w:tc>
          <w:tcPr>
            <w:tcW w:w="8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2021</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8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97"/>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$27 million net realized loss from the change in the fair value of equity securities in the third quarter of 2022 includes losses of $8 million 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banks and financing companies, $6 million on investments in media companies, $4 million on investments in retail companies 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 million on investments in healthcare companies. The $15 million net realized loss from the change in the fair value of equity securities in the third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quarter of 2021 includes losses of $5 million on investments in healthcare companies, $4 million on investments in energy and natural gas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companies and $4 million on investments in technology companies.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 on Continuing Operations</w:t>
      </w:r>
    </w:p>
    <w:p>
      <w:pPr>
        <w:spacing w:after="0" w:line="2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AFG’s consolidated provision for income taxes on continuing operations was $45 million for the third quarter of 2022 compared to $48 million for the third quarter of 2021, a decrease of $3 million (6%).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 on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ind w:right="140"/>
        <w:spacing w:after="0" w:line="298" w:lineRule="auto"/>
        <w:rPr>
          <w:sz w:val="20"/>
          <w:szCs w:val="20"/>
          <w:color w:val="auto"/>
        </w:rPr>
      </w:pPr>
      <w:r>
        <w:rPr>
          <w:rFonts w:ascii="Arial" w:cs="Arial" w:eastAsia="Arial" w:hAnsi="Arial"/>
          <w:sz w:val="29"/>
          <w:szCs w:val="29"/>
          <w:b w:val="1"/>
          <w:bCs w:val="1"/>
          <w:color w:val="003366"/>
        </w:rPr>
        <w:t>RESULTS OF OPERATIONS — NINE MONTHS ENDED SEPTEMBER 30,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1"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Subsequent to the sale of its annuity operations, 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nine months ended September 30, 2022 and 2021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5,254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on retirement of debt,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Consol.</w:t>
            </w: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color w:val="auto"/>
              </w:rPr>
              <w:t>Annuity</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rPr>
              <w:t>MIEs</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Nine months ended September 30, 2021</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24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24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Subsidiary</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4,794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14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Earnings from continuing operations before income taxes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Discontinued operations, net of tax</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Neon exited lines</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net of tax</w:t>
            </w: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953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180" w:hanging="412"/>
        <w:spacing w:after="0" w:line="284" w:lineRule="auto"/>
        <w:tabs>
          <w:tab w:leader="none" w:pos="411"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See the reconciliation of core earnings to GAAP net earnings under </w:t>
      </w:r>
      <w:r>
        <w:rPr>
          <w:rFonts w:ascii="Arial" w:cs="Arial" w:eastAsia="Arial" w:hAnsi="Arial"/>
          <w:sz w:val="17"/>
          <w:szCs w:val="17"/>
          <w:i w:val="1"/>
          <w:iCs w:val="1"/>
          <w:color w:val="auto"/>
        </w:rPr>
        <w:t>“Results of Operations — General”</w:t>
      </w:r>
      <w:r>
        <w:rPr>
          <w:rFonts w:ascii="Arial" w:cs="Arial" w:eastAsia="Arial" w:hAnsi="Arial"/>
          <w:sz w:val="17"/>
          <w:szCs w:val="17"/>
          <w:color w:val="auto"/>
        </w:rPr>
        <w:t xml:space="preserve"> for details on the tax impacts of these reconciling items.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4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AFG’s property and casualty insurance operations contributed $1.06 billion in GAAP pretax earnings in the first nine months of 2022 compared to $909 million in the first nine months of 2021, an increase of $147 million (16%). Property and casualty core pretax earnings were $1.06 billion in the first nine months of 2022 compared to $905 million in the first nine months of 2021, an increase of $151 million (17%). The increase in GAAP and core pretax earnings reflects higher underwriting profit and higher net investment income in the first nine months of 2022 compared to the first nine months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color w:val="auto"/>
        </w:rPr>
        <w:t>The following table details AFG’s GAAP and core earnings before income taxes from its property and casualty insurance operations for the nine months ended September 30, 2022 and 2021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1"/>
        </w:trPr>
        <w:tc>
          <w:tcPr>
            <w:tcW w:w="67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6,209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16 %</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(1,906)</w:t>
            </w:r>
          </w:p>
        </w:tc>
        <w:tc>
          <w:tcPr>
            <w:tcW w:w="134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23 %</w:t>
            </w: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4,303</w:t>
            </w:r>
          </w:p>
        </w:tc>
        <w:tc>
          <w:tcPr>
            <w:tcW w:w="13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13 %</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(351)</w:t>
            </w:r>
          </w:p>
        </w:tc>
        <w:tc>
          <w:tcPr>
            <w:tcW w:w="134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16 %</w:t>
            </w: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3,952</w:t>
            </w:r>
          </w:p>
        </w:tc>
        <w:tc>
          <w:tcPr>
            <w:tcW w:w="13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13 %</w:t>
            </w: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2,335</w:t>
            </w:r>
          </w:p>
        </w:tc>
        <w:tc>
          <w:tcPr>
            <w:tcW w:w="1340" w:type="dxa"/>
            <w:vAlign w:val="bottom"/>
            <w:gridSpan w:val="2"/>
          </w:tcPr>
          <w:p>
            <w:pPr>
              <w:jc w:val="right"/>
              <w:ind w:right="1"/>
              <w:spacing w:after="0"/>
              <w:rPr>
                <w:sz w:val="20"/>
                <w:szCs w:val="20"/>
                <w:color w:val="auto"/>
              </w:rPr>
            </w:pPr>
            <w:r>
              <w:rPr>
                <w:rFonts w:ascii="Arial" w:cs="Arial" w:eastAsia="Arial" w:hAnsi="Arial"/>
                <w:sz w:val="16"/>
                <w:szCs w:val="16"/>
                <w:color w:val="auto"/>
              </w:rPr>
              <w:t>13 %</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1,163</w:t>
            </w:r>
          </w:p>
        </w:tc>
        <w:tc>
          <w:tcPr>
            <w:tcW w:w="13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8 %</w:t>
            </w: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Core underwriting gain</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454</w:t>
            </w:r>
          </w:p>
        </w:tc>
        <w:tc>
          <w:tcPr>
            <w:tcW w:w="1340" w:type="dxa"/>
            <w:vAlign w:val="bottom"/>
            <w:gridSpan w:val="2"/>
          </w:tcPr>
          <w:p>
            <w:pPr>
              <w:jc w:val="right"/>
              <w:ind w:right="1"/>
              <w:spacing w:after="0"/>
              <w:rPr>
                <w:sz w:val="20"/>
                <w:szCs w:val="20"/>
                <w:color w:val="auto"/>
              </w:rPr>
            </w:pPr>
            <w:r>
              <w:rPr>
                <w:rFonts w:ascii="Arial" w:cs="Arial" w:eastAsia="Arial" w:hAnsi="Arial"/>
                <w:sz w:val="16"/>
                <w:szCs w:val="16"/>
                <w:color w:val="auto"/>
              </w:rPr>
              <w:t>23 %</w:t>
            </w:r>
          </w:p>
        </w:tc>
      </w:tr>
      <w:tr>
        <w:trPr>
          <w:trHeight w:val="148"/>
        </w:trPr>
        <w:tc>
          <w:tcPr>
            <w:tcW w:w="6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467</w:t>
            </w:r>
          </w:p>
        </w:tc>
        <w:tc>
          <w:tcPr>
            <w:tcW w:w="1340" w:type="dxa"/>
            <w:vAlign w:val="bottom"/>
            <w:gridSpan w:val="2"/>
          </w:tcPr>
          <w:p>
            <w:pPr>
              <w:jc w:val="right"/>
              <w:ind w:right="1"/>
              <w:spacing w:after="0"/>
              <w:rPr>
                <w:sz w:val="20"/>
                <w:szCs w:val="20"/>
                <w:color w:val="auto"/>
              </w:rPr>
            </w:pPr>
            <w:r>
              <w:rPr>
                <w:rFonts w:ascii="Arial" w:cs="Arial" w:eastAsia="Arial" w:hAnsi="Arial"/>
                <w:sz w:val="16"/>
                <w:szCs w:val="16"/>
                <w:color w:val="auto"/>
              </w:rPr>
              <w:t>12 %</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3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63 %</w:t>
            </w: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Core earnings before income taxes</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905</w:t>
            </w:r>
          </w:p>
        </w:tc>
        <w:tc>
          <w:tcPr>
            <w:tcW w:w="1340" w:type="dxa"/>
            <w:vAlign w:val="bottom"/>
            <w:gridSpan w:val="2"/>
          </w:tcPr>
          <w:p>
            <w:pPr>
              <w:jc w:val="right"/>
              <w:ind w:right="1"/>
              <w:spacing w:after="0"/>
              <w:rPr>
                <w:sz w:val="20"/>
                <w:szCs w:val="20"/>
                <w:color w:val="auto"/>
              </w:rPr>
            </w:pPr>
            <w:r>
              <w:rPr>
                <w:rFonts w:ascii="Arial" w:cs="Arial" w:eastAsia="Arial" w:hAnsi="Arial"/>
                <w:sz w:val="16"/>
                <w:szCs w:val="16"/>
                <w:color w:val="auto"/>
              </w:rPr>
              <w:t>17 %</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Neon exited lines (*)</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GAAP earnings before income taxes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909</w:t>
            </w:r>
          </w:p>
        </w:tc>
        <w:tc>
          <w:tcPr>
            <w:tcW w:w="1340" w:type="dxa"/>
            <w:vAlign w:val="bottom"/>
            <w:gridSpan w:val="2"/>
          </w:tcPr>
          <w:p>
            <w:pPr>
              <w:jc w:val="right"/>
              <w:ind w:right="1"/>
              <w:spacing w:after="0"/>
              <w:rPr>
                <w:sz w:val="20"/>
                <w:szCs w:val="20"/>
                <w:color w:val="auto"/>
              </w:rPr>
            </w:pPr>
            <w:r>
              <w:rPr>
                <w:rFonts w:ascii="Arial" w:cs="Arial" w:eastAsia="Arial" w:hAnsi="Arial"/>
                <w:sz w:val="16"/>
                <w:szCs w:val="16"/>
                <w:color w:val="auto"/>
              </w:rPr>
              <w:t>16 %</w:t>
            </w:r>
          </w:p>
        </w:tc>
      </w:tr>
      <w:tr>
        <w:trPr>
          <w:trHeight w:val="21"/>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hanging="394"/>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second quarter of 2021, AFG recognized a non-core pretax gain of $4 million related to contingent consideration received on the sale of Neon.</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970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7" w:lineRule="exact"/>
        <w:rPr>
          <w:sz w:val="20"/>
          <w:szCs w:val="20"/>
          <w:color w:val="auto"/>
        </w:rPr>
      </w:pPr>
    </w:p>
    <w:p>
      <w:pPr>
        <w:ind w:left="600"/>
        <w:spacing w:after="0"/>
        <w:tabs>
          <w:tab w:leader="none" w:pos="2200" w:val="left"/>
          <w:tab w:leader="none" w:pos="3580" w:val="left"/>
        </w:tabs>
        <w:rPr>
          <w:sz w:val="20"/>
          <w:szCs w:val="20"/>
          <w:color w:val="auto"/>
        </w:rPr>
      </w:pPr>
      <w:r>
        <w:rPr>
          <w:rFonts w:ascii="Arial" w:cs="Arial" w:eastAsia="Arial" w:hAnsi="Arial"/>
          <w:sz w:val="15"/>
          <w:szCs w:val="15"/>
          <w:color w:val="auto"/>
        </w:rPr>
        <w:t>2022</w:t>
      </w:r>
      <w:r>
        <w:rPr>
          <w:sz w:val="20"/>
          <w:szCs w:val="20"/>
          <w:color w:val="auto"/>
        </w:rPr>
        <w:tab/>
      </w:r>
      <w:r>
        <w:rPr>
          <w:rFonts w:ascii="Arial" w:cs="Arial" w:eastAsia="Arial" w:hAnsi="Arial"/>
          <w:sz w:val="15"/>
          <w:szCs w:val="15"/>
          <w:color w:val="auto"/>
        </w:rPr>
        <w:t>2021</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21590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59.0 %</w:t>
            </w:r>
          </w:p>
        </w:tc>
        <w:tc>
          <w:tcPr>
            <w:tcW w:w="132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29.4 %</w:t>
            </w:r>
          </w:p>
        </w:tc>
        <w:tc>
          <w:tcPr>
            <w:tcW w:w="13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88.4 %</w:t>
            </w:r>
          </w:p>
        </w:tc>
        <w:tc>
          <w:tcPr>
            <w:tcW w:w="13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558"/>
        </w:trPr>
        <w:tc>
          <w:tcPr>
            <w:tcW w:w="1520" w:type="dxa"/>
            <w:vAlign w:val="bottom"/>
          </w:tcPr>
          <w:p>
            <w:pPr>
              <w:jc w:val="right"/>
              <w:spacing w:after="0"/>
              <w:rPr>
                <w:sz w:val="20"/>
                <w:szCs w:val="20"/>
                <w:color w:val="auto"/>
              </w:rPr>
            </w:pPr>
            <w:r>
              <w:rPr>
                <w:rFonts w:ascii="Arial" w:cs="Arial" w:eastAsia="Arial" w:hAnsi="Arial"/>
                <w:sz w:val="16"/>
                <w:szCs w:val="16"/>
                <w:color w:val="auto"/>
              </w:rPr>
              <w:t>59.2 %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59.0 %</w:t>
            </w:r>
          </w:p>
        </w:tc>
        <w:tc>
          <w:tcPr>
            <w:tcW w:w="132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29.4 %</w:t>
            </w:r>
          </w:p>
        </w:tc>
        <w:tc>
          <w:tcPr>
            <w:tcW w:w="13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88.4 %</w:t>
            </w:r>
          </w:p>
        </w:tc>
        <w:tc>
          <w:tcPr>
            <w:tcW w:w="132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-1130935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-856615</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-591185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-316865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jc w:val="both"/>
        <w:ind w:right="140"/>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$7.21 billion for the first nine months of 2022 compared to $6.21 billion for the first nine months of 2021, an increase of $1.00 billion (16%).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color w:val="auto"/>
              </w:rPr>
              <w:t>Nine months ended September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80" w:type="dxa"/>
            <w:vAlign w:val="bottom"/>
          </w:tcPr>
          <w:p>
            <w:pPr>
              <w:jc w:val="right"/>
              <w:ind w:right="36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6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4"/>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2,705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2,922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9"/>
        </w:trPr>
        <w:tc>
          <w:tcPr>
            <w:tcW w:w="54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7,212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6,209</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1"/>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jc w:val="both"/>
        <w:ind w:right="20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33% of gross written premiums for the first nine months of 2022 compared to 31% of gross written premiums for the first nine months of 2021, an increase of 2 percentage points.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color w:val="auto"/>
              </w:rPr>
              <w:t>Nine months ended 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of GWP</w:t>
            </w:r>
          </w:p>
        </w:tc>
      </w:tr>
      <w:tr>
        <w:trPr>
          <w:trHeight w:val="21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4 %</w:t>
            </w: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4 %</w:t>
            </w:r>
          </w:p>
        </w:tc>
      </w:tr>
      <w:tr>
        <w:trPr>
          <w:trHeight w:val="21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5"/>
        </w:trPr>
        <w:tc>
          <w:tcPr>
            <w:tcW w:w="5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$4.87 billion for the first nine months of 2022 compared to $4.30 billion for the first nine months of 2021, an increase of $565 million (13%).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color w:val="auto"/>
              </w:rPr>
              <w:t>Nine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8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1,912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15 %</w:t>
            </w:r>
          </w:p>
        </w:tc>
      </w:tr>
      <w:tr>
        <w:trPr>
          <w:trHeight w:val="235"/>
        </w:trPr>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4,303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$4.46 billion for the first nine months of 2022 compared to $3.95 billion for the first nine months of 2021, an increase of $510 million (13%).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color w:val="auto"/>
              </w:rPr>
              <w:t>Nine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80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1,547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1,772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15 %</w:t>
            </w: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3,952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The $1.00 billion (16%) increase in gross written premiums for the first nine months of 2022 compared to the first nine months of 2021 reflects growth in the crop insurance business. Excluding crop, gross and net written premiums increased 9% and 10%, respectively, compared to the first nine months of 2021 reflecting increased exposures, new business opportunities, and renewal rate increases. Overall average renewal rates increased approximately 5% in the first nine months of 2022. Excluding the workers’ compensation businesses, renewal pricing increased approximately 7%.</w:t>
      </w:r>
    </w:p>
    <w:p>
      <w:pPr>
        <w:spacing w:after="0" w:line="20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$754 million (28%) in the first nine months of 2022 compared to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2021 due primarily to growth in the crop insurance business. Excluding crop, gross and net written premiums grew 14% and 13%, respectively, reflecting increased exposures and higher rates. Average renewal rates increased approximately 6% for this group in the first nine months of 2022. Reinsurance premiums ceded as a percentage of gross written premiums increased 4 percentage points in the first nine months of 2022 compared to the first nine months of 2021 reflecting growth in the crop insurance operations (which cede a larger percentage of premiums than the other businesses in the Property and transportation sub-segment), higher cessions in the ocean marine business and the impact of reinstatement premiums related to Hurricane Ian.</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$186 million (6%) in the first nine months of 2022 compared to the first nine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2021 due primarily to increased exposures in the excess and surplus business, rate increases and new business opportunities in the targeted markets businesses and increased exposures resulting from payroll growth in the workers’ compensation businesses. This premium growth was partially offset by lower year-over-year premiums in the mergers and acquisitions liability business. Average renewal rates increased approximately 5% for this group in the first nine months of 2022. Excluding overall rate decreases in the workers’ compensation businesses, renewal rates for this group increased approximately 8%. Reinsurance premiums ceded as a percentage of gross written premiums decreased 2 percentage points in the first nine months of 2022 compared to the first nine months of 2021 reflecting lower cessions in the environmental, excess and surplus and excess liability businesses and lower gross written premiums in the mergers and acquisitions liability business (which cedes a larger percentage of premiums than the other businesses in the Specialty casualty sub-segment).</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$63 million (11%) in the first nine months of 2022 compared to the first nine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2021 due primarily to higher premiums in the financial institutions business related to lender-placed mortgage protection insurance, rate increases and new business opportunities in the fidelity and crime business and new business opportunities in the innovative markets business. Average renewal rates increased approximately 5% for this group in the first nine months of 2022. Reinsurance premiums ceded as a percentage of gross written premiums increased 4 percentage points for the first nine months of 2022 compared to the first nine months of 2021 reflecting the impact of reinstatement premiums related to Hurricane Ian and higher cessions in the innovative markets business.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the operations that make up AFG’s other Specialty property and casualty insurance sub-segments. Reinsurance premiums assumed increased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$25 million (15%) in the first nine months of 2022 compared to the first nine months of 2021, reflecting an increase in premiums retained, primarily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from businesses 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 w:right="4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table below (dollars in millions) details the components of the combined ratio and underwriting profit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30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Change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411"/>
        </w:trPr>
        <w:tc>
          <w:tcPr>
            <w:tcW w:w="1460" w:type="dxa"/>
            <w:vAlign w:val="bottom"/>
          </w:tcPr>
          <w:p>
            <w:pPr>
              <w:jc w:val="right"/>
              <w:spacing w:after="0"/>
              <w:rPr>
                <w:sz w:val="20"/>
                <w:szCs w:val="20"/>
                <w:color w:val="auto"/>
              </w:rPr>
            </w:pPr>
            <w:r>
              <w:rPr>
                <w:rFonts w:ascii="Arial" w:cs="Arial" w:eastAsia="Arial" w:hAnsi="Arial"/>
                <w:sz w:val="16"/>
                <w:szCs w:val="16"/>
                <w:color w:val="auto"/>
              </w:rPr>
              <w:t>69.0 %</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64.7 %</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89.6 %</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54.3 %</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59.7 %</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34.1 %</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33.7 %</w:t>
            </w:r>
          </w:p>
        </w:tc>
        <w:tc>
          <w:tcPr>
            <w:tcW w:w="12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59.0 %</w:t>
            </w:r>
          </w:p>
        </w:tc>
        <w:tc>
          <w:tcPr>
            <w:tcW w:w="12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5"/>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59.2 %</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59.0 %</w:t>
            </w:r>
          </w:p>
        </w:tc>
        <w:tc>
          <w:tcPr>
            <w:tcW w:w="12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5"/>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-3959860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-3685540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-3385185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-3136900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-2862580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-2562225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-2339340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-2065655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-1765300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-1542415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-1268095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-967740</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-745490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-471170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-170815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16" w:right="339" w:bottom="1440" w:gutter="0" w:footer="0" w:header="0"/>
          <w:type w:val="continuous"/>
        </w:sectPr>
      </w:pP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Specialty property and casualty insurance operations generated an underwriting profit of $563 million for the first nine months of 2022 compared to $456 million for the first nine months of 2021, an increase of $107 million (23%), reflecting higher underwriting profit in the Specialty casualty and Specialty financial sub-segments, partially offset by lower underwriting profit in the Property and transportation sub-segment. Underwriting results for the Specialty property and casualty insurance operations include $14 million (0.3 points on the combined ratio) in COVID-19 related losses in the first nine months of 2021. Overall catastrophe losses were $82 million (1.7 points on the combined ratio), including $18 million in net reinstatement premiums, in the first nine months of 2022 compared to catastrophe losses of $73 million (1.8 points), including $12 million in net reinstatement premiums the first nine months of 2021. As a result of catastrophe losses incurred in the third quarter of 2022, AFG reduced certain profit-based commissions payable to agents by $12 million, resulting in a net impact from catastrophes of $70 million for the nine months ended September 30, 2022.</w:t>
      </w:r>
    </w:p>
    <w:p>
      <w:pPr>
        <w:spacing w:after="0" w:line="209"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$140 million for the first nine months of 2022 compared to $163 million for</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nine months of 2021, a decrease of $23 million (14%), reflecting lower underwriting profit in the transportation businesses, primarily the result of lower favorable prior year reserve development. Catastrophe losses were $38 million (2.0 points on the combined ratio), including $4 million in net reinstatement premiums, in the first nine months of 2022 compared to catastrophe losses of $43 million (2.7 points), including $9 million in net reinstatement premiums, in the first nine months of 2021.</w:t>
      </w:r>
    </w:p>
    <w:p>
      <w:pPr>
        <w:spacing w:after="0" w:line="219"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$372 million for the first nine months of 2022 compared to $237 million for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2021, an increase of $135 million (57%). This increase reflects higher year-over-year underwriting profit in the workers’ compensation, excess and surplus, executive liability and mergers and acquisitions liability businesses. COVID-19 related losses were $8 million (0.4 points on the combined ratio) in the first nine months of 2021. Catastrophe losses were $4 million (0.1 points on the combined ratio), including $1 million in net reinstatement</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premiums, in the first nine months of 2022 compared to catastrophe losses of $7 million (0.4 points), including net reinstatement premiums of $1 million, in the first nine months of 2021.</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$81 million for the first nine months of 2022 compared to $72 million for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2021, an increase of $9 million (13%). This increase reflects higher year-over-year underwriting profit in the trade credit and financial institutions businesses. COVID-19 related losses were $6 million (1.2 points on the combined ratio) in the first nine months of 2021. Catastrophe losses were $39 million (6.0 points on the combined ratio), including $13 million in net reinstatement premiums, in the first nine months of 2022 compared to catastrophe losses of $22 million (4.3 points), including $2 million in net reinstatement premiums, in the first nine months of 2021. As a result of the catastrophe losses incurred in the third quarter of 2022, the Specialty financial sub-segment reduced profit-based commissions payable to agents, which had a favorable impact on the combined ratio.</w:t>
      </w:r>
    </w:p>
    <w:p>
      <w:pPr>
        <w:spacing w:after="0" w:line="21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$30 million for the first nine months of 2022 compared to $16 million in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2021, an increase of $14 million (88%). This increase reflects higher losses in the business assumed by AFG’s internal reinsurance program from the operations that make up AFG’s other Specialty sub-segments in the first nine months of 2022 compared to the first nine months of 2021.</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$5 million and $2 million in the first nine months of 2022 and 2021, respectively,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59.2% for the first nine months of 2022 compared to 59.0% for the first nine months of 2021,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0.2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Nine months ended 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Amount</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Ratio</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45"/>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1,291</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68.5 %</w:t>
            </w:r>
          </w:p>
        </w:tc>
        <w:tc>
          <w:tcPr>
            <w:tcW w:w="1180" w:type="dxa"/>
            <w:vAlign w:val="bottom"/>
            <w:gridSpan w:val="2"/>
          </w:tcPr>
          <w:p>
            <w:pPr>
              <w:jc w:val="right"/>
              <w:ind w:right="5"/>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8"/>
                <w:szCs w:val="18"/>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3"/>
        </w:trPr>
        <w:tc>
          <w:tcPr>
            <w:tcW w:w="58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69.0 %</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64.7 %</w:t>
            </w:r>
          </w:p>
        </w:tc>
        <w:tc>
          <w:tcPr>
            <w:tcW w:w="1180" w:type="dxa"/>
            <w:vAlign w:val="bottom"/>
            <w:gridSpan w:val="2"/>
          </w:tcPr>
          <w:p>
            <w:pPr>
              <w:jc w:val="right"/>
              <w:ind w:right="5"/>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185</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1.2 %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63"/>
        </w:trPr>
        <w:tc>
          <w:tcPr>
            <w:tcW w:w="58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18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34.1 %</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33.7 %</w:t>
            </w:r>
          </w:p>
        </w:tc>
        <w:tc>
          <w:tcPr>
            <w:tcW w:w="1180" w:type="dxa"/>
            <w:vAlign w:val="bottom"/>
            <w:gridSpan w:val="2"/>
          </w:tcPr>
          <w:p>
            <w:pPr>
              <w:jc w:val="right"/>
              <w:ind w:right="5"/>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62.2 %</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(5.3 %)</w:t>
            </w:r>
          </w:p>
        </w:tc>
        <w:tc>
          <w:tcPr>
            <w:tcW w:w="1180" w:type="dxa"/>
            <w:vAlign w:val="bottom"/>
            <w:gridSpan w:val="2"/>
          </w:tcPr>
          <w:p>
            <w:pPr>
              <w:jc w:val="right"/>
              <w:ind w:right="5"/>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59.0 %</w:t>
            </w:r>
          </w:p>
        </w:tc>
        <w:tc>
          <w:tcPr>
            <w:tcW w:w="118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COVID-19 related and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2,805</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2,468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62.6 %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62.2 %</w:t>
            </w:r>
          </w:p>
        </w:tc>
        <w:tc>
          <w:tcPr>
            <w:tcW w:w="1180" w:type="dxa"/>
            <w:vAlign w:val="bottom"/>
            <w:gridSpan w:val="2"/>
          </w:tcPr>
          <w:p>
            <w:pPr>
              <w:jc w:val="right"/>
              <w:ind w:right="5"/>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0.3 %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63"/>
        </w:trPr>
        <w:tc>
          <w:tcPr>
            <w:tcW w:w="58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59.2 %</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59.0 %</w:t>
            </w:r>
          </w:p>
        </w:tc>
        <w:tc>
          <w:tcPr>
            <w:tcW w:w="1180" w:type="dxa"/>
            <w:vAlign w:val="bottom"/>
            <w:gridSpan w:val="2"/>
          </w:tcPr>
          <w:p>
            <w:pPr>
              <w:jc w:val="right"/>
              <w:ind w:right="5"/>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COVID-19 related and catastrophe losses</w:t>
      </w:r>
    </w:p>
    <w:p>
      <w:pPr>
        <w:spacing w:after="0" w:line="21" w:lineRule="exact"/>
        <w:rPr>
          <w:sz w:val="20"/>
          <w:szCs w:val="20"/>
          <w:color w:val="auto"/>
        </w:rPr>
      </w:pPr>
    </w:p>
    <w:p>
      <w:pPr>
        <w:ind w:right="640"/>
        <w:spacing w:after="0" w:line="256" w:lineRule="auto"/>
        <w:rPr>
          <w:sz w:val="20"/>
          <w:szCs w:val="20"/>
          <w:color w:val="auto"/>
        </w:rPr>
      </w:pPr>
      <w:r>
        <w:rPr>
          <w:rFonts w:ascii="Arial" w:cs="Arial" w:eastAsia="Arial" w:hAnsi="Arial"/>
          <w:sz w:val="17"/>
          <w:szCs w:val="17"/>
          <w:color w:val="auto"/>
        </w:rPr>
        <w:t>The current accident year loss and LAE ratio, excluding COVID-19 related and catastrophe losses for AFG’s Specialty property and casualty insurance operations was 62.6% for the first nine months of 2022 compared to 62.2% for the first nine months of 2021, an increase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0.4 percentage points.</w:t>
      </w:r>
    </w:p>
    <w:p>
      <w:pPr>
        <w:spacing w:after="0" w:line="235" w:lineRule="exact"/>
        <w:rPr>
          <w:sz w:val="20"/>
          <w:szCs w:val="20"/>
          <w:color w:val="auto"/>
        </w:rPr>
      </w:pPr>
    </w:p>
    <w:p>
      <w:pPr>
        <w:jc w:val="both"/>
        <w:ind w:right="2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2.9 percentage point increase in the loss and LAE ratio for the current year, excluding COVID-19 related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and catastrophe losses reflects an increase in the loss and LAE ratios of the crop insurance and property and inland marine businesses in the first nine months of 2022 compared to the first nine months of 2021.</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6" w:lineRule="exact"/>
        <w:rPr>
          <w:sz w:val="20"/>
          <w:szCs w:val="20"/>
          <w:color w:val="auto"/>
        </w:rPr>
      </w:pPr>
    </w:p>
    <w:p>
      <w:pPr>
        <w:ind w:right="80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2.4 percentage point decrease in the loss and LAE ratio for the current year, excluding COVID-19 related and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catastrophe losses reflects improved results in the workers’ compensation and executive liability businesses.</w:t>
      </w:r>
    </w:p>
    <w:p>
      <w:pPr>
        <w:spacing w:after="0" w:line="215" w:lineRule="exact"/>
        <w:rPr>
          <w:sz w:val="20"/>
          <w:szCs w:val="20"/>
          <w:color w:val="auto"/>
        </w:rPr>
      </w:pPr>
    </w:p>
    <w:p>
      <w:pPr>
        <w:ind w:right="780"/>
        <w:spacing w:after="0" w:line="236"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0.3 percentage point decrease in the loss and LAE ratio for the current year, excluding COVID-19 related and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catastrophe losses reflects improved results in the trade credit business.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2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$231 million in the first nine months of 2022 compared to $210 million in the first nine months of 2021, an increase of $21 million (10%).</w:t>
      </w:r>
    </w:p>
    <w:p>
      <w:pPr>
        <w:spacing w:after="0" w:line="20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$79 million in the first nine months of 2022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lower than expected claim frequency in the trucking and ocean marine businesses and in the Singapore operations, lower than expected claim frequency and severity in the aviation business and lower than anticipated claim severity in the property and inland marine business. Net favorable reserve development of $101 million in the first nine months of 2021 reflects lower than anticipated claim frequency and severity in the transportation businesses, lower than expected losses in the crop business, lower than expected claim severity in the property and inland marine business and lower than expected claim frequency in the aviation business, partially offset by higher than expected claim frequency and severity in equine business.</w:t>
      </w:r>
    </w:p>
    <w:p>
      <w:pPr>
        <w:spacing w:after="0" w:line="217"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$140 million in the first nine months of 2022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severity in the workers’ compensation businesses, lower than expected claim frequency in the executive liability business and lower than anticipated claim frequency and severity in the excess and surplus business, partially offset by higher than anticipated claim severity in the targeted markets and excess liability businesses. Net favorable reserve development of $85 million in the first nine months of 2021 reflects lower than anticipated claim severity in the workers’ compensation businesses, partially offset by higher than anticipated claim severity in the general liability and targeted markets businesses.</w:t>
      </w:r>
    </w:p>
    <w:p>
      <w:pPr>
        <w:spacing w:after="0" w:line="215"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$39 million in the first nine months of 2022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frequency in the surety, trade credit and financial institutions businesses. Net favorable reserve development of $38 million in the first nine months of 2021 reflects lower than anticipated claim frequency in the surety and trade credit businesses and lower than expected claim frequency and severity in the financial institutions business.</w:t>
      </w:r>
    </w:p>
    <w:p>
      <w:pPr>
        <w:spacing w:after="0" w:line="231"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$27 million in the first nine months of 2022 and $14 million in the first nine months of 2021, reflecting net adverse development associated with AFG’s internal reinsurance program, partially offset by the amortization of the deferred gains on the retroactive reinsurance transactions entered into in connection with the sale of businesses in 1998 and 2001.</w:t>
      </w:r>
    </w:p>
    <w:p>
      <w:pPr>
        <w:spacing w:after="0" w:line="218" w:lineRule="exact"/>
        <w:rPr>
          <w:sz w:val="20"/>
          <w:szCs w:val="20"/>
          <w:color w:val="auto"/>
        </w:rPr>
      </w:pPr>
    </w:p>
    <w:p>
      <w:pPr>
        <w:jc w:val="both"/>
        <w:ind w:right="400"/>
        <w:spacing w:after="0"/>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$5 million in the first nine months of 2022 and $2 million in the first nine months of 2021 related to business outside the Specialty group that AFG no longer writes.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COVID-19 related losses</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the first nine months of 2022, AFG’s Specialty property and casualty insurance operations released $14 million of prior accident year COVID-19 reserves based on improved loss experience in the trade credit and workers’ compensation businesses. Underwriting results for AFG’s Specialty property and casualty insurance operations in the first nine months of 2021 include $14 million in reserve charges related to COVID-19, primarily related to the workers’ compensation and trade credit businesses. AFG released approximately $12 million of accident year 2020 reserves based on loss experience in the first nine months of 2021. Given the uncertainties surrounding the ultimate number and scope of claims relating to the pandemic, approximately 53% of the $79 million in cumulative COVID-19 related losses are held as incurred but not reported reserves at September 30, 2022.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color w:val="auto"/>
        </w:rPr>
        <w:t>Catastrophe losses of $64 million in the first nine months of 2022 (before net reinstatement premiums) resulted primarily from Hurricane Ian and storms in multiple regions of the United States. Catastrophe losses of $61 million in the first nine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months of 2021 (before net reinstatement premiums) resulted primarily from Hurricane Ida and storms in multiple regions of the United States, including the winter storms in Texas.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AFG’s property and casualty commissions and other underwriting expenses (“U/W Exp”) were $1.26 billion in the first nine months of 2022 compared to $1.16 billion for the first nine months of 2021, an increase of $98 million (8%). AFG’s underwriting expense ratio was 28.3% for the first nine months of 2022 compared to 29.4% for the first nine months of 2021, a decrease of 1.1 percentage points. Detail of AFG’s property and casualty commissions and other underwriting expenses and underwriting expense ratios is shown below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color w:val="auto"/>
              </w:rPr>
              <w:t>Nine months ended September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2021</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448"/>
              <w:spacing w:after="0"/>
              <w:rPr>
                <w:sz w:val="20"/>
                <w:szCs w:val="20"/>
                <w:color w:val="auto"/>
              </w:rPr>
            </w:pPr>
            <w:r>
              <w:rPr>
                <w:rFonts w:ascii="Arial" w:cs="Arial" w:eastAsia="Arial" w:hAnsi="Arial"/>
                <w:sz w:val="14"/>
                <w:szCs w:val="14"/>
                <w:color w:val="auto"/>
              </w:rPr>
              <w:t>U/W Exp</w:t>
            </w:r>
          </w:p>
        </w:tc>
        <w:tc>
          <w:tcPr>
            <w:tcW w:w="1000" w:type="dxa"/>
            <w:vAlign w:val="bottom"/>
            <w:gridSpan w:val="2"/>
          </w:tcPr>
          <w:p>
            <w:pPr>
              <w:spacing w:after="0"/>
              <w:rPr>
                <w:sz w:val="20"/>
                <w:szCs w:val="20"/>
                <w:color w:val="auto"/>
              </w:rPr>
            </w:pPr>
            <w:r>
              <w:rPr>
                <w:rFonts w:ascii="Arial" w:cs="Arial" w:eastAsia="Arial" w:hAnsi="Arial"/>
                <w:sz w:val="14"/>
                <w:szCs w:val="14"/>
                <w:color w:val="auto"/>
              </w:rPr>
              <w:t>% of NEP</w:t>
            </w:r>
          </w:p>
        </w:tc>
        <w:tc>
          <w:tcPr>
            <w:tcW w:w="120" w:type="dxa"/>
            <w:vAlign w:val="bottom"/>
          </w:tcPr>
          <w:p>
            <w:pPr>
              <w:spacing w:after="0"/>
              <w:rPr>
                <w:sz w:val="17"/>
                <w:szCs w:val="17"/>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color w:val="auto"/>
              </w:rPr>
              <w:t>U/W Exp</w:t>
            </w: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of NEP</w:t>
            </w:r>
          </w:p>
        </w:tc>
        <w:tc>
          <w:tcPr>
            <w:tcW w:w="1140" w:type="dxa"/>
            <w:vAlign w:val="bottom"/>
          </w:tcPr>
          <w:p>
            <w:pPr>
              <w:jc w:val="right"/>
              <w:ind w:right="182"/>
              <w:spacing w:after="0"/>
              <w:rPr>
                <w:sz w:val="20"/>
                <w:szCs w:val="20"/>
                <w:color w:val="auto"/>
              </w:rPr>
            </w:pPr>
            <w:r>
              <w:rPr>
                <w:rFonts w:ascii="Arial" w:cs="Arial" w:eastAsia="Arial" w:hAnsi="Arial"/>
                <w:sz w:val="14"/>
                <w:szCs w:val="14"/>
                <w:color w:val="auto"/>
              </w:rPr>
              <w:t>% of NEP</w:t>
            </w:r>
          </w:p>
        </w:tc>
      </w:tr>
      <w:tr>
        <w:trPr>
          <w:trHeight w:val="21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37.5 %</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(2.8 %)</w:t>
            </w:r>
          </w:p>
        </w:tc>
      </w:tr>
      <w:tr>
        <w:trPr>
          <w:trHeight w:val="235"/>
        </w:trPr>
        <w:tc>
          <w:tcPr>
            <w:tcW w:w="5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2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1.7 percentage points in the first nine months of 2022 compared to the first nine months of 2021 reflecting the impact of higher premiums in the crop insurance and trucking businesses on the ratio in the first nine months of 2022 compared to the first nine months of 2021.</w:t>
      </w:r>
    </w:p>
    <w:p>
      <w:pPr>
        <w:spacing w:after="0" w:line="203"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were comparable in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2022 and the first nine months of 2021.</w:t>
      </w:r>
    </w:p>
    <w:p>
      <w:pPr>
        <w:spacing w:after="0" w:line="215"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decreased 1.4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first nine months of 2022 compared to the first nine months of 2021 reflecting lower profit-based commissions to agents in the first nine months of 2022 compared to the first nine months of 2021.</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$524 million in the first nine months of 2022 compared to</w:t>
      </w:r>
    </w:p>
    <w:p>
      <w:pPr>
        <w:spacing w:after="0" w:line="1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$467 million in the first nine months of 2021, an increase of $57 million (12%). The average invested assets and overall yield earned on investments held by AFG’s property and casualty insurance operations are provided below (dollars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color w:val="auto"/>
              </w:rPr>
              <w:t>Nine months ended September 30,</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1"/>
        </w:trPr>
        <w:tc>
          <w:tcPr>
            <w:tcW w:w="56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5"/>
                <w:szCs w:val="15"/>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5"/>
                <w:szCs w:val="15"/>
                <w:color w:val="auto"/>
              </w:rPr>
              <w:t>2021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rPr>
              <w:t>Change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 Change</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566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1"/>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5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224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0"/>
        </w:trPr>
        <w:tc>
          <w:tcPr>
            <w:tcW w:w="566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75"/>
        </w:trPr>
        <w:tc>
          <w:tcPr>
            <w:tcW w:w="5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13,981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12,763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1,218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75"/>
        </w:trPr>
        <w:tc>
          <w:tcPr>
            <w:tcW w:w="5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4.88 %</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75"/>
        </w:trPr>
        <w:tc>
          <w:tcPr>
            <w:tcW w:w="5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increase in the property and casualty insurance segment’s net investment income for the first nine months of 2022 compared to the first nine months of 2021 reflects higher average investments and higher yields on fixed maturities. The property and casualty insurance segment’s overall yield on investments (net investment income as a percentage of average invested assets) was 5.00% for the first nine months of 2022 compared to 4.88% for the first nine months of 2021, an increase of 0.12 percentage points. The annualized return earned on alternative investments (partnerships and similar investments and AFG-managed CLOs) was 16.1% in the first nine months of 2022 compared to 24.4% in the prior year period.</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$26 million for the first nine months of 2022 compared to $16 million for the first nine months of 2021, an increase of $10 million (63%).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340" w:type="dxa"/>
            <w:vAlign w:val="bottom"/>
            <w:tcBorders>
              <w:bottom w:val="single" w:sz="8" w:color="auto"/>
            </w:tcBorders>
          </w:tcPr>
          <w:p>
            <w:pPr>
              <w:spacing w:after="0"/>
              <w:rPr>
                <w:sz w:val="16"/>
                <w:szCs w:val="16"/>
                <w:color w:val="auto"/>
              </w:rPr>
            </w:pPr>
          </w:p>
        </w:tc>
      </w:tr>
      <w:tr>
        <w:trPr>
          <w:trHeight w:val="199"/>
        </w:trPr>
        <w:tc>
          <w:tcPr>
            <w:tcW w:w="8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rPr>
              <w:t>2021</w:t>
            </w:r>
          </w:p>
        </w:tc>
        <w:tc>
          <w:tcPr>
            <w:tcW w:w="340" w:type="dxa"/>
            <w:vAlign w:val="bottom"/>
            <w:tcBorders>
              <w:bottom w:val="single" w:sz="8" w:color="auto"/>
            </w:tcBorders>
          </w:tcPr>
          <w:p>
            <w:pPr>
              <w:spacing w:after="0"/>
              <w:rPr>
                <w:sz w:val="17"/>
                <w:szCs w:val="17"/>
                <w:color w:val="auto"/>
              </w:rPr>
            </w:pP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5"/>
        </w:trPr>
        <w:tc>
          <w:tcPr>
            <w:tcW w:w="8320" w:type="dxa"/>
            <w:vAlign w:val="bottom"/>
          </w:tcPr>
          <w:p>
            <w:pPr>
              <w:ind w:left="260"/>
              <w:spacing w:after="0"/>
              <w:rPr>
                <w:sz w:val="20"/>
                <w:szCs w:val="20"/>
                <w:color w:val="auto"/>
              </w:rPr>
            </w:pPr>
            <w:r>
              <w:rPr>
                <w:rFonts w:ascii="Arial" w:cs="Arial" w:eastAsia="Arial" w:hAnsi="Arial"/>
                <w:sz w:val="16"/>
                <w:szCs w:val="16"/>
                <w:color w:val="auto"/>
              </w:rPr>
              <w:t>Income (loss) related to the sale of real estate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ind w:right="881"/>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income</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expenses:</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5"/>
        </w:trPr>
        <w:tc>
          <w:tcPr>
            <w:tcW w:w="8320" w:type="dxa"/>
            <w:vAlign w:val="bottom"/>
          </w:tcPr>
          <w:p>
            <w:pPr>
              <w:ind w:left="260"/>
              <w:spacing w:after="0"/>
              <w:rPr>
                <w:sz w:val="20"/>
                <w:szCs w:val="20"/>
                <w:color w:val="auto"/>
              </w:rPr>
            </w:pPr>
            <w:r>
              <w:rPr>
                <w:rFonts w:ascii="Arial" w:cs="Arial" w:eastAsia="Arial" w:hAnsi="Arial"/>
                <w:sz w:val="16"/>
                <w:szCs w:val="16"/>
                <w:color w:val="auto"/>
              </w:rPr>
              <w:t>Amortization of intangibles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 on funds withheld</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3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w:t>
            </w: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$7 million of expenses in the first nine months of 2022 related to certain technology initiatives.</w:t>
      </w: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2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$136 million in the first nine months of 2022 compared to $172 million in the first nine months of 2021, a decrease of $36 million (21%). AFG’s net core pretax loss outside of its property and casualty insurance segment (excluding realized gains and losses) totaled $126 million in the first nine months of 2022 compared to $161 million in the first nine months of 2021, a decrease of $35 million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nine months ended September 30, 2022 and 2021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color w:val="auto"/>
              </w:rPr>
              <w:t>Nine months ended September 30,</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 Change</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08"/>
        </w:trPr>
        <w:tc>
          <w:tcPr>
            <w:tcW w:w="7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42"/>
        </w:trPr>
        <w:tc>
          <w:tcPr>
            <w:tcW w:w="710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9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money</w:t>
            </w:r>
          </w:p>
        </w:tc>
        <w:tc>
          <w:tcPr>
            <w:tcW w:w="9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loss on retirement of debt</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Pretax non-core loss on pension settlement</w:t>
            </w:r>
          </w:p>
        </w:tc>
        <w:tc>
          <w:tcPr>
            <w:tcW w:w="9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43"/>
        </w:trPr>
        <w:tc>
          <w:tcPr>
            <w:tcW w:w="71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GAAP loss from continuing operations before income taxes, excluding realized gains and</w:t>
            </w:r>
          </w:p>
        </w:tc>
        <w:tc>
          <w:tcPr>
            <w:tcW w:w="920" w:type="dxa"/>
            <w:vAlign w:val="bottom"/>
            <w:tcBorders>
              <w:top w:val="single" w:sz="8" w:color="auto"/>
            </w:tcBorders>
            <w:vMerge w:val="restart"/>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losses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240" w:hanging="412"/>
        <w:spacing w:after="0" w:line="284" w:lineRule="auto"/>
        <w:tabs>
          <w:tab w:leader="none" w:pos="411"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Excludes a pretax non-core loss on retirement of debt of $10 million in the first nine months of 2022 and a pretax non-core loss of $11 million related to the settlement of pension liabilities of a small former manufacturing operation in the second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$15 million in the first nine months of 2022 compared to $20 million in the first nine months of 2021, a decrease of $5 million (25%). The small portfolio of equity securities held at the holding company that are carried at fair value through net investment income declined in value by $7 million in the first nine months of 2022 compared to increasing in value by $7 million in the first nine months of 2021. Excluding the change in fair value of these equity securities, net investment income outside of AFG’s property and casualty insurance segment improved to $22 million in the first nine months of 2022 compared to $13 million in the first nine months of 2021 reflecting higher average investment balances and income from directly owned real estate investments acquired from the annuity subsidiaries in conjunction with the sale of the annuity business in May 2021.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nine months of 2022, AFG collected $60 million in fees for these services compared to $54 million in the first nine months of 2021. Management views this fee income, net of the $37 million in the first nine months of 2022 and $34 million in the first nine months of 2021 in expenses incurred to generate such fees, as a reduction in the cost of underwriting its property and casualty insurance policies. In addition, AFG’s property and casualty insurance businesses collected $7 million and $4 million in fees from AFG’s disposed annuity operations in the first nine months of 2022 and the first nine months of 2021, respectively, as compensation for certain services provided under a transition services agreement. The expenses related to providing such services are embedded in property and casualty underwriting expenses. Consistent with internal management reporting, all of these fees and the related expenses are netted and recorded as a reduction of commissions and other underwriting expenses in AFG’s segmented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 xml:space="preserve">Other income in the table above includes $12 million in both the first nine months of 2022 and the first nine months of 2021,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$14 million in the first nine months of 2022 compared to $3 million in the first nine months of 2021, an increase of $11 million (367%) due primarily to income from the sale of real estate in 2022.</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1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other expenses of $102 million in the first nine months of 2022 compared to $125 million the first nine months of 2021, a decrease of $23 million (18%) reflecting lower holding company expenses related to employee benefit plans that are tied to stock market performance, partially offset by charges to increase the liabilities related to the A&amp;E exposures of AFG’s former railroad and manufacturing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0"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$65 million in the first nine months of 2022 compared to $71 million in the first nine months of 2021, a decrease of $6 million (8%), reflecting the retirement of AFG’s 3.50% Senior Notes in the first six months of 2022.</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Loss on Retirement of Debt</w:t>
      </w:r>
    </w:p>
    <w:p>
      <w:pPr>
        <w:spacing w:after="0" w:line="30"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During the first nine months of 2022, AFG retired $434 million principal amount of its senior notes, which resulted in a $10 million pretax non-core loss.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Loss on Pension Settlement</w:t>
      </w:r>
    </w:p>
    <w:p>
      <w:pPr>
        <w:spacing w:after="0" w:line="3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In the second quarter of 2021, AFG settled pension liabilities related to a small former manufacturing operation resulting in a pretax non-core loss of $11 million.</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4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AFG’s realized gains (losses) on securities were net losses of $143 million in the first nine months of 2022 compared to net gains of $103 million in the first nine months of 2021, a change of $246 million (239%). Realized gains (losses) on securities consisted of the following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Nine months ended September 30,</w:t>
            </w:r>
          </w:p>
        </w:tc>
      </w:tr>
      <w:tr>
        <w:trPr>
          <w:trHeight w:val="199"/>
        </w:trPr>
        <w:tc>
          <w:tcPr>
            <w:tcW w:w="8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rPr>
              <w:t>2021</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83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5"/>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197"/>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3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1"/>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$122 million net realized loss from the change in the fair value of equity securities in the first nine months of 2022 includes losses of $58 million on investments in banks and financing companies, $15 million on investments in healthcare companies, $14 million on investments in media companies, $10 million on investments in retail companies and $6 million on investments in technology companies, partially offset by gains of</w:t>
      </w:r>
    </w:p>
    <w:p>
      <w:pPr>
        <w:ind w:right="460"/>
        <w:spacing w:after="0" w:line="259" w:lineRule="auto"/>
        <w:rPr>
          <w:sz w:val="20"/>
          <w:szCs w:val="20"/>
          <w:color w:val="auto"/>
        </w:rPr>
      </w:pPr>
      <w:r>
        <w:rPr>
          <w:rFonts w:ascii="Arial" w:cs="Arial" w:eastAsia="Arial" w:hAnsi="Arial"/>
          <w:sz w:val="17"/>
          <w:szCs w:val="17"/>
          <w:color w:val="auto"/>
        </w:rPr>
        <w:t>$10 million on investments in energy and natural gas companies. The $104 million net realized gain from the change in the fair value of equity securities in the first nine months of 2021 includes gains of $27 million on investments in energy and natural gas companies, $20 million on investments in banks and financing companies, $20 million from investments in media companies and $19 million on investments in healthcare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 on Subsidiary</w:t>
      </w:r>
    </w:p>
    <w:p>
      <w:pPr>
        <w:spacing w:after="0" w:line="28"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In the second quarter of 2021, AFG recognized a pretax gain on sale of subsidiary of $4 million related to contingent consideration received on the sale of Neon.</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 on Continuing Operations</w:t>
      </w:r>
    </w:p>
    <w:p>
      <w:pPr>
        <w:spacing w:after="0" w:line="2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 xml:space="preserve">AFG’s consolidated provision for income taxes on continuing operations was $155 million for the first nine months of 2022 compared to $164 million for the first nine months of 2021, a decrease of $9 million (5%).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 on continuing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 Estate Entities Acquired from the Annuity Operations</w:t>
      </w:r>
    </w:p>
    <w:p>
      <w:pPr>
        <w:spacing w:after="0" w:line="28"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Prior to the completion of the sale of its annuity operations in May 2021, AFG parent and its property and casualty insurance operations acquired certain real estate-related partnerships and directly owned real estate from those operations. GAAP pretax earnings from continuing operations for the first six months of 2021 includes the earnings from these entities and certain other expenses that were retained from the annuity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retained real estate entities contributed $51 million in GAAP pretax earnings through the May 31, 2021 effective date of the sale.</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Discontinued Annuity Operations</w:t>
      </w:r>
    </w:p>
    <w:p>
      <w:pPr>
        <w:spacing w:after="0" w:line="28"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AFG’s discontinued annuity operations, which were sold in May 2021, contributed $914 million in GAAP net earnings in the first six months of 2021, which includes a $656 million after-tax gain on the sale.</w:t>
      </w:r>
    </w:p>
    <w:p>
      <w:pPr>
        <w:spacing w:after="0" w:line="281" w:lineRule="exact"/>
        <w:rPr>
          <w:sz w:val="20"/>
          <w:szCs w:val="20"/>
          <w:color w:val="auto"/>
        </w:rPr>
      </w:pPr>
    </w:p>
    <w:p>
      <w:pPr>
        <w:ind w:right="840"/>
        <w:spacing w:after="0" w:line="297"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8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 xml:space="preserve">As of September 30, 2022,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2021 Form 10-K. The following table demonstrates the sensitivity of fair values to reasonably likely changes in interest rates by</w:t>
      </w:r>
      <w:r>
        <w:rPr>
          <w:rFonts w:ascii="Arial" w:cs="Arial" w:eastAsia="Arial" w:hAnsi="Arial"/>
          <w:sz w:val="17"/>
          <w:szCs w:val="17"/>
          <w:i w:val="1"/>
          <w:iCs w:val="1"/>
          <w:color w:val="auto"/>
        </w:rPr>
        <w:t xml:space="preserve"> </w:t>
      </w:r>
      <w:r>
        <w:rPr>
          <w:rFonts w:ascii="Arial" w:cs="Arial" w:eastAsia="Arial" w:hAnsi="Arial"/>
          <w:sz w:val="17"/>
          <w:szCs w:val="17"/>
          <w:color w:val="auto"/>
        </w:rPr>
        <w:t>illustrating the estimated effect on AFG’s fixed maturity portfolio that an immediate increase of 100 basis points in the interest rate yield curve would have had at September 30, 2022 (dollars in millions). Effects of increases or decreases from the 100 basis points illustrated would be approximately proportional.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10,064</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(302)</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third fiscal quarter of 2022 that materially affected, or are reasonably likely to materially affect, AFG’s internal control over financial reporting.</w:t>
      </w:r>
    </w:p>
    <w:p>
      <w:pPr>
        <w:spacing w:after="0" w:line="20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During the first quarter of 2022, AFG implemented a new general ledger, accounting and financial reporting system. The new general ledger system was implemented in order to provide a consistent system platform for AFG’s subsidiaries, enhance overall efficiency and streamline management reporting and analysis. This change in systems was subject to thorough testing and review both before and after final implementation. This implementation has not materially affected, and management does not expect it to materially affect, AFG’s internal controls.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PART II</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OTHER INFORMATION</w:t>
      </w:r>
    </w:p>
    <w:p>
      <w:pPr>
        <w:spacing w:after="0" w:line="15" w:lineRule="exact"/>
        <w:rPr>
          <w:sz w:val="20"/>
          <w:szCs w:val="20"/>
          <w:color w:val="auto"/>
        </w:rPr>
      </w:pPr>
    </w:p>
    <w:p>
      <w:pPr>
        <w:ind w:right="1220"/>
        <w:spacing w:after="0" w:line="276"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repurchased shares of its Common Stock during 2022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Maximum Number</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Total</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ind w:right="262"/>
              <w:spacing w:after="0"/>
              <w:rPr>
                <w:sz w:val="20"/>
                <w:szCs w:val="20"/>
                <w:color w:val="auto"/>
              </w:rPr>
            </w:pPr>
            <w:r>
              <w:rPr>
                <w:rFonts w:ascii="Arial" w:cs="Arial" w:eastAsia="Arial" w:hAnsi="Arial"/>
                <w:sz w:val="14"/>
                <w:szCs w:val="14"/>
                <w:color w:val="auto"/>
              </w:rPr>
              <w:t>Average</w:t>
            </w:r>
          </w:p>
        </w:tc>
        <w:tc>
          <w:tcPr>
            <w:tcW w:w="36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Purchased as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that May</w:t>
            </w: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30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jc w:val="center"/>
              <w:spacing w:after="0" w:line="139" w:lineRule="exact"/>
              <w:rPr>
                <w:sz w:val="20"/>
                <w:szCs w:val="20"/>
                <w:color w:val="auto"/>
              </w:rPr>
            </w:pPr>
            <w:r>
              <w:rPr>
                <w:rFonts w:ascii="Arial" w:cs="Arial" w:eastAsia="Arial" w:hAnsi="Arial"/>
                <w:sz w:val="14"/>
                <w:szCs w:val="14"/>
                <w:color w:val="auto"/>
              </w:rPr>
              <w:t>Part of Publicly</w:t>
            </w:r>
          </w:p>
        </w:tc>
        <w:tc>
          <w:tcPr>
            <w:tcW w:w="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color w:val="auto"/>
              </w:rPr>
              <w:t>Yet be Purchased</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130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rPr>
              <w:t>of Shares</w:t>
            </w:r>
          </w:p>
        </w:tc>
        <w:tc>
          <w:tcPr>
            <w:tcW w:w="180" w:type="dxa"/>
            <w:vAlign w:val="bottom"/>
          </w:tcPr>
          <w:p>
            <w:pPr>
              <w:spacing w:after="0"/>
              <w:rPr>
                <w:sz w:val="12"/>
                <w:szCs w:val="12"/>
                <w:color w:val="auto"/>
              </w:rPr>
            </w:pPr>
          </w:p>
        </w:tc>
        <w:tc>
          <w:tcPr>
            <w:tcW w:w="1020" w:type="dxa"/>
            <w:vAlign w:val="bottom"/>
          </w:tcPr>
          <w:p>
            <w:pPr>
              <w:jc w:val="right"/>
              <w:ind w:right="202"/>
              <w:spacing w:after="0" w:line="145" w:lineRule="exact"/>
              <w:rPr>
                <w:sz w:val="20"/>
                <w:szCs w:val="20"/>
                <w:color w:val="auto"/>
              </w:rPr>
            </w:pPr>
            <w:r>
              <w:rPr>
                <w:rFonts w:ascii="Arial" w:cs="Arial" w:eastAsia="Arial" w:hAnsi="Arial"/>
                <w:sz w:val="14"/>
                <w:szCs w:val="14"/>
                <w:color w:val="auto"/>
              </w:rPr>
              <w:t>Price Paid</w:t>
            </w:r>
          </w:p>
        </w:tc>
        <w:tc>
          <w:tcPr>
            <w:tcW w:w="36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Announced Plans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Under the Plans</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rPr>
              <w:t>Purchased</w:t>
            </w:r>
          </w:p>
        </w:tc>
        <w:tc>
          <w:tcPr>
            <w:tcW w:w="180" w:type="dxa"/>
            <w:vAlign w:val="bottom"/>
          </w:tcPr>
          <w:p>
            <w:pPr>
              <w:spacing w:after="0"/>
              <w:rPr>
                <w:sz w:val="16"/>
                <w:szCs w:val="16"/>
                <w:color w:val="auto"/>
              </w:rPr>
            </w:pPr>
          </w:p>
        </w:tc>
        <w:tc>
          <w:tcPr>
            <w:tcW w:w="1020" w:type="dxa"/>
            <w:vAlign w:val="bottom"/>
          </w:tcPr>
          <w:p>
            <w:pPr>
              <w:jc w:val="right"/>
              <w:ind w:right="202"/>
              <w:spacing w:after="0"/>
              <w:rPr>
                <w:sz w:val="20"/>
                <w:szCs w:val="20"/>
                <w:color w:val="auto"/>
              </w:rPr>
            </w:pPr>
            <w:r>
              <w:rPr>
                <w:rFonts w:ascii="Arial" w:cs="Arial" w:eastAsia="Arial" w:hAnsi="Arial"/>
                <w:sz w:val="14"/>
                <w:szCs w:val="14"/>
                <w:color w:val="auto"/>
              </w:rPr>
              <w:t>Per Share</w:t>
            </w:r>
          </w:p>
        </w:tc>
        <w:tc>
          <w:tcPr>
            <w:tcW w:w="3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or Programs</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or Programs (b)</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35,201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131.05</w:t>
            </w:r>
          </w:p>
        </w:tc>
        <w:tc>
          <w:tcPr>
            <w:tcW w:w="3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35,201</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7,655,721</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7"/>
              <w:spacing w:after="0"/>
              <w:rPr>
                <w:sz w:val="20"/>
                <w:szCs w:val="20"/>
                <w:color w:val="auto"/>
              </w:rPr>
            </w:pPr>
            <w:r>
              <w:rPr>
                <w:rFonts w:ascii="Arial" w:cs="Arial" w:eastAsia="Arial" w:hAnsi="Arial"/>
                <w:sz w:val="16"/>
                <w:szCs w:val="16"/>
                <w:color w:val="auto"/>
              </w:rPr>
              <w:t>7,655,721</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180"/>
              <w:spacing w:after="0"/>
              <w:rPr>
                <w:sz w:val="20"/>
                <w:szCs w:val="20"/>
                <w:color w:val="auto"/>
              </w:rPr>
            </w:pPr>
            <w:r>
              <w:rPr>
                <w:rFonts w:ascii="Arial" w:cs="Arial" w:eastAsia="Arial" w:hAnsi="Arial"/>
                <w:sz w:val="16"/>
                <w:szCs w:val="16"/>
                <w:color w:val="auto"/>
              </w:rPr>
              <w:t>July</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7"/>
              <w:spacing w:after="0"/>
              <w:rPr>
                <w:sz w:val="20"/>
                <w:szCs w:val="20"/>
                <w:color w:val="auto"/>
              </w:rPr>
            </w:pPr>
            <w:r>
              <w:rPr>
                <w:rFonts w:ascii="Arial" w:cs="Arial" w:eastAsia="Arial" w:hAnsi="Arial"/>
                <w:sz w:val="16"/>
                <w:szCs w:val="16"/>
                <w:color w:val="auto"/>
              </w:rPr>
              <w:t>7,655,721</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August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126.76</w:t>
            </w: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2,000</w:t>
            </w:r>
          </w:p>
        </w:tc>
        <w:tc>
          <w:tcPr>
            <w:tcW w:w="176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7,653,721</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September</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43,500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122.85</w:t>
            </w:r>
          </w:p>
        </w:tc>
        <w:tc>
          <w:tcPr>
            <w:tcW w:w="3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43,500</w:t>
            </w:r>
          </w:p>
        </w:tc>
        <w:tc>
          <w:tcPr>
            <w:tcW w:w="176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6"/>
                <w:szCs w:val="16"/>
                <w:color w:val="auto"/>
              </w:rPr>
              <w:t>7,610,221</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80,701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126.52</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80,701</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20" w:right="200" w:hanging="412"/>
        <w:spacing w:after="0" w:line="258" w:lineRule="auto"/>
        <w:tabs>
          <w:tab w:leader="none" w:pos="4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AFG declared special dividends of $10.00 per share of its Common Stock in the first nine months of 2022. Adjusted for the special dividends, the average price paid per share was $122.16 for the nine months ended September 30, 2022.</w:t>
      </w:r>
    </w:p>
    <w:p>
      <w:pPr>
        <w:ind w:left="420" w:right="20" w:hanging="412"/>
        <w:spacing w:after="0" w:line="264" w:lineRule="auto"/>
        <w:tabs>
          <w:tab w:leader="none" w:pos="4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remaining shares that may be repurchased until December 31, 2025 under the Plans authorized by AFG’s Board of Directors in October 2020 and May 2021.</w:t>
      </w:r>
    </w:p>
    <w:p>
      <w:pPr>
        <w:spacing w:after="0" w:line="20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addition, AFG acquired 47,909 shares of its Common Stock (at an average of $135.41 per share) in the first quarter of 2022, 8,400 shares (at an average of $146.32 per share) in the second quarter of 2022, 265 shares (at $133.34 per share) in July 2022 and 621 shares (at an average of $129.15 per share) in September 2022 in connection with its stock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64"/>
        </w:trPr>
        <w:tc>
          <w:tcPr>
            <w:tcW w:w="880" w:type="dxa"/>
            <w:vAlign w:val="bottom"/>
            <w:gridSpan w:val="2"/>
          </w:tcPr>
          <w:p>
            <w:pPr>
              <w:spacing w:after="0" w:line="164"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6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5"/>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6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8060" w:type="dxa"/>
            <w:vAlign w:val="bottom"/>
            <w:gridSpan w:val="2"/>
          </w:tcPr>
          <w:p>
            <w:pPr>
              <w:ind w:left="1780"/>
              <w:spacing w:after="0"/>
              <w:rPr>
                <w:sz w:val="20"/>
                <w:szCs w:val="20"/>
                <w:color w:val="auto"/>
              </w:rPr>
            </w:pPr>
            <w:r>
              <w:rPr>
                <w:rFonts w:ascii="Arial" w:cs="Arial" w:eastAsia="Arial" w:hAnsi="Arial"/>
                <w:sz w:val="16"/>
                <w:szCs w:val="16"/>
                <w:color w:val="auto"/>
              </w:rPr>
              <w:t>American Financial Group, Inc.</w:t>
            </w:r>
          </w:p>
        </w:tc>
      </w:tr>
      <w:tr>
        <w:trPr>
          <w:trHeight w:val="487"/>
        </w:trPr>
        <w:tc>
          <w:tcPr>
            <w:tcW w:w="3120" w:type="dxa"/>
            <w:vAlign w:val="bottom"/>
          </w:tcPr>
          <w:p>
            <w:pPr>
              <w:spacing w:after="0"/>
              <w:rPr>
                <w:sz w:val="20"/>
                <w:szCs w:val="20"/>
                <w:color w:val="auto"/>
              </w:rPr>
            </w:pPr>
            <w:r>
              <w:rPr>
                <w:rFonts w:ascii="Arial" w:cs="Arial" w:eastAsia="Arial" w:hAnsi="Arial"/>
                <w:sz w:val="16"/>
                <w:szCs w:val="16"/>
                <w:color w:val="auto"/>
              </w:rPr>
              <w:t>November 4, 2022</w:t>
            </w:r>
          </w:p>
        </w:tc>
        <w:tc>
          <w:tcPr>
            <w:tcW w:w="2540" w:type="dxa"/>
            <w:vAlign w:val="bottom"/>
          </w:tcPr>
          <w:p>
            <w:pPr>
              <w:ind w:left="178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3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3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00"/>
          </w:cols>
          <w:pgMar w:left="320" w:top="115" w:right="37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4, 2022</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4, 2022</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4, 2022</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September 30, 2022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upperLetter"/>
      <w:start w:val="7"/>
    </w:lvl>
  </w:abstractNum>
  <w:abstractNum w:abstractNumId="3">
    <w:nsid w:val="4353D0CD"/>
    <w:multiLevelType w:val="hybridMultilevel"/>
    <w:lvl w:ilvl="0">
      <w:lvlJc w:val="left"/>
      <w:lvlText w:val="%1."/>
      <w:numFmt w:val="upperLetter"/>
      <w:start w:val="1"/>
    </w:lvl>
  </w:abstractNum>
  <w:abstractNum w:abstractNumId="4">
    <w:nsid w:val="B03E0C6"/>
    <w:multiLevelType w:val="hybridMultilevel"/>
    <w:lvl w:ilvl="0">
      <w:lvlJc w:val="left"/>
      <w:lvlText w:val="%1."/>
      <w:numFmt w:val="upperLetter"/>
      <w:start w:val="2"/>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upperLetter"/>
      <w:start w:val="3"/>
    </w:lvl>
  </w:abstractNum>
  <w:abstractNum w:abstractNumId="7">
    <w:nsid w:val="71F32454"/>
    <w:multiLevelType w:val="hybridMultilevel"/>
    <w:lvl w:ilvl="0">
      <w:lvlJc w:val="left"/>
      <w:lvlText w:val="%1."/>
      <w:numFmt w:val="upperLetter"/>
      <w:start w:val="4"/>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upperLetter"/>
      <w:start w:val="5"/>
    </w:lvl>
  </w:abstractNum>
  <w:abstractNum w:abstractNumId="11">
    <w:nsid w:val="3A95F874"/>
    <w:multiLevelType w:val="hybridMultilevel"/>
    <w:lvl w:ilvl="0">
      <w:lvlJc w:val="left"/>
      <w:lvlText w:val="%1."/>
      <w:numFmt w:val="upperLetter"/>
      <w:start w:val="6"/>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upperLetter"/>
      <w:start w:val="7"/>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upperLetter"/>
      <w:start w:val="8"/>
    </w:lvl>
  </w:abstractNum>
  <w:abstractNum w:abstractNumId="20">
    <w:nsid w:val="614FD4A1"/>
    <w:multiLevelType w:val="hybridMultilevel"/>
    <w:lvl w:ilvl="0">
      <w:lvlJc w:val="left"/>
      <w:lvlText w:val="%1."/>
      <w:numFmt w:val="upperLetter"/>
      <w:start w:val="10"/>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upperLetter"/>
      <w:start w:val="11"/>
    </w:lvl>
  </w:abstractNum>
  <w:abstractNum w:abstractNumId="23">
    <w:nsid w:val="440BADFC"/>
    <w:multiLevelType w:val="hybridMultilevel"/>
    <w:lvl w:ilvl="0">
      <w:lvlJc w:val="left"/>
      <w:lvlText w:val="%1."/>
      <w:numFmt w:val="upperLetter"/>
      <w:start w:val="12"/>
    </w:lvl>
  </w:abstractNum>
  <w:abstractNum w:abstractNumId="24">
    <w:nsid w:val="5072367"/>
    <w:multiLevelType w:val="hybridMultilevel"/>
    <w:lvl w:ilvl="0">
      <w:lvlJc w:val="left"/>
      <w:lvlText w:val="%1."/>
      <w:numFmt w:val="upperLetter"/>
      <w:start w:val="13"/>
    </w:lvl>
  </w:abstractNum>
  <w:abstractNum w:abstractNumId="25">
    <w:nsid w:val="3804823E"/>
    <w:multiLevelType w:val="hybridMultilevel"/>
    <w:lvl w:ilvl="0">
      <w:lvlJc w:val="left"/>
      <w:lvlText w:val="(%1)"/>
      <w:numFmt w:val="lowerRoman"/>
      <w:start w:val="2"/>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lowerRoman"/>
      <w:start w:val="2"/>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2022-11-04T10:24:22Z</dcterms:created>
  <dcterms:modified xsi:type="dcterms:W3CDTF">2022-11-04T10:24:22Z</dcterms:modified>
</cp:coreProperties>
</file>