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5"/>
          <w:szCs w:val="15"/>
          <w:color w:val="auto"/>
        </w:rPr>
        <w:t>As filed with the Securities and Exchange Commission on July 16, 2003</w:t>
      </w:r>
    </w:p>
    <w:p>
      <w:pPr>
        <w:spacing w:after="0" w:line="173" w:lineRule="exact"/>
        <w:rPr>
          <w:sz w:val="24"/>
          <w:szCs w:val="24"/>
          <w:color w:val="auto"/>
        </w:rPr>
      </w:pPr>
    </w:p>
    <w:p>
      <w:pPr>
        <w:ind w:left="4740"/>
        <w:spacing w:after="0"/>
        <w:rPr>
          <w:sz w:val="20"/>
          <w:szCs w:val="20"/>
          <w:color w:val="auto"/>
        </w:rPr>
      </w:pPr>
      <w:r>
        <w:rPr>
          <w:rFonts w:ascii="Courier New" w:cs="Courier New" w:eastAsia="Courier New" w:hAnsi="Courier New"/>
          <w:sz w:val="14"/>
          <w:szCs w:val="14"/>
          <w:color w:val="auto"/>
        </w:rPr>
        <w:t>Registration No. 333-_____</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S-4</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AMERICAN FINANCIAL GROUP,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897" w:right="1440" w:bottom="1440" w:gutter="0" w:footer="0" w:header="0"/>
        </w:sectPr>
      </w:pPr>
    </w:p>
    <w:p>
      <w:pPr>
        <w:spacing w:after="0" w:line="33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jurisdiction of</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6331</w:t>
      </w:r>
    </w:p>
    <w:p>
      <w:pPr>
        <w:spacing w:after="0" w:line="237" w:lineRule="auto"/>
        <w:rPr>
          <w:sz w:val="20"/>
          <w:szCs w:val="20"/>
          <w:color w:val="auto"/>
        </w:rPr>
      </w:pPr>
      <w:r>
        <w:rPr>
          <w:rFonts w:ascii="Courier New" w:cs="Courier New" w:eastAsia="Courier New" w:hAnsi="Courier New"/>
          <w:sz w:val="15"/>
          <w:szCs w:val="15"/>
          <w:color w:val="auto"/>
        </w:rPr>
        <w:t>(Primary Standard Industrial</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31-1544320</w:t>
      </w:r>
    </w:p>
    <w:p>
      <w:pPr>
        <w:ind w:left="1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3" w:lineRule="exact"/>
        <w:rPr>
          <w:sz w:val="24"/>
          <w:szCs w:val="24"/>
          <w:color w:val="auto"/>
        </w:rPr>
      </w:pPr>
    </w:p>
    <w:p>
      <w:pPr>
        <w:sectPr>
          <w:pgSz w:w="11900" w:h="16838" w:orient="portrait"/>
          <w:cols w:equalWidth="0" w:num="3">
            <w:col w:w="1320" w:space="440"/>
            <w:col w:w="2540" w:space="520"/>
            <w:col w:w="5419"/>
          </w:cols>
          <w:pgMar w:left="220" w:top="89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incorporation or</w:t>
      </w:r>
    </w:p>
    <w:p>
      <w:pPr>
        <w:spacing w:after="0" w:line="237" w:lineRule="auto"/>
        <w:rPr>
          <w:sz w:val="20"/>
          <w:szCs w:val="20"/>
          <w:color w:val="auto"/>
        </w:rPr>
      </w:pPr>
      <w:r>
        <w:rPr>
          <w:rFonts w:ascii="Courier New" w:cs="Courier New" w:eastAsia="Courier New" w:hAnsi="Courier New"/>
          <w:sz w:val="15"/>
          <w:szCs w:val="15"/>
          <w:color w:val="auto"/>
        </w:rPr>
        <w:t>organization)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ONE EAST FOURTH STREET</w:t>
      </w:r>
    </w:p>
    <w:p>
      <w:pPr>
        <w:jc w:val="center"/>
        <w:ind w:right="3219"/>
        <w:spacing w:after="0" w:line="237" w:lineRule="auto"/>
        <w:rPr>
          <w:sz w:val="20"/>
          <w:szCs w:val="20"/>
          <w:color w:val="auto"/>
        </w:rPr>
      </w:pPr>
      <w:r>
        <w:rPr>
          <w:rFonts w:ascii="Courier New" w:cs="Courier New" w:eastAsia="Courier New" w:hAnsi="Courier New"/>
          <w:sz w:val="15"/>
          <w:szCs w:val="15"/>
          <w:color w:val="auto"/>
        </w:rPr>
        <w:t>CINCINNATI, OHIO 45202</w:t>
      </w:r>
    </w:p>
    <w:p>
      <w:pPr>
        <w:jc w:val="center"/>
        <w:ind w:right="3219"/>
        <w:spacing w:after="0" w:line="238" w:lineRule="auto"/>
        <w:rPr>
          <w:sz w:val="20"/>
          <w:szCs w:val="20"/>
          <w:color w:val="auto"/>
        </w:rPr>
      </w:pPr>
      <w:r>
        <w:rPr>
          <w:rFonts w:ascii="Courier New" w:cs="Courier New" w:eastAsia="Courier New" w:hAnsi="Courier New"/>
          <w:sz w:val="15"/>
          <w:szCs w:val="15"/>
          <w:color w:val="auto"/>
        </w:rPr>
        <w:t>(513) 579-2121</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JAMES C. KENNEDY, ESQ.</w:t>
      </w:r>
    </w:p>
    <w:p>
      <w:pPr>
        <w:jc w:val="center"/>
        <w:ind w:right="3219"/>
        <w:spacing w:after="0" w:line="237" w:lineRule="auto"/>
        <w:rPr>
          <w:sz w:val="20"/>
          <w:szCs w:val="20"/>
          <w:color w:val="auto"/>
        </w:rPr>
      </w:pPr>
      <w:r>
        <w:rPr>
          <w:rFonts w:ascii="Courier New" w:cs="Courier New" w:eastAsia="Courier New" w:hAnsi="Courier New"/>
          <w:sz w:val="15"/>
          <w:szCs w:val="15"/>
          <w:color w:val="auto"/>
        </w:rPr>
        <w:t>VICE PRESIDENT, SECRETARY AND DEPUTY GENERAL COUNSEL</w:t>
      </w:r>
    </w:p>
    <w:p>
      <w:pPr>
        <w:jc w:val="center"/>
        <w:ind w:right="3219"/>
        <w:spacing w:after="0" w:line="238" w:lineRule="auto"/>
        <w:rPr>
          <w:sz w:val="20"/>
          <w:szCs w:val="20"/>
          <w:color w:val="auto"/>
        </w:rPr>
      </w:pPr>
      <w:r>
        <w:rPr>
          <w:rFonts w:ascii="Courier New" w:cs="Courier New" w:eastAsia="Courier New" w:hAnsi="Courier New"/>
          <w:sz w:val="15"/>
          <w:szCs w:val="15"/>
          <w:color w:val="auto"/>
        </w:rPr>
        <w:t>AMERICAN FINANCIAL GROUP,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ONE EAST FOURTH STREET</w:t>
      </w:r>
    </w:p>
    <w:p>
      <w:pPr>
        <w:jc w:val="center"/>
        <w:ind w:right="3219"/>
        <w:spacing w:after="0" w:line="238" w:lineRule="auto"/>
        <w:rPr>
          <w:sz w:val="20"/>
          <w:szCs w:val="20"/>
          <w:color w:val="auto"/>
        </w:rPr>
      </w:pPr>
      <w:r>
        <w:rPr>
          <w:rFonts w:ascii="Courier New" w:cs="Courier New" w:eastAsia="Courier New" w:hAnsi="Courier New"/>
          <w:sz w:val="15"/>
          <w:szCs w:val="15"/>
          <w:color w:val="auto"/>
        </w:rPr>
        <w:t>CINCINNATI, OHIO 45202</w:t>
      </w:r>
    </w:p>
    <w:p>
      <w:pPr>
        <w:jc w:val="center"/>
        <w:ind w:right="3219"/>
        <w:spacing w:after="0" w:line="237" w:lineRule="auto"/>
        <w:rPr>
          <w:sz w:val="20"/>
          <w:szCs w:val="20"/>
          <w:color w:val="auto"/>
        </w:rPr>
      </w:pPr>
      <w:r>
        <w:rPr>
          <w:rFonts w:ascii="Courier New" w:cs="Courier New" w:eastAsia="Courier New" w:hAnsi="Courier New"/>
          <w:sz w:val="15"/>
          <w:szCs w:val="15"/>
          <w:color w:val="auto"/>
        </w:rPr>
        <w:t>(513) 579-2538</w:t>
      </w:r>
    </w:p>
    <w:p>
      <w:pPr>
        <w:sectPr>
          <w:pgSz w:w="11900" w:h="16838" w:orient="portrait"/>
          <w:cols w:equalWidth="0" w:num="1">
            <w:col w:w="10239"/>
          </w:cols>
          <w:pgMar w:left="220" w:top="897" w:right="1440" w:bottom="1440" w:gutter="0" w:footer="0" w:header="0"/>
          <w:type w:val="continuous"/>
        </w:sectPr>
      </w:pPr>
    </w:p>
    <w:p>
      <w:pPr>
        <w:spacing w:after="0" w:line="174"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3"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of agent for service)</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39"/>
          </w:cols>
          <w:pgMar w:left="220" w:top="897" w:right="1440" w:bottom="1440" w:gutter="0" w:footer="0" w:header="0"/>
          <w:type w:val="continuous"/>
        </w:sectPr>
      </w:pP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MARK A. WEISS,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KEATING, MUETHING &amp; KLEKAMP, P.L.L.</w:t>
      </w:r>
    </w:p>
    <w:p>
      <w:pPr>
        <w:spacing w:after="0" w:line="3"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1400 PROVIDENT TOWER</w:t>
      </w:r>
    </w:p>
    <w:p>
      <w:pPr>
        <w:ind w:left="540"/>
        <w:spacing w:after="0" w:line="237" w:lineRule="auto"/>
        <w:rPr>
          <w:sz w:val="20"/>
          <w:szCs w:val="20"/>
          <w:color w:val="auto"/>
        </w:rPr>
      </w:pPr>
      <w:r>
        <w:rPr>
          <w:rFonts w:ascii="Courier New" w:cs="Courier New" w:eastAsia="Courier New" w:hAnsi="Courier New"/>
          <w:sz w:val="15"/>
          <w:szCs w:val="15"/>
          <w:color w:val="auto"/>
        </w:rPr>
        <w:t>ONE EAST FOURTH STREET</w:t>
      </w:r>
    </w:p>
    <w:p>
      <w:pPr>
        <w:ind w:left="540"/>
        <w:spacing w:after="0" w:line="238" w:lineRule="auto"/>
        <w:rPr>
          <w:sz w:val="20"/>
          <w:szCs w:val="20"/>
          <w:color w:val="auto"/>
        </w:rPr>
      </w:pPr>
      <w:r>
        <w:rPr>
          <w:rFonts w:ascii="Courier New" w:cs="Courier New" w:eastAsia="Courier New" w:hAnsi="Courier New"/>
          <w:sz w:val="15"/>
          <w:szCs w:val="15"/>
          <w:color w:val="auto"/>
        </w:rPr>
        <w:t>CINCINNATI, OHIO 45202</w:t>
      </w:r>
    </w:p>
    <w:p>
      <w:pPr>
        <w:ind w:left="880"/>
        <w:spacing w:after="0" w:line="237" w:lineRule="auto"/>
        <w:rPr>
          <w:sz w:val="20"/>
          <w:szCs w:val="20"/>
          <w:color w:val="auto"/>
        </w:rPr>
      </w:pPr>
      <w:r>
        <w:rPr>
          <w:rFonts w:ascii="Courier New" w:cs="Courier New" w:eastAsia="Courier New" w:hAnsi="Courier New"/>
          <w:sz w:val="15"/>
          <w:szCs w:val="15"/>
          <w:color w:val="auto"/>
        </w:rPr>
        <w:t>(513) 579-6599</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TIMOTHY E. HOBERG,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TAFT, STETTINIUS &amp; HOLLISTER LLP</w:t>
      </w:r>
    </w:p>
    <w:p>
      <w:pPr>
        <w:spacing w:after="0" w:line="3"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SUITE 1800</w:t>
      </w:r>
    </w:p>
    <w:p>
      <w:pPr>
        <w:ind w:left="620"/>
        <w:spacing w:after="0" w:line="237" w:lineRule="auto"/>
        <w:rPr>
          <w:sz w:val="20"/>
          <w:szCs w:val="20"/>
          <w:color w:val="auto"/>
        </w:rPr>
      </w:pPr>
      <w:r>
        <w:rPr>
          <w:rFonts w:ascii="Courier New" w:cs="Courier New" w:eastAsia="Courier New" w:hAnsi="Courier New"/>
          <w:sz w:val="15"/>
          <w:szCs w:val="15"/>
          <w:color w:val="auto"/>
        </w:rPr>
        <w:t>425 WALNUT STREET</w:t>
      </w:r>
    </w:p>
    <w:p>
      <w:pPr>
        <w:ind w:left="360"/>
        <w:spacing w:after="0" w:line="238" w:lineRule="auto"/>
        <w:rPr>
          <w:sz w:val="20"/>
          <w:szCs w:val="20"/>
          <w:color w:val="auto"/>
        </w:rPr>
      </w:pPr>
      <w:r>
        <w:rPr>
          <w:rFonts w:ascii="Courier New" w:cs="Courier New" w:eastAsia="Courier New" w:hAnsi="Courier New"/>
          <w:sz w:val="15"/>
          <w:szCs w:val="15"/>
          <w:color w:val="auto"/>
        </w:rPr>
        <w:t>CINCINNATI, OHIO 45202</w:t>
      </w:r>
    </w:p>
    <w:p>
      <w:pPr>
        <w:ind w:left="780"/>
        <w:spacing w:after="0" w:line="237" w:lineRule="auto"/>
        <w:rPr>
          <w:sz w:val="20"/>
          <w:szCs w:val="20"/>
          <w:color w:val="auto"/>
        </w:rPr>
      </w:pPr>
      <w:r>
        <w:rPr>
          <w:rFonts w:ascii="Courier New" w:cs="Courier New" w:eastAsia="Courier New" w:hAnsi="Courier New"/>
          <w:sz w:val="15"/>
          <w:szCs w:val="15"/>
          <w:color w:val="auto"/>
        </w:rPr>
        <w:t>(513) 357-9308</w:t>
      </w:r>
    </w:p>
    <w:p>
      <w:pPr>
        <w:spacing w:after="0" w:line="173" w:lineRule="exact"/>
        <w:rPr>
          <w:sz w:val="24"/>
          <w:szCs w:val="24"/>
          <w:color w:val="auto"/>
        </w:rPr>
      </w:pPr>
    </w:p>
    <w:p>
      <w:pPr>
        <w:sectPr>
          <w:pgSz w:w="11900" w:h="16838" w:orient="portrait"/>
          <w:cols w:equalWidth="0" w:num="2">
            <w:col w:w="3400" w:space="720"/>
            <w:col w:w="6119"/>
          </w:cols>
          <w:pgMar w:left="220" w:top="897" w:right="1440" w:bottom="1440" w:gutter="0" w:footer="0" w:header="0"/>
          <w:type w:val="continuous"/>
        </w:sectPr>
      </w:pPr>
    </w:p>
    <w:p>
      <w:pPr>
        <w:ind w:right="3499"/>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 and all other conditions to the reorganization described in the enclosed proxy statement/prospectus have been satisfied or waived.</w:t>
      </w:r>
    </w:p>
    <w:p>
      <w:pPr>
        <w:spacing w:after="0" w:line="175" w:lineRule="exact"/>
        <w:rPr>
          <w:sz w:val="24"/>
          <w:szCs w:val="24"/>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4"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ectPr>
          <w:pgSz w:w="11900" w:h="16838" w:orient="portrait"/>
          <w:cols w:equalWidth="0" w:num="1">
            <w:col w:w="10239"/>
          </w:cols>
          <w:pgMar w:left="220" w:top="897" w:right="1440" w:bottom="1440" w:gutter="0" w:footer="0" w:header="0"/>
          <w:type w:val="continuous"/>
        </w:sectPr>
      </w:pPr>
    </w:p>
    <w:bookmarkStart w:id="1" w:name="page2"/>
    <w:bookmarkEnd w:id="1"/>
    <w:p>
      <w:pPr>
        <w:ind w:left="22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 ----------------------- ---------------------- --------------------------</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r>
      <w:tr>
        <w:trPr>
          <w:trHeight w:val="168"/>
        </w:trPr>
        <w:tc>
          <w:tcPr>
            <w:tcW w:w="21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TITLE OF</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AMOUNT</w:t>
            </w:r>
          </w:p>
        </w:tc>
        <w:tc>
          <w:tcPr>
            <w:tcW w:w="26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PROPOSED MAXIMUM</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PROPOSED MAXIMUM AGGREGATE</w:t>
            </w:r>
          </w:p>
        </w:tc>
        <w:tc>
          <w:tcPr>
            <w:tcW w:w="15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AMOUNT OF</w:t>
            </w:r>
          </w:p>
        </w:tc>
      </w:tr>
      <w:tr>
        <w:trPr>
          <w:trHeight w:val="168"/>
        </w:trPr>
        <w:tc>
          <w:tcPr>
            <w:tcW w:w="21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TO BE</w:t>
            </w:r>
          </w:p>
        </w:tc>
        <w:tc>
          <w:tcPr>
            <w:tcW w:w="26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OFFERING PRICE</w:t>
            </w:r>
          </w:p>
        </w:tc>
        <w:tc>
          <w:tcPr>
            <w:tcW w:w="28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OFFERING</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REGISTRATION</w:t>
            </w:r>
          </w:p>
        </w:tc>
      </w:tr>
      <w:tr>
        <w:trPr>
          <w:trHeight w:val="168"/>
        </w:trPr>
        <w:tc>
          <w:tcPr>
            <w:tcW w:w="2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TO BE REGISTERED</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REGISTERED</w:t>
            </w:r>
          </w:p>
        </w:tc>
        <w:tc>
          <w:tcPr>
            <w:tcW w:w="268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PER SHARE</w:t>
            </w:r>
          </w:p>
        </w:tc>
        <w:tc>
          <w:tcPr>
            <w:tcW w:w="28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PRICE(2)</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FEE(2)</w:t>
            </w:r>
          </w:p>
        </w:tc>
      </w:tr>
      <w:tr>
        <w:trPr>
          <w:trHeight w:val="168"/>
        </w:trPr>
        <w:tc>
          <w:tcPr>
            <w:tcW w:w="66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 ---------------------- --------------------------</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1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COMMON STOCK</w:t>
            </w: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w:t>
            </w:r>
          </w:p>
        </w:tc>
        <w:tc>
          <w:tcPr>
            <w:tcW w:w="268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(1)</w:t>
            </w:r>
          </w:p>
        </w:tc>
        <w:tc>
          <w:tcPr>
            <w:tcW w:w="2800" w:type="dxa"/>
            <w:vAlign w:val="bottom"/>
          </w:tcPr>
          <w:p>
            <w:pPr>
              <w:ind w:left="640"/>
              <w:spacing w:after="0"/>
              <w:rPr>
                <w:sz w:val="20"/>
                <w:szCs w:val="20"/>
                <w:color w:val="auto"/>
              </w:rPr>
            </w:pPr>
            <w:r>
              <w:rPr>
                <w:rFonts w:ascii="Courier New" w:cs="Courier New" w:eastAsia="Courier New" w:hAnsi="Courier New"/>
                <w:sz w:val="15"/>
                <w:szCs w:val="15"/>
                <w:color w:val="auto"/>
              </w:rPr>
              <w:t>$69,989,405</w:t>
            </w:r>
          </w:p>
        </w:tc>
        <w:tc>
          <w:tcPr>
            <w:tcW w:w="1520" w:type="dxa"/>
            <w:vAlign w:val="bottom"/>
          </w:tcPr>
          <w:p>
            <w:pPr>
              <w:ind w:left="300"/>
              <w:spacing w:after="0"/>
              <w:rPr>
                <w:sz w:val="20"/>
                <w:szCs w:val="20"/>
                <w:color w:val="auto"/>
              </w:rPr>
            </w:pPr>
            <w:r>
              <w:rPr>
                <w:rFonts w:ascii="Courier New" w:cs="Courier New" w:eastAsia="Courier New" w:hAnsi="Courier New"/>
                <w:sz w:val="15"/>
                <w:szCs w:val="15"/>
                <w:color w:val="auto"/>
              </w:rPr>
              <w:t>$5,663</w:t>
            </w:r>
          </w:p>
        </w:tc>
      </w:tr>
      <w:tr>
        <w:trPr>
          <w:trHeight w:val="168"/>
        </w:trPr>
        <w:tc>
          <w:tcPr>
            <w:tcW w:w="66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 ---------------------- --------------------------</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35" w:lineRule="exact"/>
        <w:rPr>
          <w:sz w:val="20"/>
          <w:szCs w:val="20"/>
          <w:color w:val="auto"/>
        </w:rPr>
      </w:pPr>
    </w:p>
    <w:p>
      <w:pPr>
        <w:ind w:left="800" w:hanging="790"/>
        <w:spacing w:after="0"/>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included pursuant to Rule 457(o)</w:t>
      </w:r>
    </w:p>
    <w:p>
      <w:pPr>
        <w:spacing w:after="0" w:line="172" w:lineRule="exact"/>
        <w:rPr>
          <w:rFonts w:ascii="Courier New" w:cs="Courier New" w:eastAsia="Courier New" w:hAnsi="Courier New"/>
          <w:sz w:val="15"/>
          <w:szCs w:val="15"/>
          <w:color w:val="auto"/>
        </w:rPr>
      </w:pPr>
    </w:p>
    <w:p>
      <w:pPr>
        <w:ind w:left="800" w:right="3940" w:hanging="790"/>
        <w:spacing w:after="0" w:line="236"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Registration Statement relates to the common stock of American Financial Group, Inc. to be issued in the proposed merger of American Financial Corporation into American Financial Group, Inc. The Proposed Maximum Aggregate Offering Price and registration fee was calculated pursuant to Rule 457(f) under the Securities Act based on the aggregate market value of Series J Preferred Stock of American Financial Corporation to be exchanged for American Financial Group, Inc. common stock in the proposed merger.</w:t>
      </w:r>
    </w:p>
    <w:p>
      <w:pPr>
        <w:spacing w:after="0" w:line="177" w:lineRule="exact"/>
        <w:rPr>
          <w:sz w:val="20"/>
          <w:szCs w:val="20"/>
          <w:color w:val="auto"/>
        </w:rPr>
      </w:pPr>
    </w:p>
    <w:p>
      <w:pPr>
        <w:ind w:right="4020" w:firstLine="787"/>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940"/>
          </w:cols>
          <w:pgMar w:left="220" w:top="617" w:right="739" w:bottom="1440" w:gutter="0" w:footer="0" w:header="0"/>
        </w:sectPr>
      </w:pPr>
    </w:p>
    <w:bookmarkStart w:id="2" w:name="page3"/>
    <w:bookmarkEnd w:id="2"/>
    <w:p>
      <w:pPr>
        <w:jc w:val="center"/>
        <w:ind w:right="3239"/>
        <w:spacing w:after="0"/>
        <w:rPr>
          <w:sz w:val="20"/>
          <w:szCs w:val="20"/>
          <w:color w:val="auto"/>
        </w:rPr>
      </w:pPr>
      <w:r>
        <w:rPr>
          <w:rFonts w:ascii="Courier New" w:cs="Courier New" w:eastAsia="Courier New" w:hAnsi="Courier New"/>
          <w:sz w:val="15"/>
          <w:szCs w:val="15"/>
          <w:color w:val="auto"/>
        </w:rPr>
        <w:t>AMERICAN FINANCIAL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ONE EAST FOURTH STREET</w:t>
      </w:r>
    </w:p>
    <w:p>
      <w:pPr>
        <w:jc w:val="center"/>
        <w:ind w:right="3239"/>
        <w:spacing w:after="0" w:line="238" w:lineRule="auto"/>
        <w:rPr>
          <w:sz w:val="20"/>
          <w:szCs w:val="20"/>
          <w:color w:val="auto"/>
        </w:rPr>
      </w:pPr>
      <w:r>
        <w:rPr>
          <w:rFonts w:ascii="Courier New" w:cs="Courier New" w:eastAsia="Courier New" w:hAnsi="Courier New"/>
          <w:sz w:val="15"/>
          <w:szCs w:val="15"/>
          <w:color w:val="auto"/>
        </w:rPr>
        <w:t>CINCINNATI, OHIO 45202</w:t>
      </w:r>
    </w:p>
    <w:p>
      <w:pPr>
        <w:ind w:left="3420" w:hanging="524"/>
        <w:spacing w:after="0" w:line="237" w:lineRule="auto"/>
        <w:tabs>
          <w:tab w:leader="none" w:pos="34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579-2121</w:t>
      </w:r>
    </w:p>
    <w:p>
      <w:pPr>
        <w:spacing w:after="0" w:line="166"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You are invited to attend a special meeting of shareholders of American Financial Corporation to be held at _____________, _________________ on</w:t>
      </w:r>
    </w:p>
    <w:p>
      <w:pPr>
        <w:spacing w:after="0" w:line="231" w:lineRule="auto"/>
        <w:rPr>
          <w:sz w:val="20"/>
          <w:szCs w:val="20"/>
          <w:color w:val="auto"/>
        </w:rPr>
      </w:pPr>
      <w:r>
        <w:rPr>
          <w:rFonts w:ascii="Courier New" w:cs="Courier New" w:eastAsia="Courier New" w:hAnsi="Courier New"/>
          <w:sz w:val="15"/>
          <w:szCs w:val="15"/>
          <w:color w:val="auto"/>
        </w:rPr>
        <w:t>______________, 2003 at __:00 a.m., Eastern Time. The purposes of the special</w:t>
      </w:r>
    </w:p>
    <w:p>
      <w:pPr>
        <w:spacing w:after="0" w:line="238" w:lineRule="auto"/>
        <w:rPr>
          <w:sz w:val="20"/>
          <w:szCs w:val="20"/>
          <w:color w:val="auto"/>
        </w:rPr>
      </w:pPr>
      <w:r>
        <w:rPr>
          <w:rFonts w:ascii="Courier New" w:cs="Courier New" w:eastAsia="Courier New" w:hAnsi="Courier New"/>
          <w:sz w:val="15"/>
          <w:szCs w:val="15"/>
          <w:color w:val="auto"/>
        </w:rPr>
        <w:t>meeting are:</w:t>
      </w:r>
    </w:p>
    <w:p>
      <w:pPr>
        <w:spacing w:after="0" w:line="173" w:lineRule="exact"/>
        <w:rPr>
          <w:sz w:val="20"/>
          <w:szCs w:val="20"/>
          <w:color w:val="auto"/>
        </w:rPr>
      </w:pPr>
    </w:p>
    <w:p>
      <w:pPr>
        <w:ind w:left="1580" w:right="3399" w:hanging="783"/>
        <w:spacing w:after="0" w:line="236" w:lineRule="auto"/>
        <w:tabs>
          <w:tab w:leader="none" w:pos="15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approve an Agreement and Plan of Reorganization and Merger, which we refer to as the merger agreement, pursuant to which American Financial Corporation and AFC Holding Company, American Financial Corporation's parent corporation, will each merge into American Financial Group, Inc., AFC Holding Company's parent corporation;</w:t>
      </w:r>
    </w:p>
    <w:p>
      <w:pPr>
        <w:spacing w:after="0" w:line="175" w:lineRule="exact"/>
        <w:rPr>
          <w:rFonts w:ascii="Courier New" w:cs="Courier New" w:eastAsia="Courier New" w:hAnsi="Courier New"/>
          <w:sz w:val="15"/>
          <w:szCs w:val="15"/>
          <w:color w:val="auto"/>
        </w:rPr>
      </w:pPr>
    </w:p>
    <w:p>
      <w:pPr>
        <w:ind w:left="1580" w:right="3839" w:hanging="783"/>
        <w:spacing w:after="0" w:line="234" w:lineRule="auto"/>
        <w:tabs>
          <w:tab w:leader="none" w:pos="15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grant authority to American Financial Corporation to adjourn the special meeting; and</w:t>
      </w:r>
    </w:p>
    <w:p>
      <w:pPr>
        <w:spacing w:after="0" w:line="173" w:lineRule="exact"/>
        <w:rPr>
          <w:rFonts w:ascii="Courier New" w:cs="Courier New" w:eastAsia="Courier New" w:hAnsi="Courier New"/>
          <w:sz w:val="15"/>
          <w:szCs w:val="15"/>
          <w:color w:val="auto"/>
        </w:rPr>
      </w:pPr>
    </w:p>
    <w:p>
      <w:pPr>
        <w:ind w:left="1580" w:right="3499" w:hanging="783"/>
        <w:spacing w:after="0" w:line="234" w:lineRule="auto"/>
        <w:tabs>
          <w:tab w:leader="none" w:pos="15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special meeting or any adjournment.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Holders of American Financial Corporation voting securities of record at the close of business on ____________, 2003 are entitled to receive notice of and to vote at the meeting or any adjournment thereof.</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Ohio law requires the approval of the merger of American Financial Corporation into American Financial Group by the affirmative vote of both the holders of a majority of the total voting power of American Financial Corporation's stock and the affirmative vote of the holders of a majority of the outstanding shares of American Financial Corporation's Series J Preferred Stock at the special meeting. Because American Financial Group holds approximately 79% of American Financial Corporation's voting power, the approval of a majority of the total voting power is assured but the approval of the holders of a majority of the Series J Preferred Stock is not assured.</w:t>
      </w:r>
    </w:p>
    <w:p>
      <w:pPr>
        <w:spacing w:after="0" w:line="178"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In addition to the shareholder approvals required by Ohio law, the merger agreement also requires the additional approval by the holders of a majority of outstanding Series J Preferred Stock voting at the special meeting, excluding those shares beneficially owned by AFG, AFG's directors, executive officers, Carl H. Lindner and certain of their respective affiliates.</w:t>
      </w:r>
    </w:p>
    <w:p>
      <w:pPr>
        <w:spacing w:after="0" w:line="16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proxy statement/prospectus is being sent to holders of Series J Preferred Stock to provide them with information concerning American Financial Group, which we refer to as AFG, American Financial Corporation, which we refer to as AFC, AFC Holding Company, which we refer to as AFC Holding, and the proposed reorganization. The companies urge you to read the entire document, including the section entitled, "Risk Factors" on page __.</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Whether or not you plan to attend the special meeting, please complete, sign and date the accompanying proxy form and return it in the enclosed envelope. If you attend the special meeting, you may vote in person, even if you have previously returned your proxy form. We would appreciate your prompt consideration.</w:t>
      </w:r>
    </w:p>
    <w:p>
      <w:pPr>
        <w:sectPr>
          <w:pgSz w:w="11900" w:h="16838" w:orient="portrait"/>
          <w:cols w:equalWidth="0" w:num="1">
            <w:col w:w="10239"/>
          </w:cols>
          <w:pgMar w:left="220" w:top="1290" w:right="1440" w:bottom="1440" w:gutter="0" w:footer="0" w:header="0"/>
        </w:sectPr>
      </w:pPr>
    </w:p>
    <w:bookmarkStart w:id="3" w:name="page4"/>
    <w:bookmarkEnd w:id="3"/>
    <w:p>
      <w:pPr>
        <w:ind w:left="27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James C. Kennedy</w:t>
      </w:r>
    </w:p>
    <w:p>
      <w:pPr>
        <w:ind w:left="2720"/>
        <w:spacing w:after="0" w:line="237" w:lineRule="auto"/>
        <w:rPr>
          <w:sz w:val="20"/>
          <w:szCs w:val="20"/>
          <w:color w:val="auto"/>
        </w:rPr>
      </w:pPr>
      <w:r>
        <w:rPr>
          <w:rFonts w:ascii="Courier New" w:cs="Courier New" w:eastAsia="Courier New" w:hAnsi="Courier New"/>
          <w:sz w:val="15"/>
          <w:szCs w:val="15"/>
          <w:color w:val="auto"/>
        </w:rPr>
        <w:t>Vice President, Deputy General Counsel and</w:t>
      </w:r>
    </w:p>
    <w:p>
      <w:pPr>
        <w:ind w:left="2720"/>
        <w:spacing w:after="0" w:line="238"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______________, 2003</w:t>
      </w: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This proxy statement/prospectus and proxy card are dated</w:t>
      </w:r>
    </w:p>
    <w:p>
      <w:pPr>
        <w:spacing w:after="0" w:line="237" w:lineRule="auto"/>
        <w:rPr>
          <w:sz w:val="20"/>
          <w:szCs w:val="20"/>
          <w:color w:val="auto"/>
        </w:rPr>
      </w:pPr>
      <w:r>
        <w:rPr>
          <w:rFonts w:ascii="Courier New" w:cs="Courier New" w:eastAsia="Courier New" w:hAnsi="Courier New"/>
          <w:sz w:val="15"/>
          <w:szCs w:val="15"/>
          <w:color w:val="auto"/>
        </w:rPr>
        <w:t>________________, 2003 and were mailed to shareholders of American Financial</w:t>
      </w:r>
    </w:p>
    <w:p>
      <w:pPr>
        <w:spacing w:after="0" w:line="238" w:lineRule="auto"/>
        <w:rPr>
          <w:sz w:val="20"/>
          <w:szCs w:val="20"/>
          <w:color w:val="auto"/>
        </w:rPr>
      </w:pPr>
      <w:r>
        <w:rPr>
          <w:rFonts w:ascii="Courier New" w:cs="Courier New" w:eastAsia="Courier New" w:hAnsi="Courier New"/>
          <w:sz w:val="15"/>
          <w:szCs w:val="15"/>
          <w:color w:val="auto"/>
        </w:rPr>
        <w:t>Corporation beginning on or about _______________, 2003.</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proxy statement/prospectus is truthful or complete. Any representation to the contrary is a criminal offense.</w:t>
      </w:r>
    </w:p>
    <w:p>
      <w:pPr>
        <w:sectPr>
          <w:pgSz w:w="11900" w:h="16838" w:orient="portrait"/>
          <w:cols w:equalWidth="0" w:num="1">
            <w:col w:w="10239"/>
          </w:cols>
          <w:pgMar w:left="220" w:top="617" w:right="1440" w:bottom="1440" w:gutter="0" w:footer="0" w:header="0"/>
        </w:sectPr>
      </w:pPr>
    </w:p>
    <w:bookmarkStart w:id="4" w:name="page5"/>
    <w:bookmarkEnd w:id="4"/>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dot" w:pos="9960" w:val="left"/>
        </w:tabs>
        <w:rPr>
          <w:sz w:val="20"/>
          <w:szCs w:val="20"/>
          <w:color w:val="auto"/>
        </w:rPr>
      </w:pPr>
      <w:r>
        <w:rPr>
          <w:rFonts w:ascii="Courier New" w:cs="Courier New" w:eastAsia="Courier New" w:hAnsi="Courier New"/>
          <w:sz w:val="15"/>
          <w:szCs w:val="15"/>
          <w:color w:val="auto"/>
        </w:rPr>
        <w:t>QUESTIONS AND ANSWERS ABOUT THE REORGANIZATION</w:t>
      </w:r>
      <w:r>
        <w:rPr>
          <w:sz w:val="20"/>
          <w:szCs w:val="20"/>
          <w:color w:val="auto"/>
        </w:rPr>
        <w:tab/>
      </w:r>
      <w:r>
        <w:rPr>
          <w:rFonts w:ascii="Courier New" w:cs="Courier New" w:eastAsia="Courier New" w:hAnsi="Courier New"/>
          <w:sz w:val="12"/>
          <w:szCs w:val="12"/>
          <w:color w:val="auto"/>
        </w:rPr>
        <w:t>2</w:t>
      </w:r>
    </w:p>
    <w:p>
      <w:pPr>
        <w:spacing w:after="0"/>
        <w:tabs>
          <w:tab w:leader="dot" w:pos="996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2"/>
          <w:szCs w:val="12"/>
          <w:color w:val="auto"/>
        </w:rPr>
        <w:t>4</w:t>
      </w:r>
    </w:p>
    <w:p>
      <w:pPr>
        <w:spacing w:after="0"/>
        <w:tabs>
          <w:tab w:leader="dot" w:pos="996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2"/>
          <w:szCs w:val="12"/>
          <w:color w:val="auto"/>
        </w:rPr>
        <w:t>8</w:t>
      </w:r>
    </w:p>
    <w:p>
      <w:pPr>
        <w:spacing w:after="0"/>
        <w:tabs>
          <w:tab w:leader="dot" w:pos="9880" w:val="left"/>
        </w:tabs>
        <w:rPr>
          <w:sz w:val="20"/>
          <w:szCs w:val="20"/>
          <w:color w:val="auto"/>
        </w:rPr>
      </w:pPr>
      <w:r>
        <w:rPr>
          <w:rFonts w:ascii="Courier New" w:cs="Courier New" w:eastAsia="Courier New" w:hAnsi="Courier New"/>
          <w:sz w:val="15"/>
          <w:szCs w:val="15"/>
          <w:color w:val="auto"/>
        </w:rPr>
        <w:t>AMERICAN FINANCIAL CORPORATION SELECTED CONSOLIDATED HISTORICAL FINANCIAL DATA</w:t>
      </w:r>
      <w:r>
        <w:rPr>
          <w:sz w:val="20"/>
          <w:szCs w:val="20"/>
          <w:color w:val="auto"/>
        </w:rPr>
        <w:tab/>
      </w:r>
      <w:r>
        <w:rPr>
          <w:rFonts w:ascii="Courier New" w:cs="Courier New" w:eastAsia="Courier New" w:hAnsi="Courier New"/>
          <w:sz w:val="12"/>
          <w:szCs w:val="12"/>
          <w:color w:val="auto"/>
        </w:rPr>
        <w:t>14</w:t>
      </w:r>
    </w:p>
    <w:p>
      <w:pPr>
        <w:spacing w:after="0"/>
        <w:tabs>
          <w:tab w:leader="dot" w:pos="9880" w:val="left"/>
        </w:tabs>
        <w:rPr>
          <w:sz w:val="20"/>
          <w:szCs w:val="20"/>
          <w:color w:val="auto"/>
        </w:rPr>
      </w:pPr>
      <w:r>
        <w:rPr>
          <w:rFonts w:ascii="Courier New" w:cs="Courier New" w:eastAsia="Courier New" w:hAnsi="Courier New"/>
          <w:sz w:val="15"/>
          <w:szCs w:val="15"/>
          <w:color w:val="auto"/>
        </w:rPr>
        <w:t>AMERICAN FINANCIAL GROUP SELECTED CONSOLIDATED HISTORICAL FINANCIAL DATA</w:t>
      </w:r>
      <w:r>
        <w:rPr>
          <w:sz w:val="20"/>
          <w:szCs w:val="20"/>
          <w:color w:val="auto"/>
        </w:rPr>
        <w:tab/>
      </w:r>
      <w:r>
        <w:rPr>
          <w:rFonts w:ascii="Courier New" w:cs="Courier New" w:eastAsia="Courier New" w:hAnsi="Courier New"/>
          <w:sz w:val="12"/>
          <w:szCs w:val="12"/>
          <w:color w:val="auto"/>
        </w:rPr>
        <w:t>15</w:t>
      </w:r>
    </w:p>
    <w:p>
      <w:pPr>
        <w:spacing w:after="0"/>
        <w:tabs>
          <w:tab w:leader="dot" w:pos="9880" w:val="left"/>
        </w:tabs>
        <w:rPr>
          <w:sz w:val="20"/>
          <w:szCs w:val="20"/>
          <w:color w:val="auto"/>
        </w:rPr>
      </w:pPr>
      <w:r>
        <w:rPr>
          <w:rFonts w:ascii="Courier New" w:cs="Courier New" w:eastAsia="Courier New" w:hAnsi="Courier New"/>
          <w:sz w:val="15"/>
          <w:szCs w:val="15"/>
          <w:color w:val="auto"/>
        </w:rPr>
        <w:t>UNAUDITED PRO FORMA FINANCIAL INFORMATION</w:t>
      </w:r>
      <w:r>
        <w:rPr>
          <w:sz w:val="20"/>
          <w:szCs w:val="20"/>
          <w:color w:val="auto"/>
        </w:rPr>
        <w:tab/>
      </w:r>
      <w:r>
        <w:rPr>
          <w:rFonts w:ascii="Courier New" w:cs="Courier New" w:eastAsia="Courier New" w:hAnsi="Courier New"/>
          <w:sz w:val="12"/>
          <w:szCs w:val="12"/>
          <w:color w:val="auto"/>
        </w:rPr>
        <w:t>17</w:t>
      </w:r>
    </w:p>
    <w:p>
      <w:pPr>
        <w:spacing w:after="0"/>
        <w:tabs>
          <w:tab w:leader="dot" w:pos="9880" w:val="left"/>
        </w:tabs>
        <w:rPr>
          <w:sz w:val="20"/>
          <w:szCs w:val="20"/>
          <w:color w:val="auto"/>
        </w:rPr>
      </w:pPr>
      <w:r>
        <w:rPr>
          <w:rFonts w:ascii="Courier New" w:cs="Courier New" w:eastAsia="Courier New" w:hAnsi="Courier New"/>
          <w:sz w:val="15"/>
          <w:szCs w:val="15"/>
          <w:color w:val="auto"/>
        </w:rPr>
        <w:t>STOCK PRICE AND DIVIDEND INFORMATION</w:t>
      </w:r>
      <w:r>
        <w:rPr>
          <w:sz w:val="20"/>
          <w:szCs w:val="20"/>
          <w:color w:val="auto"/>
        </w:rPr>
        <w:tab/>
      </w:r>
      <w:r>
        <w:rPr>
          <w:rFonts w:ascii="Courier New" w:cs="Courier New" w:eastAsia="Courier New" w:hAnsi="Courier New"/>
          <w:sz w:val="12"/>
          <w:szCs w:val="12"/>
          <w:color w:val="auto"/>
        </w:rPr>
        <w:t>21</w:t>
      </w:r>
    </w:p>
    <w:p>
      <w:pPr>
        <w:spacing w:after="0"/>
        <w:tabs>
          <w:tab w:leader="dot" w:pos="9880" w:val="left"/>
        </w:tabs>
        <w:rPr>
          <w:sz w:val="20"/>
          <w:szCs w:val="20"/>
          <w:color w:val="auto"/>
        </w:rPr>
      </w:pPr>
      <w:r>
        <w:rPr>
          <w:rFonts w:ascii="Courier New" w:cs="Courier New" w:eastAsia="Courier New" w:hAnsi="Courier New"/>
          <w:sz w:val="15"/>
          <w:szCs w:val="15"/>
          <w:color w:val="auto"/>
        </w:rPr>
        <w:t>FORWARD LOOKING STATEMENTS</w:t>
      </w:r>
      <w:r>
        <w:rPr>
          <w:sz w:val="20"/>
          <w:szCs w:val="20"/>
          <w:color w:val="auto"/>
        </w:rPr>
        <w:tab/>
      </w:r>
      <w:r>
        <w:rPr>
          <w:rFonts w:ascii="Courier New" w:cs="Courier New" w:eastAsia="Courier New" w:hAnsi="Courier New"/>
          <w:sz w:val="12"/>
          <w:szCs w:val="12"/>
          <w:color w:val="auto"/>
        </w:rPr>
        <w:t>21</w:t>
      </w:r>
    </w:p>
    <w:p>
      <w:pPr>
        <w:spacing w:after="0"/>
        <w:tabs>
          <w:tab w:leader="dot" w:pos="9880" w:val="left"/>
        </w:tabs>
        <w:rPr>
          <w:sz w:val="20"/>
          <w:szCs w:val="20"/>
          <w:color w:val="auto"/>
        </w:rPr>
      </w:pPr>
      <w:r>
        <w:rPr>
          <w:rFonts w:ascii="Courier New" w:cs="Courier New" w:eastAsia="Courier New" w:hAnsi="Courier New"/>
          <w:sz w:val="15"/>
          <w:szCs w:val="15"/>
          <w:color w:val="auto"/>
        </w:rPr>
        <w:t>THE SPECIAL MEETING</w:t>
      </w:r>
      <w:r>
        <w:rPr>
          <w:sz w:val="20"/>
          <w:szCs w:val="20"/>
          <w:color w:val="auto"/>
        </w:rPr>
        <w:tab/>
      </w:r>
      <w:r>
        <w:rPr>
          <w:rFonts w:ascii="Courier New" w:cs="Courier New" w:eastAsia="Courier New" w:hAnsi="Courier New"/>
          <w:sz w:val="12"/>
          <w:szCs w:val="12"/>
          <w:color w:val="auto"/>
        </w:rPr>
        <w:t>23</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Introduction</w:t>
      </w:r>
      <w:r>
        <w:rPr>
          <w:sz w:val="20"/>
          <w:szCs w:val="20"/>
          <w:color w:val="auto"/>
        </w:rPr>
        <w:tab/>
      </w:r>
      <w:r>
        <w:rPr>
          <w:rFonts w:ascii="Courier New" w:cs="Courier New" w:eastAsia="Courier New" w:hAnsi="Courier New"/>
          <w:sz w:val="12"/>
          <w:szCs w:val="12"/>
          <w:color w:val="auto"/>
        </w:rPr>
        <w:t>23</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Matters to be Considered; Special Committee Recommendation</w:t>
      </w:r>
      <w:r>
        <w:rPr>
          <w:sz w:val="20"/>
          <w:szCs w:val="20"/>
          <w:color w:val="auto"/>
        </w:rPr>
        <w:tab/>
      </w:r>
      <w:r>
        <w:rPr>
          <w:rFonts w:ascii="Courier New" w:cs="Courier New" w:eastAsia="Courier New" w:hAnsi="Courier New"/>
          <w:sz w:val="12"/>
          <w:szCs w:val="12"/>
          <w:color w:val="auto"/>
        </w:rPr>
        <w:t>23</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Record Date and Voting</w:t>
      </w:r>
      <w:r>
        <w:rPr>
          <w:sz w:val="20"/>
          <w:szCs w:val="20"/>
          <w:color w:val="auto"/>
        </w:rPr>
        <w:tab/>
      </w:r>
      <w:r>
        <w:rPr>
          <w:rFonts w:ascii="Courier New" w:cs="Courier New" w:eastAsia="Courier New" w:hAnsi="Courier New"/>
          <w:sz w:val="12"/>
          <w:szCs w:val="12"/>
          <w:color w:val="auto"/>
        </w:rPr>
        <w:t>23</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Vote Required</w:t>
      </w:r>
      <w:r>
        <w:rPr>
          <w:sz w:val="20"/>
          <w:szCs w:val="20"/>
          <w:color w:val="auto"/>
        </w:rPr>
        <w:tab/>
      </w:r>
      <w:r>
        <w:rPr>
          <w:rFonts w:ascii="Courier New" w:cs="Courier New" w:eastAsia="Courier New" w:hAnsi="Courier New"/>
          <w:sz w:val="12"/>
          <w:szCs w:val="12"/>
          <w:color w:val="auto"/>
        </w:rPr>
        <w:t>24</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Revocability of Proxies</w:t>
      </w:r>
      <w:r>
        <w:rPr>
          <w:sz w:val="20"/>
          <w:szCs w:val="20"/>
          <w:color w:val="auto"/>
        </w:rPr>
        <w:tab/>
      </w:r>
      <w:r>
        <w:rPr>
          <w:rFonts w:ascii="Courier New" w:cs="Courier New" w:eastAsia="Courier New" w:hAnsi="Courier New"/>
          <w:sz w:val="12"/>
          <w:szCs w:val="12"/>
          <w:color w:val="auto"/>
        </w:rPr>
        <w:t>24</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Solicitation of Proxies</w:t>
      </w:r>
      <w:r>
        <w:rPr>
          <w:sz w:val="20"/>
          <w:szCs w:val="20"/>
          <w:color w:val="auto"/>
        </w:rPr>
        <w:tab/>
      </w:r>
      <w:r>
        <w:rPr>
          <w:rFonts w:ascii="Courier New" w:cs="Courier New" w:eastAsia="Courier New" w:hAnsi="Courier New"/>
          <w:sz w:val="12"/>
          <w:szCs w:val="12"/>
          <w:color w:val="auto"/>
        </w:rPr>
        <w:t>24</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Adjournment of the Special Meeting</w:t>
      </w:r>
      <w:r>
        <w:rPr>
          <w:sz w:val="20"/>
          <w:szCs w:val="20"/>
          <w:color w:val="auto"/>
        </w:rPr>
        <w:tab/>
      </w:r>
      <w:r>
        <w:rPr>
          <w:rFonts w:ascii="Courier New" w:cs="Courier New" w:eastAsia="Courier New" w:hAnsi="Courier New"/>
          <w:sz w:val="12"/>
          <w:szCs w:val="12"/>
          <w:color w:val="auto"/>
        </w:rPr>
        <w:t>25</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Dissenters' Rights</w:t>
      </w:r>
      <w:r>
        <w:rPr>
          <w:sz w:val="20"/>
          <w:szCs w:val="20"/>
          <w:color w:val="auto"/>
        </w:rPr>
        <w:tab/>
      </w:r>
      <w:r>
        <w:rPr>
          <w:rFonts w:ascii="Courier New" w:cs="Courier New" w:eastAsia="Courier New" w:hAnsi="Courier New"/>
          <w:sz w:val="12"/>
          <w:szCs w:val="12"/>
          <w:color w:val="auto"/>
        </w:rPr>
        <w:t>25</w:t>
      </w:r>
    </w:p>
    <w:p>
      <w:pPr>
        <w:spacing w:after="0"/>
        <w:tabs>
          <w:tab w:leader="dot" w:pos="9880" w:val="left"/>
        </w:tabs>
        <w:rPr>
          <w:sz w:val="20"/>
          <w:szCs w:val="20"/>
          <w:color w:val="auto"/>
        </w:rPr>
      </w:pPr>
      <w:r>
        <w:rPr>
          <w:rFonts w:ascii="Courier New" w:cs="Courier New" w:eastAsia="Courier New" w:hAnsi="Courier New"/>
          <w:sz w:val="15"/>
          <w:szCs w:val="15"/>
          <w:color w:val="auto"/>
        </w:rPr>
        <w:t>THE REORGANIZATION</w:t>
      </w:r>
      <w:r>
        <w:rPr>
          <w:sz w:val="20"/>
          <w:szCs w:val="20"/>
          <w:color w:val="auto"/>
        </w:rPr>
        <w:tab/>
      </w:r>
      <w:r>
        <w:rPr>
          <w:rFonts w:ascii="Courier New" w:cs="Courier New" w:eastAsia="Courier New" w:hAnsi="Courier New"/>
          <w:sz w:val="12"/>
          <w:szCs w:val="12"/>
          <w:color w:val="auto"/>
        </w:rPr>
        <w:t>25</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Form of the Reorganization</w:t>
      </w:r>
      <w:r>
        <w:rPr>
          <w:sz w:val="20"/>
          <w:szCs w:val="20"/>
          <w:color w:val="auto"/>
        </w:rPr>
        <w:tab/>
      </w:r>
      <w:r>
        <w:rPr>
          <w:rFonts w:ascii="Courier New" w:cs="Courier New" w:eastAsia="Courier New" w:hAnsi="Courier New"/>
          <w:sz w:val="12"/>
          <w:szCs w:val="12"/>
          <w:color w:val="auto"/>
        </w:rPr>
        <w:t>25</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AFG's Reasons for the Reorganization</w:t>
      </w:r>
      <w:r>
        <w:rPr>
          <w:sz w:val="20"/>
          <w:szCs w:val="20"/>
          <w:color w:val="auto"/>
        </w:rPr>
        <w:tab/>
      </w:r>
      <w:r>
        <w:rPr>
          <w:rFonts w:ascii="Courier New" w:cs="Courier New" w:eastAsia="Courier New" w:hAnsi="Courier New"/>
          <w:sz w:val="12"/>
          <w:szCs w:val="12"/>
          <w:color w:val="auto"/>
        </w:rPr>
        <w:t>25</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Material U.S. Federal Income Tax Consequences</w:t>
      </w:r>
      <w:r>
        <w:rPr>
          <w:sz w:val="20"/>
          <w:szCs w:val="20"/>
          <w:color w:val="auto"/>
        </w:rPr>
        <w:tab/>
      </w:r>
      <w:r>
        <w:rPr>
          <w:rFonts w:ascii="Courier New" w:cs="Courier New" w:eastAsia="Courier New" w:hAnsi="Courier New"/>
          <w:sz w:val="12"/>
          <w:szCs w:val="12"/>
          <w:color w:val="auto"/>
        </w:rPr>
        <w:t>26</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Federal Securities Law Consequences</w:t>
      </w:r>
      <w:r>
        <w:rPr>
          <w:sz w:val="20"/>
          <w:szCs w:val="20"/>
          <w:color w:val="auto"/>
        </w:rPr>
        <w:tab/>
      </w:r>
      <w:r>
        <w:rPr>
          <w:rFonts w:ascii="Courier New" w:cs="Courier New" w:eastAsia="Courier New" w:hAnsi="Courier New"/>
          <w:sz w:val="12"/>
          <w:szCs w:val="12"/>
          <w:color w:val="auto"/>
        </w:rPr>
        <w:t>28</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Conduct of Business if Reorganization Not Consummated</w:t>
      </w:r>
      <w:r>
        <w:rPr>
          <w:sz w:val="20"/>
          <w:szCs w:val="20"/>
          <w:color w:val="auto"/>
        </w:rPr>
        <w:tab/>
      </w:r>
      <w:r>
        <w:rPr>
          <w:rFonts w:ascii="Courier New" w:cs="Courier New" w:eastAsia="Courier New" w:hAnsi="Courier New"/>
          <w:sz w:val="12"/>
          <w:szCs w:val="12"/>
          <w:color w:val="auto"/>
        </w:rPr>
        <w:t>28</w:t>
      </w:r>
    </w:p>
    <w:p>
      <w:pPr>
        <w:spacing w:after="0"/>
        <w:tabs>
          <w:tab w:leader="dot" w:pos="9880" w:val="left"/>
        </w:tabs>
        <w:rPr>
          <w:sz w:val="20"/>
          <w:szCs w:val="20"/>
          <w:color w:val="auto"/>
        </w:rPr>
      </w:pPr>
      <w:r>
        <w:rPr>
          <w:rFonts w:ascii="Courier New" w:cs="Courier New" w:eastAsia="Courier New" w:hAnsi="Courier New"/>
          <w:sz w:val="15"/>
          <w:szCs w:val="15"/>
          <w:color w:val="auto"/>
        </w:rPr>
        <w:t>SPECIAL FACTORS</w:t>
      </w:r>
      <w:r>
        <w:rPr>
          <w:sz w:val="20"/>
          <w:szCs w:val="20"/>
          <w:color w:val="auto"/>
        </w:rPr>
        <w:tab/>
      </w:r>
      <w:r>
        <w:rPr>
          <w:rFonts w:ascii="Courier New" w:cs="Courier New" w:eastAsia="Courier New" w:hAnsi="Courier New"/>
          <w:sz w:val="12"/>
          <w:szCs w:val="12"/>
          <w:color w:val="auto"/>
        </w:rPr>
        <w:t>28</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Appointment of the Special Committee</w:t>
      </w:r>
      <w:r>
        <w:rPr>
          <w:sz w:val="20"/>
          <w:szCs w:val="20"/>
          <w:color w:val="auto"/>
        </w:rPr>
        <w:tab/>
      </w:r>
      <w:r>
        <w:rPr>
          <w:rFonts w:ascii="Courier New" w:cs="Courier New" w:eastAsia="Courier New" w:hAnsi="Courier New"/>
          <w:sz w:val="12"/>
          <w:szCs w:val="12"/>
          <w:color w:val="auto"/>
        </w:rPr>
        <w:t>28</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Meetings of the Special Committee</w:t>
      </w:r>
      <w:r>
        <w:rPr>
          <w:sz w:val="20"/>
          <w:szCs w:val="20"/>
          <w:color w:val="auto"/>
        </w:rPr>
        <w:tab/>
      </w:r>
      <w:r>
        <w:rPr>
          <w:rFonts w:ascii="Courier New" w:cs="Courier New" w:eastAsia="Courier New" w:hAnsi="Courier New"/>
          <w:sz w:val="12"/>
          <w:szCs w:val="12"/>
          <w:color w:val="auto"/>
        </w:rPr>
        <w:t>29</w:t>
      </w:r>
    </w:p>
    <w:p>
      <w:pPr>
        <w:ind w:left="280"/>
        <w:spacing w:after="0" w:line="237" w:lineRule="auto"/>
        <w:rPr>
          <w:sz w:val="20"/>
          <w:szCs w:val="20"/>
          <w:color w:val="auto"/>
        </w:rPr>
      </w:pPr>
      <w:r>
        <w:rPr>
          <w:rFonts w:ascii="Courier New" w:cs="Courier New" w:eastAsia="Courier New" w:hAnsi="Courier New"/>
          <w:sz w:val="15"/>
          <w:szCs w:val="15"/>
          <w:color w:val="auto"/>
        </w:rPr>
        <w:t>Recommendations of the Special Committee and the Board of Directors of AFC;</w:t>
      </w:r>
    </w:p>
    <w:p>
      <w:pPr>
        <w:ind w:left="540"/>
        <w:spacing w:after="0"/>
        <w:tabs>
          <w:tab w:leader="dot" w:pos="9880" w:val="left"/>
        </w:tabs>
        <w:rPr>
          <w:sz w:val="20"/>
          <w:szCs w:val="20"/>
          <w:color w:val="auto"/>
        </w:rPr>
      </w:pPr>
      <w:r>
        <w:rPr>
          <w:rFonts w:ascii="Courier New" w:cs="Courier New" w:eastAsia="Courier New" w:hAnsi="Courier New"/>
          <w:sz w:val="15"/>
          <w:szCs w:val="15"/>
          <w:color w:val="auto"/>
        </w:rPr>
        <w:t>Recommendation of the Board Of Directors of AFG; Reasons for Recommendations</w:t>
      </w:r>
      <w:r>
        <w:rPr>
          <w:sz w:val="20"/>
          <w:szCs w:val="20"/>
          <w:color w:val="auto"/>
        </w:rPr>
        <w:tab/>
      </w:r>
      <w:r>
        <w:rPr>
          <w:rFonts w:ascii="Courier New" w:cs="Courier New" w:eastAsia="Courier New" w:hAnsi="Courier New"/>
          <w:sz w:val="12"/>
          <w:szCs w:val="12"/>
          <w:color w:val="auto"/>
        </w:rPr>
        <w:t>35</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Opinion of Special Committee's Financial Advisor</w:t>
      </w:r>
      <w:r>
        <w:rPr>
          <w:sz w:val="20"/>
          <w:szCs w:val="20"/>
          <w:color w:val="auto"/>
        </w:rPr>
        <w:tab/>
      </w:r>
      <w:r>
        <w:rPr>
          <w:rFonts w:ascii="Courier New" w:cs="Courier New" w:eastAsia="Courier New" w:hAnsi="Courier New"/>
          <w:sz w:val="12"/>
          <w:szCs w:val="12"/>
          <w:color w:val="auto"/>
        </w:rPr>
        <w:t>37</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Valuation Methodologies</w:t>
      </w:r>
      <w:r>
        <w:rPr>
          <w:sz w:val="20"/>
          <w:szCs w:val="20"/>
          <w:color w:val="auto"/>
        </w:rPr>
        <w:tab/>
      </w:r>
      <w:r>
        <w:rPr>
          <w:rFonts w:ascii="Courier New" w:cs="Courier New" w:eastAsia="Courier New" w:hAnsi="Courier New"/>
          <w:sz w:val="12"/>
          <w:szCs w:val="12"/>
          <w:color w:val="auto"/>
        </w:rPr>
        <w:t>37</w:t>
      </w:r>
    </w:p>
    <w:p>
      <w:pPr>
        <w:spacing w:after="0"/>
        <w:tabs>
          <w:tab w:leader="dot" w:pos="9880" w:val="left"/>
        </w:tabs>
        <w:rPr>
          <w:sz w:val="20"/>
          <w:szCs w:val="20"/>
          <w:color w:val="auto"/>
        </w:rPr>
      </w:pPr>
      <w:r>
        <w:rPr>
          <w:rFonts w:ascii="Courier New" w:cs="Courier New" w:eastAsia="Courier New" w:hAnsi="Courier New"/>
          <w:sz w:val="15"/>
          <w:szCs w:val="15"/>
          <w:color w:val="auto"/>
        </w:rPr>
        <w:t>THE MERGER AGREEMENT</w:t>
      </w:r>
      <w:r>
        <w:rPr>
          <w:sz w:val="20"/>
          <w:szCs w:val="20"/>
          <w:color w:val="auto"/>
        </w:rPr>
        <w:tab/>
      </w:r>
      <w:r>
        <w:rPr>
          <w:rFonts w:ascii="Courier New" w:cs="Courier New" w:eastAsia="Courier New" w:hAnsi="Courier New"/>
          <w:sz w:val="12"/>
          <w:szCs w:val="12"/>
          <w:color w:val="auto"/>
        </w:rPr>
        <w:t>43</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Terms of the Reorganization</w:t>
      </w:r>
      <w:r>
        <w:rPr>
          <w:sz w:val="20"/>
          <w:szCs w:val="20"/>
          <w:color w:val="auto"/>
        </w:rPr>
        <w:tab/>
      </w:r>
      <w:r>
        <w:rPr>
          <w:rFonts w:ascii="Courier New" w:cs="Courier New" w:eastAsia="Courier New" w:hAnsi="Courier New"/>
          <w:sz w:val="12"/>
          <w:szCs w:val="12"/>
          <w:color w:val="auto"/>
        </w:rPr>
        <w:t>44</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Exchange of Certificates</w:t>
      </w:r>
      <w:r>
        <w:rPr>
          <w:sz w:val="20"/>
          <w:szCs w:val="20"/>
          <w:color w:val="auto"/>
        </w:rPr>
        <w:tab/>
      </w:r>
      <w:r>
        <w:rPr>
          <w:rFonts w:ascii="Courier New" w:cs="Courier New" w:eastAsia="Courier New" w:hAnsi="Courier New"/>
          <w:sz w:val="12"/>
          <w:szCs w:val="12"/>
          <w:color w:val="auto"/>
        </w:rPr>
        <w:t>44</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Dissenter's Rights</w:t>
      </w:r>
      <w:r>
        <w:rPr>
          <w:sz w:val="20"/>
          <w:szCs w:val="20"/>
          <w:color w:val="auto"/>
        </w:rPr>
        <w:tab/>
      </w:r>
      <w:r>
        <w:rPr>
          <w:rFonts w:ascii="Courier New" w:cs="Courier New" w:eastAsia="Courier New" w:hAnsi="Courier New"/>
          <w:sz w:val="12"/>
          <w:szCs w:val="12"/>
          <w:color w:val="auto"/>
        </w:rPr>
        <w:t>45</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2"/>
          <w:szCs w:val="12"/>
          <w:color w:val="auto"/>
        </w:rPr>
        <w:t>45</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Voting of AFC Common Stock</w:t>
      </w:r>
      <w:r>
        <w:rPr>
          <w:sz w:val="20"/>
          <w:szCs w:val="20"/>
          <w:color w:val="auto"/>
        </w:rPr>
        <w:tab/>
      </w:r>
      <w:r>
        <w:rPr>
          <w:rFonts w:ascii="Courier New" w:cs="Courier New" w:eastAsia="Courier New" w:hAnsi="Courier New"/>
          <w:sz w:val="12"/>
          <w:szCs w:val="12"/>
          <w:color w:val="auto"/>
        </w:rPr>
        <w:t>46</w:t>
      </w:r>
    </w:p>
    <w:p>
      <w:pPr>
        <w:ind w:left="280"/>
        <w:spacing w:after="0"/>
        <w:tabs>
          <w:tab w:leader="dot" w:pos="9880" w:val="left"/>
        </w:tabs>
        <w:rPr>
          <w:sz w:val="20"/>
          <w:szCs w:val="20"/>
          <w:color w:val="auto"/>
        </w:rPr>
      </w:pPr>
      <w:r>
        <w:rPr>
          <w:rFonts w:ascii="Courier New" w:cs="Courier New" w:eastAsia="Courier New" w:hAnsi="Courier New"/>
          <w:sz w:val="15"/>
          <w:szCs w:val="15"/>
          <w:color w:val="auto"/>
        </w:rPr>
        <w:t>Conditions to the Reorganization</w:t>
      </w:r>
      <w:r>
        <w:rPr>
          <w:sz w:val="20"/>
          <w:szCs w:val="20"/>
          <w:color w:val="auto"/>
        </w:rPr>
        <w:tab/>
      </w:r>
      <w:r>
        <w:rPr>
          <w:rFonts w:ascii="Courier New" w:cs="Courier New" w:eastAsia="Courier New" w:hAnsi="Courier New"/>
          <w:sz w:val="12"/>
          <w:szCs w:val="12"/>
          <w:color w:val="auto"/>
        </w:rPr>
        <w:t>46</w:t>
      </w:r>
    </w:p>
    <w:p>
      <w:pPr>
        <w:spacing w:after="0"/>
        <w:tabs>
          <w:tab w:leader="dot" w:pos="9880" w:val="left"/>
        </w:tabs>
        <w:rPr>
          <w:sz w:val="20"/>
          <w:szCs w:val="20"/>
          <w:color w:val="auto"/>
        </w:rPr>
      </w:pPr>
      <w:r>
        <w:rPr>
          <w:rFonts w:ascii="Courier New" w:cs="Courier New" w:eastAsia="Courier New" w:hAnsi="Courier New"/>
          <w:sz w:val="15"/>
          <w:szCs w:val="15"/>
          <w:color w:val="auto"/>
        </w:rPr>
        <w:t>RIGHTS OF DISSENTING SHAREHOLDERS</w:t>
      </w:r>
      <w:r>
        <w:rPr>
          <w:sz w:val="20"/>
          <w:szCs w:val="20"/>
          <w:color w:val="auto"/>
        </w:rPr>
        <w:tab/>
      </w:r>
      <w:r>
        <w:rPr>
          <w:rFonts w:ascii="Courier New" w:cs="Courier New" w:eastAsia="Courier New" w:hAnsi="Courier New"/>
          <w:sz w:val="12"/>
          <w:szCs w:val="12"/>
          <w:color w:val="auto"/>
        </w:rPr>
        <w:t>48</w:t>
      </w:r>
    </w:p>
    <w:p>
      <w:pPr>
        <w:spacing w:after="0"/>
        <w:tabs>
          <w:tab w:leader="dot" w:pos="9880" w:val="left"/>
        </w:tabs>
        <w:rPr>
          <w:sz w:val="20"/>
          <w:szCs w:val="20"/>
          <w:color w:val="auto"/>
        </w:rPr>
      </w:pPr>
      <w:r>
        <w:rPr>
          <w:rFonts w:ascii="Courier New" w:cs="Courier New" w:eastAsia="Courier New" w:hAnsi="Courier New"/>
          <w:sz w:val="15"/>
          <w:szCs w:val="15"/>
          <w:color w:val="auto"/>
        </w:rPr>
        <w:t>AMERICAN FINANCIAL GROUP, INC</w:t>
      </w:r>
      <w:r>
        <w:rPr>
          <w:sz w:val="20"/>
          <w:szCs w:val="20"/>
          <w:color w:val="auto"/>
        </w:rPr>
        <w:tab/>
      </w:r>
      <w:r>
        <w:rPr>
          <w:rFonts w:ascii="Courier New" w:cs="Courier New" w:eastAsia="Courier New" w:hAnsi="Courier New"/>
          <w:sz w:val="12"/>
          <w:szCs w:val="12"/>
          <w:color w:val="auto"/>
        </w:rPr>
        <w:t>50</w:t>
      </w:r>
    </w:p>
    <w:p>
      <w:pPr>
        <w:spacing w:after="0"/>
        <w:tabs>
          <w:tab w:leader="dot" w:pos="9880" w:val="left"/>
        </w:tabs>
        <w:rPr>
          <w:sz w:val="20"/>
          <w:szCs w:val="20"/>
          <w:color w:val="auto"/>
        </w:rPr>
      </w:pPr>
      <w:r>
        <w:rPr>
          <w:rFonts w:ascii="Courier New" w:cs="Courier New" w:eastAsia="Courier New" w:hAnsi="Courier New"/>
          <w:sz w:val="15"/>
          <w:szCs w:val="15"/>
          <w:color w:val="auto"/>
        </w:rPr>
        <w:t>AMERICAN FINANCIAL CORPORATION</w:t>
      </w:r>
      <w:r>
        <w:rPr>
          <w:sz w:val="20"/>
          <w:szCs w:val="20"/>
          <w:color w:val="auto"/>
        </w:rPr>
        <w:tab/>
      </w:r>
      <w:r>
        <w:rPr>
          <w:rFonts w:ascii="Courier New" w:cs="Courier New" w:eastAsia="Courier New" w:hAnsi="Courier New"/>
          <w:sz w:val="12"/>
          <w:szCs w:val="12"/>
          <w:color w:val="auto"/>
        </w:rPr>
        <w:t>50</w:t>
      </w:r>
    </w:p>
    <w:p>
      <w:pPr>
        <w:spacing w:after="0"/>
        <w:tabs>
          <w:tab w:leader="dot" w:pos="9880" w:val="left"/>
        </w:tabs>
        <w:rPr>
          <w:sz w:val="20"/>
          <w:szCs w:val="20"/>
          <w:color w:val="auto"/>
        </w:rPr>
      </w:pPr>
      <w:r>
        <w:rPr>
          <w:rFonts w:ascii="Courier New" w:cs="Courier New" w:eastAsia="Courier New" w:hAnsi="Courier New"/>
          <w:sz w:val="15"/>
          <w:szCs w:val="15"/>
          <w:color w:val="auto"/>
        </w:rPr>
        <w:t>AFC HOLDING COMPANY</w:t>
      </w:r>
      <w:r>
        <w:rPr>
          <w:sz w:val="20"/>
          <w:szCs w:val="20"/>
          <w:color w:val="auto"/>
        </w:rPr>
        <w:tab/>
      </w:r>
      <w:r>
        <w:rPr>
          <w:rFonts w:ascii="Courier New" w:cs="Courier New" w:eastAsia="Courier New" w:hAnsi="Courier New"/>
          <w:sz w:val="12"/>
          <w:szCs w:val="12"/>
          <w:color w:val="auto"/>
        </w:rPr>
        <w:t>50</w:t>
      </w:r>
    </w:p>
    <w:p>
      <w:pPr>
        <w:spacing w:after="0"/>
        <w:tabs>
          <w:tab w:leader="dot" w:pos="9880" w:val="left"/>
        </w:tabs>
        <w:rPr>
          <w:sz w:val="20"/>
          <w:szCs w:val="20"/>
          <w:color w:val="auto"/>
        </w:rPr>
      </w:pPr>
      <w:r>
        <w:rPr>
          <w:rFonts w:ascii="Courier New" w:cs="Courier New" w:eastAsia="Courier New" w:hAnsi="Courier New"/>
          <w:sz w:val="15"/>
          <w:szCs w:val="15"/>
          <w:color w:val="auto"/>
        </w:rPr>
        <w:t>DESCRIPTION OF AFG CAPITAL STOCK</w:t>
      </w:r>
      <w:r>
        <w:rPr>
          <w:sz w:val="20"/>
          <w:szCs w:val="20"/>
          <w:color w:val="auto"/>
        </w:rPr>
        <w:tab/>
      </w:r>
      <w:r>
        <w:rPr>
          <w:rFonts w:ascii="Courier New" w:cs="Courier New" w:eastAsia="Courier New" w:hAnsi="Courier New"/>
          <w:sz w:val="12"/>
          <w:szCs w:val="12"/>
          <w:color w:val="auto"/>
        </w:rPr>
        <w:t>50</w:t>
      </w:r>
    </w:p>
    <w:p>
      <w:pPr>
        <w:spacing w:after="0"/>
        <w:tabs>
          <w:tab w:leader="dot" w:pos="9880" w:val="left"/>
        </w:tabs>
        <w:rPr>
          <w:sz w:val="20"/>
          <w:szCs w:val="20"/>
          <w:color w:val="auto"/>
        </w:rPr>
      </w:pPr>
      <w:r>
        <w:rPr>
          <w:rFonts w:ascii="Courier New" w:cs="Courier New" w:eastAsia="Courier New" w:hAnsi="Courier New"/>
          <w:sz w:val="15"/>
          <w:szCs w:val="15"/>
          <w:color w:val="auto"/>
        </w:rPr>
        <w:t>COMPARISON OF SHAREHOLDER RIGHTS</w:t>
      </w:r>
      <w:r>
        <w:rPr>
          <w:sz w:val="20"/>
          <w:szCs w:val="20"/>
          <w:color w:val="auto"/>
        </w:rPr>
        <w:tab/>
      </w:r>
      <w:r>
        <w:rPr>
          <w:rFonts w:ascii="Courier New" w:cs="Courier New" w:eastAsia="Courier New" w:hAnsi="Courier New"/>
          <w:sz w:val="12"/>
          <w:szCs w:val="12"/>
          <w:color w:val="auto"/>
        </w:rPr>
        <w:t>51</w:t>
      </w:r>
    </w:p>
    <w:p>
      <w:pPr>
        <w:spacing w:after="0"/>
        <w:tabs>
          <w:tab w:leader="dot" w:pos="9880" w:val="left"/>
        </w:tabs>
        <w:rPr>
          <w:sz w:val="20"/>
          <w:szCs w:val="20"/>
          <w:color w:val="auto"/>
        </w:rPr>
      </w:pPr>
      <w:r>
        <w:rPr>
          <w:rFonts w:ascii="Courier New" w:cs="Courier New" w:eastAsia="Courier New" w:hAnsi="Courier New"/>
          <w:sz w:val="15"/>
          <w:szCs w:val="15"/>
          <w:color w:val="auto"/>
        </w:rPr>
        <w:t>SECURITY OWNERSHIP OF BENEFICIAL OWNERS AND MANAGEMENT</w:t>
      </w:r>
      <w:r>
        <w:rPr>
          <w:sz w:val="20"/>
          <w:szCs w:val="20"/>
          <w:color w:val="auto"/>
        </w:rPr>
        <w:tab/>
      </w:r>
      <w:r>
        <w:rPr>
          <w:rFonts w:ascii="Courier New" w:cs="Courier New" w:eastAsia="Courier New" w:hAnsi="Courier New"/>
          <w:sz w:val="12"/>
          <w:szCs w:val="12"/>
          <w:color w:val="auto"/>
        </w:rPr>
        <w:t>52</w:t>
      </w:r>
    </w:p>
    <w:p>
      <w:pPr>
        <w:spacing w:after="0"/>
        <w:tabs>
          <w:tab w:leader="dot" w:pos="988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2"/>
          <w:szCs w:val="12"/>
          <w:color w:val="auto"/>
        </w:rPr>
        <w:t>54</w:t>
      </w:r>
    </w:p>
    <w:p>
      <w:pPr>
        <w:sectPr>
          <w:pgSz w:w="11900" w:h="16838" w:orient="portrait"/>
          <w:cols w:equalWidth="0" w:num="1">
            <w:col w:w="10240"/>
          </w:cols>
          <w:pgMar w:left="220" w:top="785" w:right="1439" w:bottom="1440" w:gutter="0" w:footer="0" w:header="0"/>
        </w:sectPr>
      </w:pPr>
    </w:p>
    <w:bookmarkStart w:id="5" w:name="page6"/>
    <w:bookmarkEnd w:id="5"/>
    <w:p>
      <w:pPr>
        <w:spacing w:after="0"/>
        <w:tabs>
          <w:tab w:leader="dot" w:pos="988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2"/>
          <w:szCs w:val="12"/>
          <w:color w:val="auto"/>
        </w:rPr>
        <w:t>54</w:t>
      </w:r>
    </w:p>
    <w:p>
      <w:pPr>
        <w:spacing w:after="0"/>
        <w:tabs>
          <w:tab w:leader="dot" w:pos="9880" w:val="left"/>
        </w:tabs>
        <w:rPr>
          <w:sz w:val="20"/>
          <w:szCs w:val="20"/>
          <w:color w:val="auto"/>
        </w:rPr>
      </w:pPr>
      <w:r>
        <w:rPr>
          <w:rFonts w:ascii="Courier New" w:cs="Courier New" w:eastAsia="Courier New" w:hAnsi="Courier New"/>
          <w:sz w:val="15"/>
          <w:szCs w:val="15"/>
          <w:color w:val="auto"/>
        </w:rPr>
        <w:t>SHAREHOLDER PROPOSALS FOR 2004 ANNUAL MEETING</w:t>
      </w:r>
      <w:r>
        <w:rPr>
          <w:sz w:val="20"/>
          <w:szCs w:val="20"/>
          <w:color w:val="auto"/>
        </w:rPr>
        <w:tab/>
      </w:r>
      <w:r>
        <w:rPr>
          <w:rFonts w:ascii="Courier New" w:cs="Courier New" w:eastAsia="Courier New" w:hAnsi="Courier New"/>
          <w:sz w:val="12"/>
          <w:szCs w:val="12"/>
          <w:color w:val="auto"/>
        </w:rPr>
        <w:t>54</w:t>
      </w:r>
    </w:p>
    <w:p>
      <w:pPr>
        <w:spacing w:after="0"/>
        <w:tabs>
          <w:tab w:leader="dot" w:pos="988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2"/>
          <w:szCs w:val="12"/>
          <w:color w:val="auto"/>
        </w:rPr>
        <w:t>54</w:t>
      </w:r>
    </w:p>
    <w:p>
      <w:pPr>
        <w:spacing w:after="0" w:line="237" w:lineRule="auto"/>
        <w:rPr>
          <w:sz w:val="20"/>
          <w:szCs w:val="20"/>
          <w:color w:val="auto"/>
        </w:rPr>
      </w:pPr>
      <w:r>
        <w:rPr>
          <w:rFonts w:ascii="Courier New" w:cs="Courier New" w:eastAsia="Courier New" w:hAnsi="Courier New"/>
          <w:sz w:val="15"/>
          <w:szCs w:val="15"/>
          <w:color w:val="auto"/>
        </w:rPr>
        <w:t>MANAGEMENT'S DISCUSSION AND ANALYSIS OF FINANCIAL</w:t>
      </w:r>
    </w:p>
    <w:p>
      <w:pPr>
        <w:ind w:left="280"/>
        <w:spacing w:after="0" w:line="238" w:lineRule="auto"/>
        <w:rPr>
          <w:sz w:val="20"/>
          <w:szCs w:val="20"/>
          <w:color w:val="auto"/>
        </w:rPr>
      </w:pPr>
      <w:r>
        <w:rPr>
          <w:rFonts w:ascii="Courier New" w:cs="Courier New" w:eastAsia="Courier New" w:hAnsi="Courier New"/>
          <w:sz w:val="15"/>
          <w:szCs w:val="15"/>
          <w:color w:val="auto"/>
        </w:rPr>
        <w:t>CONDITION AND RESULTS OF OPERATIONS AND FINANCIAL STATEMENTS</w:t>
      </w:r>
    </w:p>
    <w:p>
      <w:pPr>
        <w:ind w:left="280"/>
        <w:spacing w:after="0"/>
        <w:tabs>
          <w:tab w:leader="dot" w:pos="9780" w:val="left"/>
        </w:tabs>
        <w:rPr>
          <w:sz w:val="20"/>
          <w:szCs w:val="20"/>
          <w:color w:val="auto"/>
        </w:rPr>
      </w:pPr>
      <w:r>
        <w:rPr>
          <w:rFonts w:ascii="Courier New" w:cs="Courier New" w:eastAsia="Courier New" w:hAnsi="Courier New"/>
          <w:sz w:val="15"/>
          <w:szCs w:val="15"/>
          <w:color w:val="auto"/>
        </w:rPr>
        <w:t>OF AMERICAN FINANCIAL CORPORATION</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A - Agreement and Plan of Reorganization Among American Financial</w:t>
      </w:r>
    </w:p>
    <w:p>
      <w:pPr>
        <w:ind w:left="880"/>
        <w:spacing w:after="0" w:line="237" w:lineRule="auto"/>
        <w:rPr>
          <w:sz w:val="20"/>
          <w:szCs w:val="20"/>
          <w:color w:val="auto"/>
        </w:rPr>
      </w:pPr>
      <w:r>
        <w:rPr>
          <w:rFonts w:ascii="Courier New" w:cs="Courier New" w:eastAsia="Courier New" w:hAnsi="Courier New"/>
          <w:sz w:val="15"/>
          <w:szCs w:val="15"/>
          <w:color w:val="auto"/>
        </w:rPr>
        <w:t>Group, Inc., AFC Holding Company and American Financial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B - Opinion of Duff &amp; Phelps, LLC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C - Section 1701.84 and 1701.85 of the Ohio Revised Code</w:t>
      </w:r>
    </w:p>
    <w:p>
      <w:pPr>
        <w:sectPr>
          <w:pgSz w:w="11900" w:h="16838" w:orient="portrait"/>
          <w:cols w:equalWidth="0" w:num="1">
            <w:col w:w="10239"/>
          </w:cols>
          <w:pgMar w:left="220" w:top="1122" w:right="1440" w:bottom="1440" w:gutter="0" w:footer="0" w:header="0"/>
        </w:sectPr>
      </w:pPr>
    </w:p>
    <w:bookmarkStart w:id="6" w:name="page7"/>
    <w:bookmarkEnd w:id="6"/>
    <w:p>
      <w:pPr>
        <w:ind w:left="1490"/>
        <w:spacing w:after="0"/>
        <w:rPr>
          <w:sz w:val="20"/>
          <w:szCs w:val="20"/>
          <w:color w:val="auto"/>
        </w:rPr>
      </w:pPr>
      <w:r>
        <w:rPr>
          <w:rFonts w:ascii="Courier New" w:cs="Courier New" w:eastAsia="Courier New" w:hAnsi="Courier New"/>
          <w:sz w:val="15"/>
          <w:szCs w:val="15"/>
          <w:color w:val="auto"/>
        </w:rPr>
        <w:t>QUESTIONS AND ANSWERS ABOUT THE REORGANIZATION</w:t>
      </w:r>
    </w:p>
    <w:p>
      <w:pPr>
        <w:spacing w:after="0" w:line="335" w:lineRule="exact"/>
        <w:rPr>
          <w:sz w:val="20"/>
          <w:szCs w:val="20"/>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OCCUR IN THE REORGANIZATION?</w:t>
      </w:r>
    </w:p>
    <w:p>
      <w:pPr>
        <w:spacing w:after="0" w:line="173" w:lineRule="exact"/>
        <w:rPr>
          <w:sz w:val="20"/>
          <w:szCs w:val="20"/>
          <w:color w:val="auto"/>
        </w:rPr>
      </w:pPr>
    </w:p>
    <w:p>
      <w:pPr>
        <w:ind w:left="790" w:right="3239" w:hanging="790"/>
        <w:spacing w:after="0" w:line="236" w:lineRule="auto"/>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reorganization, AFC will merge into AFG. We refer to this merger as the AFC merger. In addition, immediately before the merger of AFC into AFG, AFC Holding will merge into AFG. We refer to this merger as the AFC Holding merger. We refer to the AFC merger and the AFC Holding merger collectively as the reorganization.</w:t>
      </w:r>
    </w:p>
    <w:p>
      <w:pPr>
        <w:spacing w:after="0" w:line="167" w:lineRule="exact"/>
        <w:rPr>
          <w:sz w:val="20"/>
          <w:szCs w:val="20"/>
          <w:color w:val="auto"/>
        </w:rPr>
      </w:pPr>
    </w:p>
    <w:p>
      <w:pPr>
        <w:ind w:left="790" w:hanging="790"/>
        <w:spacing w:after="0"/>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IS ENTITLED TO VOTE ON THE REORGANIZATION?</w:t>
      </w:r>
    </w:p>
    <w:p>
      <w:pPr>
        <w:spacing w:after="0" w:line="173" w:lineRule="exact"/>
        <w:rPr>
          <w:sz w:val="20"/>
          <w:szCs w:val="20"/>
          <w:color w:val="auto"/>
        </w:rPr>
      </w:pPr>
    </w:p>
    <w:p>
      <w:pPr>
        <w:ind w:left="790" w:right="3759" w:hanging="790"/>
        <w:spacing w:after="0" w:line="235" w:lineRule="auto"/>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common stock and Series J Preferred Stock of AFC are entitled to vote on the AFC merger. Because AFC Holding is a wholly-owed subsidiary of AFG, no shareholder vote is required to effect the AFC Holding merger.</w:t>
      </w:r>
    </w:p>
    <w:p>
      <w:pPr>
        <w:spacing w:after="0" w:line="169" w:lineRule="exact"/>
        <w:rPr>
          <w:sz w:val="20"/>
          <w:szCs w:val="20"/>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I RECEIVE FOR MY SHARES OF SERIES J PREFERRED STOCK?</w:t>
      </w:r>
    </w:p>
    <w:p>
      <w:pPr>
        <w:spacing w:after="0" w:line="166" w:lineRule="exact"/>
        <w:rPr>
          <w:sz w:val="20"/>
          <w:szCs w:val="20"/>
          <w:color w:val="auto"/>
        </w:rPr>
      </w:pPr>
    </w:p>
    <w:p>
      <w:pPr>
        <w:ind w:left="790" w:hanging="790"/>
        <w:spacing w:after="0"/>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 in value plus accrued dividends in shares of common stock of</w:t>
      </w:r>
    </w:p>
    <w:p>
      <w:pPr>
        <w:sectPr>
          <w:pgSz w:w="11900" w:h="16838" w:orient="portrait"/>
          <w:cols w:equalWidth="0" w:num="1">
            <w:col w:w="10229"/>
          </w:cols>
          <w:pgMar w:left="230" w:top="1122" w:right="1440" w:bottom="1440" w:gutter="0" w:footer="0" w:header="0"/>
        </w:sectPr>
      </w:pPr>
    </w:p>
    <w:p>
      <w:pPr>
        <w:spacing w:after="0" w:line="5" w:lineRule="exact"/>
        <w:rPr>
          <w:sz w:val="20"/>
          <w:szCs w:val="20"/>
          <w:color w:val="auto"/>
        </w:rPr>
      </w:pPr>
    </w:p>
    <w:p>
      <w:pPr>
        <w:ind w:left="790" w:right="3239"/>
        <w:spacing w:after="0" w:line="235" w:lineRule="auto"/>
        <w:rPr>
          <w:sz w:val="20"/>
          <w:szCs w:val="20"/>
          <w:color w:val="auto"/>
        </w:rPr>
      </w:pPr>
      <w:r>
        <w:rPr>
          <w:rFonts w:ascii="Courier New" w:cs="Courier New" w:eastAsia="Courier New" w:hAnsi="Courier New"/>
          <w:sz w:val="15"/>
          <w:szCs w:val="15"/>
          <w:color w:val="auto"/>
        </w:rPr>
        <w:t>AFG for each share of Series J Preferred Stock you own, plus a small amount of cash instead of a fractional share. The number of shares to be received in exchange for each share of Series J Preferred Stock will be calculated as provided on Page of this document.</w:t>
      </w:r>
    </w:p>
    <w:p>
      <w:pPr>
        <w:sectPr>
          <w:pgSz w:w="11900" w:h="16838" w:orient="portrait"/>
          <w:cols w:equalWidth="0" w:num="1">
            <w:col w:w="10229"/>
          </w:cols>
          <w:pgMar w:left="230" w:top="1122" w:right="1440" w:bottom="1440" w:gutter="0" w:footer="0" w:header="0"/>
          <w:type w:val="continuous"/>
        </w:sectPr>
      </w:pPr>
    </w:p>
    <w:p>
      <w:pPr>
        <w:spacing w:after="0" w:line="169" w:lineRule="exact"/>
        <w:rPr>
          <w:sz w:val="20"/>
          <w:szCs w:val="20"/>
          <w:color w:val="auto"/>
        </w:rPr>
      </w:pPr>
    </w:p>
    <w:p>
      <w:pPr>
        <w:ind w:left="790" w:hanging="790"/>
        <w:spacing w:after="0"/>
        <w:tabs>
          <w:tab w:leader="none" w:pos="7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DID AFC APPOINT A SPECIAL COMMITTEE OF ITS BOARD OF DIRECTORS?</w:t>
      </w:r>
    </w:p>
    <w:p>
      <w:pPr>
        <w:spacing w:after="0" w:line="173" w:lineRule="exact"/>
        <w:rPr>
          <w:sz w:val="20"/>
          <w:szCs w:val="20"/>
          <w:color w:val="auto"/>
        </w:rPr>
      </w:pPr>
    </w:p>
    <w:p>
      <w:pPr>
        <w:ind w:left="790" w:right="3239" w:hanging="790"/>
        <w:spacing w:after="0" w:line="237"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AFG owns all outstanding shares of common stock of AFC Holding which owns all outstanding shares of common stock of AFC. Also, the boards of directors and senior executive officers of AFG, AFC Holding and AFC were identical until three members of the AFC board resigned and three new members, none of whom was employed or affiliated with any of AFG, AFC, AFC Holding or any of their respective subsidiaries, were elected to the board, after which the negotiation of the merger agreement began. These three newly-elected members of AFC's board of directors serve as the special committee. This special committee was appointed to evaluate and negotiate the terms of the AFC merger on behalf of the public holders of the Series J Preferred Stock before recommending to AFC's full board of directors whether to proceed with the proposed AFC merger.</w:t>
      </w:r>
    </w:p>
    <w:p>
      <w:pPr>
        <w:spacing w:after="0" w:line="167" w:lineRule="exact"/>
        <w:rPr>
          <w:sz w:val="20"/>
          <w:szCs w:val="20"/>
          <w:color w:val="auto"/>
        </w:rPr>
      </w:pPr>
    </w:p>
    <w:p>
      <w:pPr>
        <w:ind w:left="790" w:hanging="790"/>
        <w:spacing w:after="0"/>
        <w:tabs>
          <w:tab w:leader="none" w:pos="79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DO YOU EXPECT THE REORGANIZATION TO BE COMPLETED?</w:t>
      </w:r>
    </w:p>
    <w:p>
      <w:pPr>
        <w:spacing w:after="0" w:line="166" w:lineRule="exact"/>
        <w:rPr>
          <w:sz w:val="20"/>
          <w:szCs w:val="20"/>
          <w:color w:val="auto"/>
        </w:rPr>
      </w:pPr>
    </w:p>
    <w:p>
      <w:pPr>
        <w:ind w:left="790" w:hanging="790"/>
        <w:spacing w:after="0"/>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hope to complete the reorganization in the third quarter of</w:t>
      </w:r>
    </w:p>
    <w:p>
      <w:pPr>
        <w:spacing w:after="0" w:line="4" w:lineRule="exact"/>
        <w:rPr>
          <w:rFonts w:ascii="Courier New" w:cs="Courier New" w:eastAsia="Courier New" w:hAnsi="Courier New"/>
          <w:sz w:val="15"/>
          <w:szCs w:val="15"/>
          <w:color w:val="auto"/>
        </w:rPr>
      </w:pPr>
    </w:p>
    <w:p>
      <w:pPr>
        <w:ind w:left="79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2003 and are working to complete it as quickly as possible. In order to complete the reorganization, we need approval of the AFC merger by AFC's Series J Preferred shareholders.</w:t>
      </w:r>
    </w:p>
    <w:p>
      <w:pPr>
        <w:spacing w:after="0" w:line="167" w:lineRule="exact"/>
        <w:rPr>
          <w:sz w:val="20"/>
          <w:szCs w:val="20"/>
          <w:color w:val="auto"/>
        </w:rPr>
      </w:pPr>
    </w:p>
    <w:p>
      <w:pPr>
        <w:ind w:left="790" w:hanging="790"/>
        <w:spacing w:after="0"/>
        <w:tabs>
          <w:tab w:leader="none" w:pos="79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AND WHERE WILL THE SPECIAL MEETING TAKE PLACE?</w:t>
      </w:r>
    </w:p>
    <w:p>
      <w:pPr>
        <w:spacing w:after="0" w:line="166"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AFC will hold the special meeting at __:00 a.m. Eastern Time on</w:t>
      </w:r>
    </w:p>
    <w:p>
      <w:pPr>
        <w:ind w:left="79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 at ________________, Cincinnati, Ohio.</w:t>
      </w:r>
    </w:p>
    <w:p>
      <w:pPr>
        <w:spacing w:after="0" w:line="166"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IS THE VOTE REQUIRED AT THE SPECIAL MEETING?</w:t>
      </w:r>
    </w:p>
    <w:p>
      <w:pPr>
        <w:spacing w:after="0" w:line="172" w:lineRule="exact"/>
        <w:rPr>
          <w:rFonts w:ascii="Courier New" w:cs="Courier New" w:eastAsia="Courier New" w:hAnsi="Courier New"/>
          <w:sz w:val="15"/>
          <w:szCs w:val="15"/>
          <w:color w:val="auto"/>
        </w:rPr>
      </w:pPr>
    </w:p>
    <w:p>
      <w:pPr>
        <w:ind w:left="790" w:right="3319" w:hanging="790"/>
        <w:spacing w:after="0" w:line="255" w:lineRule="auto"/>
        <w:tabs>
          <w:tab w:leader="none" w:pos="79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Ohio law requires that AFC's shareholders must approve the AFC merger by a vote of a majority of AFC's outstanding total voting power and a majority of AFC's outstanding shares of Series J Preferred Stock. In addition to the shareholder approvals required by Ohio law, the merger agreement also requires the additional approval of a majority of outstanding Series J Preferred Stock voting on the AFC merger, excluding those shares beneficially owned by AFG, AFG's directors, executive officers, Carl H. Lindner and certain of their respective affiliates. AFG, which owns 79% of AFC's outstanding total voting power, has indicated that it will vote in favor of the AFC merger, assuring the approval of a majority of AFC's total voting power.</w:t>
      </w:r>
    </w:p>
    <w:p>
      <w:pPr>
        <w:spacing w:after="0" w:line="326"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1122" w:right="1440" w:bottom="1440" w:gutter="0" w:footer="0" w:header="0"/>
          <w:type w:val="continuous"/>
        </w:sectPr>
      </w:pPr>
    </w:p>
    <w:bookmarkStart w:id="7" w:name="page8"/>
    <w:bookmarkEnd w:id="7"/>
    <w:p>
      <w:pPr>
        <w:ind w:left="790" w:hanging="790"/>
        <w:spacing w:after="0"/>
        <w:tabs>
          <w:tab w:leader="none" w:pos="79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DO I NEED TO DO NOW?</w:t>
      </w:r>
    </w:p>
    <w:p>
      <w:pPr>
        <w:spacing w:after="0" w:line="173" w:lineRule="exact"/>
        <w:rPr>
          <w:sz w:val="20"/>
          <w:szCs w:val="20"/>
          <w:color w:val="auto"/>
        </w:rPr>
      </w:pPr>
    </w:p>
    <w:p>
      <w:pPr>
        <w:ind w:left="790" w:right="3319" w:hanging="790"/>
        <w:spacing w:after="0" w:line="235" w:lineRule="auto"/>
        <w:tabs>
          <w:tab w:leader="none" w:pos="79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reviewing this proxy statement/prospectus, mail your completed, signed and dated proxy card in the enclosed return envelope as soon as possible so that your shares will be represented at the special meeting.</w:t>
      </w:r>
    </w:p>
    <w:p>
      <w:pPr>
        <w:spacing w:after="0" w:line="175" w:lineRule="exact"/>
        <w:rPr>
          <w:sz w:val="20"/>
          <w:szCs w:val="20"/>
          <w:color w:val="auto"/>
        </w:rPr>
      </w:pPr>
    </w:p>
    <w:p>
      <w:pPr>
        <w:ind w:left="790" w:right="3579" w:hanging="790"/>
        <w:spacing w:after="0" w:line="234" w:lineRule="auto"/>
        <w:tabs>
          <w:tab w:leader="none" w:pos="79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SHARES ARE HELD IN "STREET NAME" BY MY BROKER, WILL MY BROKER VOTE MY SHARES FOR ME?</w:t>
      </w:r>
    </w:p>
    <w:p>
      <w:pPr>
        <w:spacing w:after="0" w:line="173" w:lineRule="exact"/>
        <w:rPr>
          <w:sz w:val="20"/>
          <w:szCs w:val="20"/>
          <w:color w:val="auto"/>
        </w:rPr>
      </w:pPr>
    </w:p>
    <w:p>
      <w:pPr>
        <w:ind w:left="790" w:right="3399" w:hanging="790"/>
        <w:spacing w:after="0" w:line="235" w:lineRule="auto"/>
        <w:tabs>
          <w:tab w:leader="none" w:pos="7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broker will vote your shares only if you provide instructions on how to vote. You should follow the directions provided by your brokerage firm regarding how to instruct them to vote your shares.</w:t>
      </w:r>
    </w:p>
    <w:p>
      <w:pPr>
        <w:spacing w:after="0" w:line="167" w:lineRule="exact"/>
        <w:rPr>
          <w:sz w:val="20"/>
          <w:szCs w:val="20"/>
          <w:color w:val="auto"/>
        </w:rPr>
      </w:pPr>
    </w:p>
    <w:p>
      <w:pPr>
        <w:ind w:left="790" w:hanging="790"/>
        <w:spacing w:after="0"/>
        <w:tabs>
          <w:tab w:leader="none" w:pos="79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I CHANGE MY VOTE AFTER I HAVE MAILED MY SIGNED PROXY CARD?</w:t>
      </w:r>
    </w:p>
    <w:p>
      <w:pPr>
        <w:spacing w:after="0" w:line="173" w:lineRule="exact"/>
        <w:rPr>
          <w:sz w:val="20"/>
          <w:szCs w:val="20"/>
          <w:color w:val="auto"/>
        </w:rPr>
      </w:pPr>
    </w:p>
    <w:p>
      <w:pPr>
        <w:jc w:val="both"/>
        <w:ind w:left="790" w:right="3239" w:hanging="790"/>
        <w:spacing w:after="0" w:line="254" w:lineRule="auto"/>
        <w:tabs>
          <w:tab w:leader="none" w:pos="79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You can change your vote at any time before your proxy is voted at the special meeting. You can do this in three ways. First, you can send AFC a written statement that you would like to revoke your proxy.</w:t>
      </w:r>
    </w:p>
    <w:p>
      <w:pPr>
        <w:spacing w:after="0" w:line="1" w:lineRule="exact"/>
        <w:rPr>
          <w:rFonts w:ascii="Courier New" w:cs="Courier New" w:eastAsia="Courier New" w:hAnsi="Courier New"/>
          <w:sz w:val="14"/>
          <w:szCs w:val="14"/>
          <w:color w:val="auto"/>
        </w:rPr>
      </w:pPr>
    </w:p>
    <w:p>
      <w:pPr>
        <w:ind w:left="790"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Second, you can send AFC a new signed and later-dated proxy card. Third, you can attend AFC's special meeting and vote in person. However, your attendance at the special meeting alone will not revoke your proxy.</w:t>
      </w:r>
    </w:p>
    <w:p>
      <w:pPr>
        <w:spacing w:after="0" w:line="169" w:lineRule="exact"/>
        <w:rPr>
          <w:sz w:val="20"/>
          <w:szCs w:val="20"/>
          <w:color w:val="auto"/>
        </w:rPr>
      </w:pPr>
    </w:p>
    <w:p>
      <w:pPr>
        <w:ind w:left="790" w:hanging="790"/>
        <w:spacing w:after="0"/>
        <w:tabs>
          <w:tab w:leader="none" w:pos="79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WILL MY SHARES BE VOTED IF I RETURN A BLANK PROXY CARD?</w:t>
      </w:r>
    </w:p>
    <w:p>
      <w:pPr>
        <w:spacing w:after="0" w:line="172" w:lineRule="exact"/>
        <w:rPr>
          <w:rFonts w:ascii="Courier New" w:cs="Courier New" w:eastAsia="Courier New" w:hAnsi="Courier New"/>
          <w:sz w:val="15"/>
          <w:szCs w:val="15"/>
          <w:color w:val="auto"/>
        </w:rPr>
      </w:pPr>
    </w:p>
    <w:p>
      <w:pPr>
        <w:ind w:left="790" w:right="3319" w:hanging="790"/>
        <w:spacing w:after="0" w:line="235" w:lineRule="auto"/>
        <w:tabs>
          <w:tab w:leader="none" w:pos="7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sign and send in your proxy and do not indicate how you want to vote, your proxy will be counted as a vote in favor of the reorganization.</w:t>
      </w:r>
    </w:p>
    <w:p>
      <w:pPr>
        <w:spacing w:after="0" w:line="167"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BE THE EFFECT IF I DO NOT VOTE?</w:t>
      </w:r>
    </w:p>
    <w:p>
      <w:pPr>
        <w:spacing w:after="0" w:line="172" w:lineRule="exact"/>
        <w:rPr>
          <w:rFonts w:ascii="Courier New" w:cs="Courier New" w:eastAsia="Courier New" w:hAnsi="Courier New"/>
          <w:sz w:val="15"/>
          <w:szCs w:val="15"/>
          <w:color w:val="auto"/>
        </w:rPr>
      </w:pPr>
    </w:p>
    <w:p>
      <w:pPr>
        <w:ind w:left="790" w:right="3319" w:hanging="790"/>
        <w:spacing w:after="0" w:line="255" w:lineRule="auto"/>
        <w:tabs>
          <w:tab w:leader="none" w:pos="79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three voting requirements to approve the AFC merger, the approval of a majority of AFC's total voting power is assured. With respect to the requirement that the AFC merger be approved by a majority of AFC's outstanding shares of Series J Preferred Stock, not voting will have the same effect as voting against the reorganization. With respect to the requirement that the AFC merger be approved by a majority of shares of Series J Preferred Stock (other than shares owned by certain affiliates) actually voting, not voting will have no effect. As a result, shareholders wishing to reject the AFC merger should vote against the proposition, and shareholders wishing to approve the AFC merger should vote for the proposition.</w:t>
      </w:r>
    </w:p>
    <w:p>
      <w:pPr>
        <w:spacing w:after="0" w:line="158" w:lineRule="exact"/>
        <w:rPr>
          <w:sz w:val="20"/>
          <w:szCs w:val="20"/>
          <w:color w:val="auto"/>
        </w:rPr>
      </w:pPr>
    </w:p>
    <w:p>
      <w:pPr>
        <w:ind w:left="790" w:hanging="790"/>
        <w:spacing w:after="0"/>
        <w:tabs>
          <w:tab w:leader="none" w:pos="79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I SEND IN MY SERIES J PREFERRED STOCK CERTIFICATE NOW?</w:t>
      </w:r>
    </w:p>
    <w:p>
      <w:pPr>
        <w:spacing w:after="0" w:line="173" w:lineRule="exact"/>
        <w:rPr>
          <w:sz w:val="20"/>
          <w:szCs w:val="20"/>
          <w:color w:val="auto"/>
        </w:rPr>
      </w:pPr>
    </w:p>
    <w:p>
      <w:pPr>
        <w:ind w:left="790" w:right="3839" w:hanging="790"/>
        <w:spacing w:after="0" w:line="234" w:lineRule="auto"/>
        <w:tabs>
          <w:tab w:leader="none" w:pos="79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If the reorganization is completed, you will receive written instructions for exchanging your stock certificates.</w:t>
      </w:r>
    </w:p>
    <w:p>
      <w:pPr>
        <w:spacing w:after="0" w:line="167" w:lineRule="exact"/>
        <w:rPr>
          <w:sz w:val="20"/>
          <w:szCs w:val="20"/>
          <w:color w:val="auto"/>
        </w:rPr>
      </w:pPr>
    </w:p>
    <w:p>
      <w:pPr>
        <w:ind w:left="790" w:hanging="790"/>
        <w:spacing w:after="0"/>
        <w:tabs>
          <w:tab w:leader="none" w:pos="79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CAN ANSWER MY QUESTIONS ABOUT THE REORGANIZATION?</w:t>
      </w:r>
    </w:p>
    <w:p>
      <w:pPr>
        <w:spacing w:after="0" w:line="172" w:lineRule="exact"/>
        <w:rPr>
          <w:rFonts w:ascii="Courier New" w:cs="Courier New" w:eastAsia="Courier New" w:hAnsi="Courier New"/>
          <w:sz w:val="15"/>
          <w:szCs w:val="15"/>
          <w:color w:val="auto"/>
        </w:rPr>
      </w:pPr>
    </w:p>
    <w:p>
      <w:pPr>
        <w:ind w:left="790" w:right="3399" w:hanging="790"/>
        <w:spacing w:after="0" w:line="235" w:lineRule="auto"/>
        <w:tabs>
          <w:tab w:leader="none" w:pos="7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have more questions about the reorganization, please call Karl J. Grafe, Assistant General Counsel and Assistant Secretary, at (513) 579-2540.</w:t>
      </w:r>
    </w:p>
    <w:p>
      <w:pPr>
        <w:spacing w:after="0" w:line="174" w:lineRule="exact"/>
        <w:rPr>
          <w:sz w:val="20"/>
          <w:szCs w:val="20"/>
          <w:color w:val="auto"/>
        </w:rPr>
      </w:pPr>
    </w:p>
    <w:p>
      <w:pPr>
        <w:ind w:left="790" w:right="3579"/>
        <w:spacing w:after="0" w:line="235" w:lineRule="auto"/>
        <w:rPr>
          <w:sz w:val="20"/>
          <w:szCs w:val="20"/>
          <w:color w:val="auto"/>
        </w:rPr>
      </w:pPr>
      <w:r>
        <w:rPr>
          <w:rFonts w:ascii="Courier New" w:cs="Courier New" w:eastAsia="Courier New" w:hAnsi="Courier New"/>
          <w:sz w:val="15"/>
          <w:szCs w:val="15"/>
          <w:color w:val="auto"/>
        </w:rPr>
        <w:t>In addition, the firm of Morrow &amp; Co. will be assisting AFC in soliciting proxies from holders of Series J Preferred Stock for the special meeting.</w:t>
      </w:r>
    </w:p>
    <w:p>
      <w:pPr>
        <w:spacing w:after="0" w:line="200" w:lineRule="exact"/>
        <w:rPr>
          <w:sz w:val="20"/>
          <w:szCs w:val="20"/>
          <w:color w:val="auto"/>
        </w:rPr>
      </w:pPr>
    </w:p>
    <w:p>
      <w:pPr>
        <w:spacing w:after="0" w:line="304"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17" w:right="1440" w:bottom="1440" w:gutter="0" w:footer="0" w:header="0"/>
        </w:sectPr>
      </w:pPr>
    </w:p>
    <w:bookmarkStart w:id="8" w:name="page9"/>
    <w:bookmarkEnd w:id="8"/>
    <w:p>
      <w:pPr>
        <w:spacing w:after="0" w:line="18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SUMMARY</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COMPANIES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FINANCIAL GROUP, INC.</w:t>
      </w:r>
    </w:p>
    <w:p>
      <w:pPr>
        <w:spacing w:after="0" w:line="237" w:lineRule="auto"/>
        <w:rPr>
          <w:sz w:val="20"/>
          <w:szCs w:val="20"/>
          <w:color w:val="auto"/>
        </w:rPr>
      </w:pPr>
      <w:r>
        <w:rPr>
          <w:rFonts w:ascii="Courier New" w:cs="Courier New" w:eastAsia="Courier New" w:hAnsi="Courier New"/>
          <w:sz w:val="15"/>
          <w:szCs w:val="15"/>
          <w:color w:val="auto"/>
        </w:rPr>
        <w:t>One East Fourth Street</w:t>
      </w:r>
    </w:p>
    <w:p>
      <w:pPr>
        <w:spacing w:after="0"/>
        <w:tabs>
          <w:tab w:leader="none" w:pos="156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spacing w:after="0" w:line="237" w:lineRule="auto"/>
        <w:rPr>
          <w:sz w:val="20"/>
          <w:szCs w:val="20"/>
          <w:color w:val="auto"/>
        </w:rPr>
      </w:pPr>
      <w:r>
        <w:rPr>
          <w:rFonts w:ascii="Courier New" w:cs="Courier New" w:eastAsia="Courier New" w:hAnsi="Courier New"/>
          <w:sz w:val="15"/>
          <w:szCs w:val="15"/>
          <w:color w:val="auto"/>
        </w:rPr>
        <w:t>(513) 579-2121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AFG is a holding company which, through AFC Holding, AFC and their subsidiaries, is engaged primarily in property and casualty insurance, focusing on specialized commercial products for businesses, and in the sale of retirement annuities, life, and supplemental health insurance products. AFG was incorporated as an Ohio corporation in 1997 for the purpose of merging predecessor holding companies, one of which was AFC, which was originally incorporated in 1955. Our insurance subsidiaries have been operating as far back as the 1800s.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AFC HOLDING COMPANY</w:t>
      </w:r>
    </w:p>
    <w:p>
      <w:pPr>
        <w:spacing w:after="0" w:line="237" w:lineRule="auto"/>
        <w:rPr>
          <w:sz w:val="20"/>
          <w:szCs w:val="20"/>
          <w:color w:val="auto"/>
        </w:rPr>
      </w:pPr>
      <w:r>
        <w:rPr>
          <w:rFonts w:ascii="Courier New" w:cs="Courier New" w:eastAsia="Courier New" w:hAnsi="Courier New"/>
          <w:sz w:val="15"/>
          <w:szCs w:val="15"/>
          <w:color w:val="auto"/>
        </w:rPr>
        <w:t>One East Fourth Street</w:t>
      </w:r>
    </w:p>
    <w:p>
      <w:pPr>
        <w:spacing w:after="0"/>
        <w:tabs>
          <w:tab w:leader="none" w:pos="156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spacing w:after="0" w:line="237" w:lineRule="auto"/>
        <w:rPr>
          <w:sz w:val="20"/>
          <w:szCs w:val="20"/>
          <w:color w:val="auto"/>
        </w:rPr>
      </w:pPr>
      <w:r>
        <w:rPr>
          <w:rFonts w:ascii="Courier New" w:cs="Courier New" w:eastAsia="Courier New" w:hAnsi="Courier New"/>
          <w:sz w:val="15"/>
          <w:szCs w:val="15"/>
          <w:color w:val="auto"/>
        </w:rPr>
        <w:t>(513) 579-2121</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AFC Holding Company is a wholly-owned, intermediate-level holding company of AFG. AFC Holding directly owns all outstanding shares of common stock of AFC.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FINANCIAL CORPORATION</w:t>
      </w:r>
    </w:p>
    <w:p>
      <w:pPr>
        <w:spacing w:after="0" w:line="237" w:lineRule="auto"/>
        <w:rPr>
          <w:sz w:val="20"/>
          <w:szCs w:val="20"/>
          <w:color w:val="auto"/>
        </w:rPr>
      </w:pPr>
      <w:r>
        <w:rPr>
          <w:rFonts w:ascii="Courier New" w:cs="Courier New" w:eastAsia="Courier New" w:hAnsi="Courier New"/>
          <w:sz w:val="15"/>
          <w:szCs w:val="15"/>
          <w:color w:val="auto"/>
        </w:rPr>
        <w:t>One East Fourth Street</w:t>
      </w:r>
    </w:p>
    <w:p>
      <w:pPr>
        <w:spacing w:after="0" w:line="238" w:lineRule="auto"/>
        <w:rPr>
          <w:sz w:val="20"/>
          <w:szCs w:val="20"/>
          <w:color w:val="auto"/>
        </w:rPr>
      </w:pPr>
      <w:r>
        <w:rPr>
          <w:rFonts w:ascii="Courier New" w:cs="Courier New" w:eastAsia="Courier New" w:hAnsi="Courier New"/>
          <w:sz w:val="15"/>
          <w:szCs w:val="15"/>
          <w:color w:val="auto"/>
        </w:rPr>
        <w:t>Cincinnati, Ohio 45202</w:t>
      </w:r>
    </w:p>
    <w:p>
      <w:pPr>
        <w:spacing w:after="0" w:line="237" w:lineRule="auto"/>
        <w:rPr>
          <w:sz w:val="20"/>
          <w:szCs w:val="20"/>
          <w:color w:val="auto"/>
        </w:rPr>
      </w:pPr>
      <w:r>
        <w:rPr>
          <w:rFonts w:ascii="Courier New" w:cs="Courier New" w:eastAsia="Courier New" w:hAnsi="Courier New"/>
          <w:sz w:val="15"/>
          <w:szCs w:val="15"/>
          <w:color w:val="auto"/>
        </w:rPr>
        <w:t>(513) 579-2121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AFC is a holding company, majority-owned subsidiary of AFG. All of the outstanding shares of common stock, representing approximately 79% of the voting power of AFC, is owned by AFC Holding. The Series J Preferred Stock of AFC is publicly traded through the Archipelago system on the Pacific Stock Exchange and represents the remaining 21% of the voting power of AFC.</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REORGANIZATION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the AFC merger, AFC will merge into AFG. The holders of Series J Preferred Stock will receive $25.00 in value plus accrued dividends all in shares of common stock of AFG for each share of preferred stock owned calculated as provided in the Agreement and Plan of Reorganization, and all shares of common stock of AFC will be canceled. Immediately before the merger of AFC into AFG, AFC Holding, a wholly-owned subsidiary of AFG, will merge into AFG. The reorganization will be effected through the Agreement and Plan of Reorganization among AFC, AFC Holding and AFG, which we refer to as the merger agreement.</w:t>
      </w:r>
    </w:p>
    <w:p>
      <w:pPr>
        <w:spacing w:after="0" w:line="15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RECENT DEVELOPMENTS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February 2003, Infinity Property and Casualty Corporation completed its initial public offering of common stock. Before the initial public offering, Infinity was a wholly-owned subsidiary of AFG. In the initial public offering, AFG sold a total of 12.5 million shares of Infinity common stock and received total net proceeds of approximately $186 million. AFG continues to own approximately 38% of Infinity's outstanding common stock.</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May 21, 2003, AFG was notified of an adverse arbitration decision against its principal property and casualty insurance company subsidiary, Great American Insurance Company. The decision concerned Great American's share of a 1995 property fire and business interruption claim. AFG's second quarter earnings are expected to include an after tax charge of approximately $29 million or $0.41 per share for the claim.</w:t>
      </w:r>
    </w:p>
    <w:p>
      <w:pPr>
        <w:spacing w:after="0" w:line="16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REASONS FOR THE REORGANIZATION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reorganization will:</w:t>
      </w:r>
    </w:p>
    <w:p>
      <w:pPr>
        <w:spacing w:after="0" w:line="166" w:lineRule="exact"/>
        <w:rPr>
          <w:sz w:val="20"/>
          <w:szCs w:val="20"/>
          <w:color w:val="auto"/>
        </w:rPr>
      </w:pPr>
    </w:p>
    <w:p>
      <w:pPr>
        <w:ind w:left="1060" w:hanging="351"/>
        <w:spacing w:after="0"/>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AFG's corporate and tax structure;</w:t>
      </w:r>
    </w:p>
    <w:p>
      <w:pPr>
        <w:ind w:left="1060" w:hanging="351"/>
        <w:spacing w:after="0" w:line="237"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 AFG's leverage ratios and cash flow;</w:t>
      </w:r>
    </w:p>
    <w:p>
      <w:pPr>
        <w:ind w:left="1060" w:hanging="351"/>
        <w:spacing w:after="0" w:line="237"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Strengthen AFG's balance sheet;</w:t>
      </w:r>
    </w:p>
    <w:p>
      <w:pPr>
        <w:ind w:left="1060" w:hanging="351"/>
        <w:spacing w:after="0" w:line="237"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Facilitate future capital raising; and</w:t>
      </w:r>
    </w:p>
    <w:p>
      <w:pPr>
        <w:ind w:left="1060" w:hanging="351"/>
        <w:spacing w:after="0" w:line="237"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AFC as a reporting company.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1440" w:right="1440" w:bottom="1440" w:gutter="0" w:footer="0" w:header="0"/>
        </w:sectPr>
      </w:pPr>
    </w:p>
    <w:bookmarkStart w:id="9" w:name="page10"/>
    <w:bookmarkEnd w:id="9"/>
    <w:p>
      <w:pPr>
        <w:jc w:val="center"/>
        <w:ind w:right="3139"/>
        <w:spacing w:after="0"/>
        <w:rPr>
          <w:sz w:val="20"/>
          <w:szCs w:val="20"/>
          <w:color w:val="auto"/>
        </w:rPr>
      </w:pPr>
      <w:r>
        <w:rPr>
          <w:rFonts w:ascii="Courier New" w:cs="Courier New" w:eastAsia="Courier New" w:hAnsi="Courier New"/>
          <w:sz w:val="15"/>
          <w:szCs w:val="15"/>
          <w:color w:val="auto"/>
        </w:rPr>
        <w:t>STOCK OWNERSHIP</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June 30, 2003, Carl H. Lindner, S. Craig Lindner, Carl H. Lindner III, Keith E. Lindner and trusts for their benefit (collectively, the "Lindner Family") were the beneficial owners of approximately 44.7% of the AFG common stock. The Lindner Family may be deemed to be controlling persons of AFG. AFG beneficially owns all outstanding shares of AFC common stock, representing approximately 79% of the outstanding total voting power of AFC.</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addition to the shareholder approvals required by Ohio law, the merger agreement also requires the additional approval of a majority of outstanding Series J Preferred Stock voting on the AFC merger, excluding those shares beneficially owned by AFG, AFG's directors, executive officers, Carl H. Lindner, and certain of their respective affiliates. At June 30, 2003, these persons collectively beneficially owned approximately 185,000 shares, or 6.4%, of the outstanding Series J Preferred Stock.</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SPECIAL COMMITTEE OF AFC'S</w:t>
      </w:r>
    </w:p>
    <w:p>
      <w:pPr>
        <w:jc w:val="center"/>
        <w:ind w:right="3239"/>
        <w:spacing w:after="0" w:line="237" w:lineRule="auto"/>
        <w:rPr>
          <w:sz w:val="20"/>
          <w:szCs w:val="20"/>
          <w:color w:val="auto"/>
        </w:rPr>
      </w:pPr>
      <w:r>
        <w:rPr>
          <w:rFonts w:ascii="Courier New" w:cs="Courier New" w:eastAsia="Courier New" w:hAnsi="Courier New"/>
          <w:sz w:val="15"/>
          <w:szCs w:val="15"/>
          <w:color w:val="auto"/>
        </w:rPr>
        <w:t>BOARD OF DIRECTORS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AFC board of directors appointed a special committee of the board of directors, consisting of three newly-elected members of the board who are not employees of, or otherwise affiliated with, either AFG or AFC. This special committee was appointed to evaluate and negotiate the terms of the AFC merger on behalf of the public holders of the Series J Preferred Stock and make a recommendation to the public shareholders with respect to the AFC merger.</w:t>
      </w:r>
    </w:p>
    <w:p>
      <w:pPr>
        <w:spacing w:after="0" w:line="16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RECOMMENDATION TO SHAREHOLDERS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board of directors of AFC, based on the unanimous recommendation of the special committee, unanimously recommends that holders of AFC Series J Preferred Stock adopt the merger agreement at the special meeting so that the reorganization may be completed.</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VOTE REQUIRED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Ohio law requires that AFC's shareholders must approve the AFC merger by a vote of a majority of AFC's outstanding total voting power and a majority of AFC's outstanding shares of Series J Preferred Stock. In addition to the shareholder approvals required by Ohio law, the merger agreement also requires the additional approval of a majority of outstanding Series J Preferred Stock voting on the AFC merger, excluding those shares beneficially owned by AFG, AFG's directors, executive officers, Carl H. Lindner, and certain of their respective affiliates. AFG, which owns 79% of AFC's outstanding voting power, has indicated that it will vote in favor of the AFC merger, assuring the approval of a majority of AFC's total voting power. Because AFC Holding is a wholly-owned subsidiary of AFG, no shareholder approval is required for the AFC Holding merger.</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CONDITIONS TO COMPLETING THE REORGANIZATION</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To complete the AFC merger, AFG and AFC must satisfy a number of conditions including:</w:t>
      </w:r>
    </w:p>
    <w:p>
      <w:pPr>
        <w:spacing w:after="0" w:line="167" w:lineRule="exact"/>
        <w:rPr>
          <w:sz w:val="20"/>
          <w:szCs w:val="20"/>
          <w:color w:val="auto"/>
        </w:rPr>
      </w:pPr>
    </w:p>
    <w:p>
      <w:pPr>
        <w:ind w:left="880" w:hanging="433"/>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legal impediment;</w:t>
      </w:r>
    </w:p>
    <w:p>
      <w:pPr>
        <w:spacing w:after="0" w:line="4" w:lineRule="exact"/>
        <w:rPr>
          <w:rFonts w:ascii="Courier New" w:cs="Courier New" w:eastAsia="Courier New" w:hAnsi="Courier New"/>
          <w:sz w:val="15"/>
          <w:szCs w:val="15"/>
          <w:color w:val="auto"/>
        </w:rPr>
      </w:pPr>
    </w:p>
    <w:p>
      <w:pPr>
        <w:ind w:left="880" w:right="4099" w:hanging="433"/>
        <w:spacing w:after="0" w:line="234"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registration statement, of which this proxy statement/prospectus is a part;</w:t>
      </w:r>
    </w:p>
    <w:p>
      <w:pPr>
        <w:ind w:left="880" w:hanging="433"/>
        <w:spacing w:after="0" w:line="237"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AFC shareholders;</w:t>
      </w:r>
    </w:p>
    <w:p>
      <w:pPr>
        <w:spacing w:after="0" w:line="5"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holders of Series J Preferred Stock excluding certain affiliates; and</w:t>
      </w:r>
    </w:p>
    <w:p>
      <w:pPr>
        <w:ind w:left="880" w:hanging="433"/>
        <w:spacing w:after="0" w:line="237"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a tax opinion.</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AFC's obligation to complete the AFC merger also requires compliance with a number of additional conditions including:</w:t>
      </w:r>
    </w:p>
    <w:p>
      <w:pPr>
        <w:spacing w:after="0" w:line="167" w:lineRule="exact"/>
        <w:rPr>
          <w:sz w:val="20"/>
          <w:szCs w:val="20"/>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the fairness opinion;</w:t>
      </w:r>
    </w:p>
    <w:p>
      <w:pPr>
        <w:ind w:left="880" w:hanging="433"/>
        <w:spacing w:after="0" w:line="237"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of AFG remain true;</w:t>
      </w:r>
    </w:p>
    <w:p>
      <w:pPr>
        <w:ind w:left="880" w:hanging="433"/>
        <w:spacing w:after="0" w:line="237"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by AFG with agreements;</w:t>
      </w:r>
    </w:p>
    <w:p>
      <w:pPr>
        <w:ind w:left="880" w:hanging="433"/>
        <w:spacing w:after="0" w:line="237"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regulatory approvals; and</w:t>
      </w:r>
    </w:p>
    <w:p>
      <w:pPr>
        <w:ind w:left="880" w:hanging="433"/>
        <w:spacing w:after="0" w:line="237"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AFG common stock to be issued</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AFG's obligation to complete the AFC merger also requires compliance with a number of additional conditions including:</w:t>
      </w:r>
    </w:p>
    <w:p>
      <w:pPr>
        <w:spacing w:after="0" w:line="167" w:lineRule="exact"/>
        <w:rPr>
          <w:sz w:val="20"/>
          <w:szCs w:val="20"/>
          <w:color w:val="auto"/>
        </w:rPr>
      </w:pPr>
    </w:p>
    <w:p>
      <w:pPr>
        <w:ind w:left="880" w:hanging="433"/>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of AFC remain true;</w:t>
      </w:r>
    </w:p>
    <w:p>
      <w:pPr>
        <w:ind w:left="880" w:hanging="433"/>
        <w:spacing w:after="0" w:line="237"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by AFC with agreements;</w:t>
      </w:r>
    </w:p>
    <w:p>
      <w:pPr>
        <w:ind w:left="880" w:hanging="433"/>
        <w:spacing w:after="0" w:line="237"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required documents; and</w:t>
      </w:r>
    </w:p>
    <w:p>
      <w:pPr>
        <w:ind w:left="880" w:hanging="433"/>
        <w:spacing w:after="0" w:line="237"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regulatory approvals.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AFC or AFG could decide to complete the AFC merger even though one or more of these conditions has not been met, except that AFC will not be able to complete the AFC merger if the fairness opinion of Duff &amp; Phelps is withdrawn for any reason before the merger occurs. Neither</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10" w:name="page11"/>
    <w:bookmarkEnd w:id="10"/>
    <w:p>
      <w:pPr>
        <w:ind w:right="3399"/>
        <w:spacing w:after="0" w:line="234" w:lineRule="auto"/>
        <w:rPr>
          <w:sz w:val="20"/>
          <w:szCs w:val="20"/>
          <w:color w:val="auto"/>
        </w:rPr>
      </w:pPr>
      <w:r>
        <w:rPr>
          <w:rFonts w:ascii="Courier New" w:cs="Courier New" w:eastAsia="Courier New" w:hAnsi="Courier New"/>
          <w:sz w:val="15"/>
          <w:szCs w:val="15"/>
          <w:color w:val="auto"/>
        </w:rPr>
        <w:t>AFC nor AFG can be certain when or if the conditions to the AFC merger will be satisfied or waived, or that the AFC merger will be completed.</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merger agreement may be terminated by AFG or AFC (acting through the special committee) under certain circumstances including:</w:t>
      </w:r>
    </w:p>
    <w:p>
      <w:pPr>
        <w:spacing w:after="0" w:line="167" w:lineRule="exact"/>
        <w:rPr>
          <w:sz w:val="20"/>
          <w:szCs w:val="20"/>
          <w:color w:val="auto"/>
        </w:rPr>
      </w:pPr>
    </w:p>
    <w:p>
      <w:pPr>
        <w:ind w:left="880" w:hanging="433"/>
        <w:spacing w:after="0"/>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agreement;</w:t>
      </w:r>
    </w:p>
    <w:p>
      <w:pPr>
        <w:ind w:left="880" w:hanging="433"/>
        <w:spacing w:after="0" w:line="237"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closing date is later than October 31, 2003;</w:t>
      </w:r>
    </w:p>
    <w:p>
      <w:pPr>
        <w:spacing w:after="0" w:line="5"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court issues a permanent, non-appealable ruling permanently prohibiting the reorganization;</w:t>
      </w:r>
    </w:p>
    <w:p>
      <w:pPr>
        <w:ind w:left="880" w:hanging="433"/>
        <w:spacing w:after="0" w:line="237"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agreement is not approved by the required votes;</w:t>
      </w:r>
    </w:p>
    <w:p>
      <w:pPr>
        <w:ind w:left="880" w:hanging="433"/>
        <w:spacing w:after="0" w:line="237"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breach of a representation or warranty of the other;</w:t>
      </w:r>
    </w:p>
    <w:p>
      <w:pPr>
        <w:spacing w:after="0" w:line="5" w:lineRule="exact"/>
        <w:rPr>
          <w:rFonts w:ascii="Courier New" w:cs="Courier New" w:eastAsia="Courier New" w:hAnsi="Courier New"/>
          <w:sz w:val="15"/>
          <w:szCs w:val="15"/>
          <w:color w:val="auto"/>
        </w:rPr>
      </w:pPr>
    </w:p>
    <w:p>
      <w:pPr>
        <w:ind w:left="880" w:right="3239" w:hanging="433"/>
        <w:spacing w:after="0" w:line="254" w:lineRule="auto"/>
        <w:tabs>
          <w:tab w:leader="none" w:pos="8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AFC if any events, changes or developments have occurred which, individually or in the aggregate, have materially adversely affected, or are reasonably likely to materially adversely affect, the financial condition of AFG and its subsidiaries, taken as a whole;</w:t>
      </w:r>
    </w:p>
    <w:p>
      <w:pPr>
        <w:spacing w:after="0" w:line="1" w:lineRule="exact"/>
        <w:rPr>
          <w:rFonts w:ascii="Courier New" w:cs="Courier New" w:eastAsia="Courier New" w:hAnsi="Courier New"/>
          <w:sz w:val="14"/>
          <w:szCs w:val="14"/>
          <w:color w:val="auto"/>
        </w:rPr>
      </w:pPr>
    </w:p>
    <w:p>
      <w:pPr>
        <w:ind w:left="880" w:right="3319" w:hanging="433"/>
        <w:spacing w:after="0" w:line="254" w:lineRule="auto"/>
        <w:tabs>
          <w:tab w:leader="none" w:pos="8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AFC if the special committee determines, after consultation with and based on the written legal advice of its legal counsel, that as a result of an event or condition which existed before the date of the merger agreement and should have been disclosed by AFG in its filings under the Securities Exchange Act of 1934 but was not so disclosed or which occurs after the date of the merger agreement, the special committee would violate its fiduciary duties in accordance with applicable law if AFC did not terminate the merger agreement; or</w:t>
      </w:r>
    </w:p>
    <w:p>
      <w:pPr>
        <w:spacing w:after="0" w:line="2" w:lineRule="exact"/>
        <w:rPr>
          <w:rFonts w:ascii="Courier New" w:cs="Courier New" w:eastAsia="Courier New" w:hAnsi="Courier New"/>
          <w:sz w:val="14"/>
          <w:szCs w:val="14"/>
          <w:color w:val="auto"/>
        </w:rPr>
      </w:pPr>
    </w:p>
    <w:p>
      <w:pPr>
        <w:ind w:left="880" w:right="3399" w:hanging="433"/>
        <w:spacing w:after="0" w:line="235"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AFG if the average closing price of the AFG common stock is less than $19.00 per share during a specified period prior to the special meeting.</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FEDERAL INCOME TAX CONSIDERATIONS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AFC will receive an opinion of tax counsel, which is an annex to the merger agreement, stating that the merger will constitute a reorganization and holders of Series J Preferred Stock will not recognize any gain or loss for U.S. federal income tax purposes, except to the extent they receive cash for a fractional share or because they exercise dissenters' rights. AFG, AFC and holders of AFG common stock, will not recognize gain or loss as a result of the merger. Nonetheless, because tax matters are complicated, and tax results may vary among shareholders, AFG urges you to contact your own advisor to understand fully how the reorganization will affect you.</w:t>
      </w:r>
    </w:p>
    <w:p>
      <w:pPr>
        <w:spacing w:after="0" w:line="17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TERMS OF SERIES J PREFERRED STOCK</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Each share of Series J Preferred Stock receives an annual dividend of $2.00 per share. On liquidation, the holder of each share of Series J Preferred Stock is entitled to $25.00, plus accrued dividends. The Series J Preferred Stock votes on all matters voted upon by shareholders, with this series possessing approximately 21% of the voting power of AFC. AFC may, at its option, call for redemption all or part of the Series J Preferred Stock at specified times (beginning in 2005) and on specified terms. In addition, the terms of the Series J Preferred Stock permit AFC, at any time the statutory voting requirements are met, to engage in a merger with another party, including an affiliate of AFC, pursuant to which each share of Series J Preferred Stock would receive $25.00 plus accrued dividends.</w:t>
      </w:r>
    </w:p>
    <w:p>
      <w:pPr>
        <w:spacing w:after="0" w:line="17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TERMS OF AFG COMMON STOCK</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Holders of AFG common stock are entitled to share in the dividends that the board of directors validly declares from legally available funds. Currently, AFG pays an annual dividend of $0.50 per share. If AFG liquidates, holders of AFG common stock also are entitled to participate ratably in the assets remaining after AFG pays its liabilities and any preferred stock liquidation preferences (currently, AFG has no preferred stock outstanding). Holders of AFG common stock are entitled to one vote for each share held of record on all matters submitted to a vote of shareholders. AFG common stock has no redemption provisions.</w:t>
      </w:r>
    </w:p>
    <w:p>
      <w:pPr>
        <w:spacing w:after="0" w:line="17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COMPARATIVE STOCK PRICES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AFG common stock is traded on the New York Stock Exchange under the symbol "AFG". AFC's Series J Preferred Stock is traded through the Archipelago system on the Pacific Stock Exchange under the symbol "AFI-J". On __________, 2003, the day before the date of this document, the last reported sales price for a share</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of AFG common stock was $_____ and for a share of Series J Preferred Stock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OPINION OF FINANCIAL ADVISOR</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deciding to recommend the AFC merger to the holders of Series J Preferred Stock, the special committee of AFC's board of directors considered the opinion of its financial advisor, Duff &amp; Phelps, that the terms of the reorganization are fair, from a financial point of view, to the holders of Series J Preferred Stock. The written opinion of Duff &amp; Phelps dated July 2, 2003, is attached as Annex B to this document. AFG encourages holders of Series J Preferred Stock to read this opinion.</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DISSENTERS' RIGHTS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Under Ohio law, holders of Series J Preferred Stock may dissent from the AFC merger and have the fair cash value of their shares paid to them. To exercise this right, holders must follow a number of procedures. These procedures include filing a demand for payment of the fair cash value of their shares and not voting in favor of the reorganization. For more information on how to exercise these rights, see "Rights of Dissenting Shareholders" on page __ and Annex C.</w:t>
      </w:r>
    </w:p>
    <w:p>
      <w:pPr>
        <w:spacing w:after="0" w:line="200" w:lineRule="exact"/>
        <w:rPr>
          <w:sz w:val="20"/>
          <w:szCs w:val="20"/>
          <w:color w:val="auto"/>
        </w:rPr>
      </w:pPr>
    </w:p>
    <w:p>
      <w:pPr>
        <w:spacing w:after="0" w:line="29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12" w:name="page13"/>
    <w:bookmarkEnd w:id="12"/>
    <w:p>
      <w:pPr>
        <w:spacing w:after="0" w:line="1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Preferred shareholders of AFC have been subject to nearly all of the following risks related to AFG as a result of their ownership of preferred stock of AFC, a subsidiary of AFG. Following the completion of the AFC merger, however, holders of Series J Preferred Stock would become holders of AFG common stock. If the AFC merger is not completed, holders of Series J Preferred Stock would have a preference as to the liquidation value of their shares upon a liquidation of AFC over holders of AFG common stock. Holders of Series J Preferred Stock who receive AFG common stock in the AFC merger will therefore have more exposure to the risk factors set forth below than they had prior to the merger. In considering whether to approve the reorganization, you should consider, in addition to the other information contained in this document, the following matters.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INTENSE COMPETITION COULD ADVERSELY AFFECT AFG'S PROFITABILITY.</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specialty insurance business is highly competitive and, except for regulatory considerations, there are relatively few barriers to entry. AFG competes with other individual insurers, state funds and insurance groups of varying sizes, some of which are mutual insurance companies possessing competitive advantages in that all their profits inure to their policyholders. AFG also competes with self-insurance plans, captive programs and risk retention groups. Because of the specialty nature of these coverages, competition is based primarily on service to policyholders and agents, specific characteristics of products offered and reputation for claims handling. Price, commissions and profit sharing terms are also important factors. Some of AFG's competitors have more capital and greater resources than it has, and may offer a broader range of products and lower prices than AFG offers.</w:t>
      </w:r>
    </w:p>
    <w:p>
      <w:pPr>
        <w:spacing w:after="0" w:line="16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AFG'S RESULTS MAY FLUCTUATE AS A RESULT OF CYCLICAL CHANGES IN THE SPECIALTY INSURANCE INDUSTRY.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specialty insurance industry is cyclical in nature. Historically, the industry has been characterized by periods of price competition and excess capacity followed by periods of high premium rates and shortages of underwriting capacity. A downward fluctuation in the business cycle would be likely to negatively impact AFG's revenues and earnings.</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AFG RELIES UPON INDEPENDENT AGENTS TO WRITE ITS INSURANCE POLICIES, AND IF AFG IS NOT ABLE TO ATTRACT AND RETAIN INDEPENDENT AGENTS, ITS RESULTS COULD BE NEGATIVELY AFFECTED.</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AFG's reliance on the independent agency market makes it vulnerable to a reduction in the amount of business written by agents. Many of AFG's competitors, like AFG, rely significantly on the independent agency market. Accordingly, AFG must compete with other insurance carriers for independent agents' business. Some of AFG's competitors offer a larger variety of products, lower price for insurance coverage or higher commissions to agents. While AFG believes that the products, pricing, commissions and services it offers are competitive, AFG may not be able to continue to attract and retain independent agents to sell its products, in which case, its revenues and earnings could be negatively affected.</w:t>
      </w:r>
    </w:p>
    <w:p>
      <w:pPr>
        <w:spacing w:after="0" w:line="179"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AFG IS SUBJECT TO COMPREHENSIVE REGULATION, AND ITS ABILITY TO EARN PROFITS MAY BE RESTRICTED BY THESE REGULATIONS.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AFG is subject to comprehensive regulation by government agencies in the states where its insurance company subsidiaries are domiciled and where these subsidiaries issue policies and handle claims, and AFG must obtain prior approval for certain corporate actions. AFG must comply with regulations involving:</w:t>
      </w:r>
    </w:p>
    <w:p>
      <w:pPr>
        <w:spacing w:after="0" w:line="174" w:lineRule="exact"/>
        <w:rPr>
          <w:sz w:val="20"/>
          <w:szCs w:val="20"/>
          <w:color w:val="auto"/>
        </w:rPr>
      </w:pPr>
    </w:p>
    <w:p>
      <w:pPr>
        <w:ind w:left="1320" w:right="3759" w:hanging="523"/>
        <w:spacing w:after="0" w:line="234" w:lineRule="auto"/>
        <w:tabs>
          <w:tab w:leader="none" w:pos="13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moving cash up to the parent company of insurance companies through the payment of dividends;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1440" w:right="1440" w:bottom="1440" w:gutter="0" w:footer="0" w:header="0"/>
        </w:sectPr>
      </w:pPr>
    </w:p>
    <w:bookmarkStart w:id="13" w:name="page14"/>
    <w:bookmarkEnd w:id="13"/>
    <w:p>
      <w:pPr>
        <w:ind w:left="1320" w:right="3319" w:hanging="523"/>
        <w:spacing w:after="0" w:line="234" w:lineRule="auto"/>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or disposition of an insurance company or of any company controlling an insurance company;</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or filing of premium rates and policy forms;</w:t>
      </w:r>
    </w:p>
    <w:p>
      <w:pPr>
        <w:spacing w:after="0" w:line="172" w:lineRule="exact"/>
        <w:rPr>
          <w:rFonts w:ascii="Courier New" w:cs="Courier New" w:eastAsia="Courier New" w:hAnsi="Courier New"/>
          <w:sz w:val="15"/>
          <w:szCs w:val="15"/>
          <w:color w:val="auto"/>
        </w:rPr>
      </w:pPr>
    </w:p>
    <w:p>
      <w:pPr>
        <w:ind w:left="1320" w:right="3239" w:hanging="523"/>
        <w:spacing w:after="0" w:line="235" w:lineRule="auto"/>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assignments of high-risk policies, participation in reinsurance facilities and underwriting associations, assessments and other governmental charges;</w:t>
      </w:r>
    </w:p>
    <w:p>
      <w:pPr>
        <w:spacing w:after="0" w:line="167"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amounts of capital and surplus that must be maintained;</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types and amounts of investments;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the right to cancel or non-renew policies;</w:t>
      </w:r>
    </w:p>
    <w:p>
      <w:pPr>
        <w:spacing w:after="0" w:line="172" w:lineRule="exact"/>
        <w:rPr>
          <w:rFonts w:ascii="Courier New" w:cs="Courier New" w:eastAsia="Courier New" w:hAnsi="Courier New"/>
          <w:sz w:val="15"/>
          <w:szCs w:val="15"/>
          <w:color w:val="auto"/>
        </w:rPr>
      </w:pPr>
    </w:p>
    <w:p>
      <w:pPr>
        <w:ind w:left="1320" w:right="3579" w:hanging="523"/>
        <w:spacing w:after="0" w:line="234" w:lineRule="auto"/>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 of the right to withdraw from markets or terminate involvement with agencies;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licensing of insurers and agents;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with respect to financial condition; and</w:t>
      </w:r>
    </w:p>
    <w:p>
      <w:pPr>
        <w:spacing w:after="0" w:line="172" w:lineRule="exact"/>
        <w:rPr>
          <w:rFonts w:ascii="Courier New" w:cs="Courier New" w:eastAsia="Courier New" w:hAnsi="Courier New"/>
          <w:sz w:val="15"/>
          <w:szCs w:val="15"/>
          <w:color w:val="auto"/>
        </w:rPr>
      </w:pPr>
    </w:p>
    <w:p>
      <w:pPr>
        <w:ind w:left="1320" w:right="4019" w:hanging="523"/>
        <w:spacing w:after="0" w:line="234" w:lineRule="auto"/>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between an insurance company and any of its affiliates.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In addition, state insurance department examiners perform periodic financial and market conduct examinations of insurance companies. Such regulation is generally intended for the protection of policyholders rather than securityholders.</w:t>
      </w:r>
    </w:p>
    <w:p>
      <w:pPr>
        <w:spacing w:after="0" w:line="175" w:lineRule="exact"/>
        <w:rPr>
          <w:sz w:val="20"/>
          <w:szCs w:val="20"/>
          <w:color w:val="auto"/>
        </w:rPr>
      </w:pPr>
    </w:p>
    <w:p>
      <w:pPr>
        <w:ind w:right="3679" w:firstLine="787"/>
        <w:spacing w:after="0" w:line="256" w:lineRule="auto"/>
        <w:rPr>
          <w:sz w:val="20"/>
          <w:szCs w:val="20"/>
          <w:color w:val="auto"/>
        </w:rPr>
      </w:pPr>
      <w:r>
        <w:rPr>
          <w:rFonts w:ascii="Courier New" w:cs="Courier New" w:eastAsia="Courier New" w:hAnsi="Courier New"/>
          <w:sz w:val="14"/>
          <w:szCs w:val="14"/>
          <w:color w:val="auto"/>
        </w:rPr>
        <w:t>There can be no assurance that existing insurance-related laws and regulations will not become more restrictive in the future or that new restrictive laws will not be enacted and, therefore, it is not possible to predict the potential effects of these laws and regulations on AFG.</w:t>
      </w:r>
    </w:p>
    <w:p>
      <w:pPr>
        <w:spacing w:after="0" w:line="164"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AS A HOLDING COMPANY, AFG IS DEPENDENT ON THE RESULTS OF OPERATIONS OF ITS INSURANCE COMPANY SUBSIDIARIES TO MEET ITS OBLIGATIONS AND PAY FUTURE DIVIDENDS.</w:t>
      </w:r>
    </w:p>
    <w:p>
      <w:pPr>
        <w:spacing w:after="0" w:line="160"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AFG is a holding company and a legal entity separate and distinct from its insurance company subsidiaries. As a holding company without significant operations of its own, AFG's principal sources of funds are dividends and other distributions from its insurance company subsidiaries. State insurance laws limit the ability of its insurance companies to pay dividends and require its insurance companies to maintain specified levels of statutory capital and surplus. Some states require that AFG give notice to the relevant state insurance commissioner prior to its insurance subsidiaries declaring any dividends and distributions payable to AFG. During the notice period, the state insurance commissioner may disallow all or part of the proposed dividend if it determines that the insurer's surplus as regards policyholders is not reasonable in relation to the insurer's liabilities and adequate to its financial needs. In addition, for competitive reasons, AFG's insurance companies need to maintain financial strength ratings which requires it to sustain capital levels in those subsidiaries. These restrictions affect the ability of AFG's insurance company subsidiaries to pay dividends and use their capital in other ways. AFG's rights to participate in any distribution of assets of its insurance company subsidiaries are subject to prior claims of policyholders and creditors (except to the extent that AFG's rights, if any, as a creditor are recognized). Consequently, AFG's ability to pay debts, expenses and cash dividends to AFG's shareholders may be limited.</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4" w:name="page15"/>
    <w:bookmarkEnd w:id="14"/>
    <w:p>
      <w:pPr>
        <w:ind w:right="3399"/>
        <w:spacing w:after="0" w:line="261" w:lineRule="auto"/>
        <w:rPr>
          <w:sz w:val="20"/>
          <w:szCs w:val="20"/>
          <w:color w:val="auto"/>
        </w:rPr>
      </w:pPr>
      <w:r>
        <w:rPr>
          <w:rFonts w:ascii="Courier New" w:cs="Courier New" w:eastAsia="Courier New" w:hAnsi="Courier New"/>
          <w:sz w:val="14"/>
          <w:szCs w:val="14"/>
          <w:color w:val="auto"/>
        </w:rPr>
        <w:t>AFG'S FAILURE TO MAINTAIN A COMMERCIALLY ACCEPTABLE FINANCIAL STRENGTH RATING WOULD SIGNIFICANTLY AND NEGATIVELY AFFECT ITS ABILITY TO COMPETE SUCCESSFULLY.</w:t>
      </w:r>
    </w:p>
    <w:p>
      <w:pPr>
        <w:spacing w:after="0" w:line="160"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Financial strength ratings are an important factor in establishing the competitive position of insurance companies and may be expected to have an effect on an insurance company's sales. A.M. Best has currently assigned AFG's insurance company subsidiaries ratings of "A (Excellent)" and "A- (Excellent)". According to A.M. Best, "A" and "A-" ratings are assigned to insurers which have, on balance, excellent balance sheet strength, operating performance and business profile when compared to the standards established by A.M. Best and, in A.M. Best's opinion, have a strong ability to meet their ongoing obligations to policyholders. A.M. Best bases its ratings on factors that concern policyholders and not upon factors concerning investor protection. Such ratings are subject to change and are not recommendations to buy, sell or hold securities. There can be no assurance that AFG's rating or future changes to its rating will not affect its competitive position.</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AFG MAY BE ADVERSELY IMPACTED BY A CHANGE IN ITS STANDARD &amp; POOR'S OR MOODY'S RATINGS.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AFG is rated by Standard &amp; Poor's and Moody's, both independent corporate credit rating agencies. On May 27, 2003, AFG was notified by Moody's Investors Service that its ratings were being placed under review for possible downgrade. On July 2, 2003, Moody's confirmed AFG's ratings at their current level but stated that the outlook for the ratings remains negative. An unfavorable change in either of these ratings could make it more expensive for AFG to access capital markets and may increase the interest rate charged to AFG under its current multi-bank credit line. AFG can give no assurance that it will maintain its current Standard &amp; Poor's or Moody's ratings.</w:t>
      </w:r>
    </w:p>
    <w:p>
      <w:pPr>
        <w:spacing w:after="0" w:line="178"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AFG IS A PARTY TO LITIGATION WHICH, IF DECIDED ADVERSELY TO IT, COULD IMPACT AFG'S FINANCIAL RESULTS.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AFG and its subsidiaries are named as defendants in a number of lawsuits. Litigation, by its very nature, is unpredictable and the outcome of these cases is uncertain. Further, AFG is unable to predict the precise nature of the relief that may be sought or granted in any lawsuits or the effect that pending or future cases may have on its business, operations, profitability or financial condition.</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Recently AFG was notified of an adverse arbitration decision against its subsidiary, Great American Insurance Company. The decision concerned Great American's share of a 1995 property fire and business interruption claim against a policy written by a large group of insurance companies. AFG's second quarter earnings are expected to include an after tax charge of approximately $29 million or $0.41 per share for the claim.</w:t>
      </w:r>
    </w:p>
    <w:p>
      <w:pPr>
        <w:spacing w:after="0" w:line="17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LEGAL PRECEDENTS REGARDING POTENTIAL ASBESTOS LIABILITIES CONTINUE TO EVOLVE, AND ADVERSE DEVELOPMENTS COULD IMPACT AFG'S FINANCIAL RESULTS.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AFG, its insurance company subsidiaries and its subsidiary, American Premier Underwriters, Inc., which we refer to as American Premier, are parties to litigation and receive claims asserting alleged injuries and damages from asbestos and other hazardous and toxic substances and workplace hazards and have established loss accruals for such potential liabilities. The ultimate loss for these claims may vary materially from amounts currently recorded as the conditions surrounding resolution of these claims continue to change. AFG is unable to predict the precise nature of the relief that may be granted in any lawsuits or the effect that future cases may have on AFG's business, operations, profitability or financial condition. In 2002 and 2001, AFG increased reserves relating to prior year's asbestos and environmental claims by $49 million and $108 million, respectively. As of March 31, 2003, the aggregate net reserves held by AFG's insurance company subsidiaries for asbestos claims was $295 million and for other environmental and mass tort claims was $159 million.</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AFG IS SUBJECT TO ENVIRONMENTAL CLAIMS THAT MAY IMPACT ITS FINANCIAL RESULTS.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American Premier is a party or named as a potentially responsible party in a number of proceedings and claims by regulatory agencies and private parties under various environmental protection laws, including the Comprehensive Environmental Response, Compensation and Liability Act (CERCLA), seeking to impose responsibility on American Premier for hazardous waste remediation costs at certain railroad and manufacturing sites formerly owned by it or its predecessor, Penn Central Transportation Company, and at certain other sites where hazardous waste allegedly generated by Penn Central's railroad operations and American Premier's former manufacturing operations is present. It is difficult to estimate American Premier's liability for remediation costs at these sites for a number of reasons, including the number and financial resources of other potentially responsible parties involved at a given site, the varying availability of evidence by which to allocate responsibility among such parties, the wide range of costs for possible remediation alternatives, changing technology and the period of time over which these matters develop.</w:t>
      </w:r>
    </w:p>
    <w:p>
      <w:pPr>
        <w:spacing w:after="0" w:line="16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AFG'S RESERVES MAY BE INADEQUATE, WHICH COULD SIGNIFICANTLY AFFECT ITS FINANCIAL RESULTS.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AFG records reserve liabilities for the estimated payment of losses and loss adjustment expenses for both reported and unreported claims. Due to the inherent uncertainty of estimating reserves, it has been necessary in the past, and may continue to be necessary in the future, to revise estimated liabilities as reflected in AFG's reserves for claims and related expenses. For example, in 2002 and 2001 AFG took charges of $171 million and $163 million, respectively, to increase reserves relating to prior accident years. To the extent that reserves are inadequate and are strengthened, the amount of such increase is treated as a charge to earnings in the period in which the deficiency is recognized. The historic development of reserves for losses and loss adjustment expense may not necessarily reflect future trends in the development of these amounts. Accordingly, it is not appropriate to extrapolate redundancies or deficiencies based on historical information.</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ADVERSE SECURITIES MARKET CONDITIONS CAN HAVE SIGNIFICANT AND NEGATIVE EFFECTS ON AFG'S INVESTMENT PORTFOLIO.</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AFG's results of operations depend in part on the performance of its</w:t>
      </w:r>
    </w:p>
    <w:p>
      <w:pPr>
        <w:spacing w:after="0" w:line="237" w:lineRule="auto"/>
        <w:rPr>
          <w:sz w:val="20"/>
          <w:szCs w:val="20"/>
          <w:color w:val="auto"/>
        </w:rPr>
      </w:pPr>
      <w:r>
        <w:rPr>
          <w:rFonts w:ascii="Courier New" w:cs="Courier New" w:eastAsia="Courier New" w:hAnsi="Courier New"/>
          <w:sz w:val="15"/>
          <w:szCs w:val="15"/>
          <w:color w:val="auto"/>
        </w:rPr>
        <w:t>invested assets. As of March 31, 2003, 93% of AFG's investment portfolio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invested in fixed maturity securities and 4% in equity securities. Certain risks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inherent in connection with fixed maturity securities, including loss upon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and price volatility in reaction to changes in interest rates and</w:t>
      </w:r>
    </w:p>
    <w:p>
      <w:pPr>
        <w:spacing w:after="0" w:line="237" w:lineRule="auto"/>
        <w:rPr>
          <w:sz w:val="20"/>
          <w:szCs w:val="20"/>
          <w:color w:val="auto"/>
        </w:rPr>
      </w:pPr>
      <w:r>
        <w:rPr>
          <w:rFonts w:ascii="Courier New" w:cs="Courier New" w:eastAsia="Courier New" w:hAnsi="Courier New"/>
          <w:sz w:val="15"/>
          <w:szCs w:val="15"/>
          <w:color w:val="auto"/>
        </w:rPr>
        <w:t>general market factors. An increase in interest rates lowers prices on fixed</w:t>
      </w:r>
    </w:p>
    <w:p>
      <w:pPr>
        <w:spacing w:after="0" w:line="238" w:lineRule="auto"/>
        <w:rPr>
          <w:sz w:val="20"/>
          <w:szCs w:val="20"/>
          <w:color w:val="auto"/>
        </w:rPr>
      </w:pPr>
      <w:r>
        <w:rPr>
          <w:rFonts w:ascii="Courier New" w:cs="Courier New" w:eastAsia="Courier New" w:hAnsi="Courier New"/>
          <w:sz w:val="15"/>
          <w:szCs w:val="15"/>
          <w:color w:val="auto"/>
        </w:rPr>
        <w:t>maturity securities, and any sales made during a period of increasing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rates may result in losses. Conversely, investment income earned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investments in fixed maturity securities will decrease if interest rates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CONTINUED THREAT OF TERRORISM AND ONGOING MILITARY AND OTHER ACTIONS MAY ADVERSELY AFFECT AFG'S FINANCIAL RESULTS.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continued threat of terrorism, both within the United States of America and abroad, and the ongoing military and other actions and heightened security measures taken in response to these types of threats, may cause significant volatility and declines in the equity markets in the United States of America, Europe and elsewhere, loss of life, property damage, additional disruptions to commerce and reduced economic activity. Actual terrorist attacks could cause losses from insurance claims related to AFG's property and casualty and life insurance operations with adverse financial consequences. The Terrorism Risk Insurance Act of 2002 requires that some coverage for terrorist acts be offered by primary property insurers such as AFG's insurance subsidiaries and provides Federal assistance for recovery of some large claims through 2005. In addition, some of the assets in its insurance subsidiaries' investment portfolios may be adversely affected by declines in the capital markets and economic activity caused by the continued threat of terrorism, ongoing military and other actions and heightened security measures.</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6" w:name="page17"/>
    <w:bookmarkEnd w:id="16"/>
    <w:p>
      <w:pPr>
        <w:ind w:right="3239" w:firstLine="787"/>
        <w:spacing w:after="0" w:line="236" w:lineRule="auto"/>
        <w:rPr>
          <w:sz w:val="20"/>
          <w:szCs w:val="20"/>
          <w:color w:val="auto"/>
        </w:rPr>
      </w:pPr>
      <w:r>
        <w:rPr>
          <w:rFonts w:ascii="Courier New" w:cs="Courier New" w:eastAsia="Courier New" w:hAnsi="Courier New"/>
          <w:sz w:val="15"/>
          <w:szCs w:val="15"/>
          <w:color w:val="auto"/>
        </w:rPr>
        <w:t>AFG cannot predict at this time whether and the extent to which industry sectors in which it maintains investments may suffer losses as a result of potential decreased commercial and economic activity, or how any such decrease might impact the ability of companies within the affected industry sectors to pay interest or principal on their securities, or how the value of any underlying collateral might be affected.</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AFG can offer no assurances that the threats of future terrorist-like events in the United States of America and abroad or military actions by the United States of America will not have a material adverse effect on AFG's business, financial condition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INABILITY TO OBTAIN REINSURANCE COULD ADVERSELY IMPACT AFG'S RESULTS.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AFG relies on the use of reinsurance to limit the amount of risk it retains. The availability and cost of reinsurance are subject to prevailing market conditions which are beyond AFG's control and which may affect its level of business and profitability. AFG is also subject to credit risk with respect to its reinsurers, as the ceding of risk to reinsurers does not relieve AFG of its liability to insureds.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SHAREHOLDERS EXERCISE SUBSTANTIAL CONTROL OVER AFG'S AFFAIRS.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At June 30, 2003, Carl H. Lindner, S. Craig Lindner, Carl H. Lindner III, Keith E. Lindner and trusts for their benefit, which we refer to collectively as the Lindner family, were the beneficial owners of approximately 44.7% of AFG's outstanding common stock. As a result, the Lindner family exercises substantial control over the election of AFG's board of directors and significantly influences its corporate actions. In addition, the American Financial Group, Inc. Retirement and Savings Plan owns approximately 11% of AFG's outstanding common stock. The interests of the Lindner family, as well as the interests of the Retirement and Savings Plan, may differ from those of AFG's other shareholders and they may take actions that advance their respective interests to the detriment of other stockholders.</w:t>
      </w:r>
    </w:p>
    <w:p>
      <w:pPr>
        <w:spacing w:after="0" w:line="16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PRICE OF AFG'S COMMON STOCK MAY FLUCTUATE SIGNIFICANTLY WHICH MAY MAKE IT DIFFICULT FOR YOU TO SELL COMMON STOCK ISSUABLE IN THE AFC MERGER WHEN YOU WANT AT A PRICE YOU FIND ATTRACTIVE.</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price of AFG common stock as listed on the New York Stock Exchange, constantly changes. AFG expects that market price of its stock will continue to fluctuate. Holders of Series J Preferred Stock who receive AFG common stock in the AFC merger will also be subject to the risk of volatility and depressed prices of the AFG common stock.</w:t>
      </w:r>
    </w:p>
    <w:p>
      <w:pPr>
        <w:spacing w:after="0" w:line="174"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AFG's common stock price can fluctuate as a result of a variety of factors, many of which are beyond its control. These factors include:</w:t>
      </w:r>
    </w:p>
    <w:p>
      <w:pPr>
        <w:spacing w:after="0" w:line="173" w:lineRule="exact"/>
        <w:rPr>
          <w:sz w:val="20"/>
          <w:szCs w:val="20"/>
          <w:color w:val="auto"/>
        </w:rPr>
      </w:pPr>
    </w:p>
    <w:p>
      <w:pPr>
        <w:ind w:left="1320" w:right="3579" w:hanging="523"/>
        <w:spacing w:after="0" w:line="234" w:lineRule="auto"/>
        <w:tabs>
          <w:tab w:leader="none" w:pos="13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variations in AFG's quarterly operating results;</w:t>
      </w:r>
    </w:p>
    <w:p>
      <w:pPr>
        <w:spacing w:after="0" w:line="173" w:lineRule="exact"/>
        <w:rPr>
          <w:rFonts w:ascii="Courier New" w:cs="Courier New" w:eastAsia="Courier New" w:hAnsi="Courier New"/>
          <w:sz w:val="15"/>
          <w:szCs w:val="15"/>
          <w:color w:val="auto"/>
        </w:rPr>
      </w:pPr>
    </w:p>
    <w:p>
      <w:pPr>
        <w:ind w:left="1320" w:right="3499" w:hanging="523"/>
        <w:spacing w:after="0" w:line="234" w:lineRule="auto"/>
        <w:tabs>
          <w:tab w:leader="none" w:pos="13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changes in the dividends AFG pays on its common stock;</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recommendations by securities analysts;</w:t>
      </w:r>
    </w:p>
    <w:p>
      <w:pPr>
        <w:spacing w:after="0" w:line="172" w:lineRule="exact"/>
        <w:rPr>
          <w:rFonts w:ascii="Courier New" w:cs="Courier New" w:eastAsia="Courier New" w:hAnsi="Courier New"/>
          <w:sz w:val="15"/>
          <w:szCs w:val="15"/>
          <w:color w:val="auto"/>
        </w:rPr>
      </w:pPr>
    </w:p>
    <w:p>
      <w:pPr>
        <w:ind w:left="1320" w:right="3679" w:hanging="523"/>
        <w:spacing w:after="0" w:line="235" w:lineRule="auto"/>
        <w:tabs>
          <w:tab w:leader="none" w:pos="13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acquisitions or business combinations, strategic partnerships, joint ventures or capital commitments by or involving AFG or its competitors;</w:t>
      </w:r>
    </w:p>
    <w:p>
      <w:pPr>
        <w:spacing w:after="0" w:line="173" w:lineRule="exact"/>
        <w:rPr>
          <w:rFonts w:ascii="Courier New" w:cs="Courier New" w:eastAsia="Courier New" w:hAnsi="Courier New"/>
          <w:sz w:val="15"/>
          <w:szCs w:val="15"/>
          <w:color w:val="auto"/>
        </w:rPr>
      </w:pPr>
    </w:p>
    <w:p>
      <w:pPr>
        <w:ind w:left="1320" w:right="3579" w:hanging="523"/>
        <w:spacing w:after="0" w:line="234" w:lineRule="auto"/>
        <w:tabs>
          <w:tab w:leader="none" w:pos="13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and stock price performance of other companies that investors deem comparable to AFG;</w:t>
      </w:r>
    </w:p>
    <w:p>
      <w:pPr>
        <w:spacing w:after="0" w:line="173" w:lineRule="exact"/>
        <w:rPr>
          <w:rFonts w:ascii="Courier New" w:cs="Courier New" w:eastAsia="Courier New" w:hAnsi="Courier New"/>
          <w:sz w:val="15"/>
          <w:szCs w:val="15"/>
          <w:color w:val="auto"/>
        </w:rPr>
      </w:pPr>
    </w:p>
    <w:p>
      <w:pPr>
        <w:ind w:left="1320" w:right="3579" w:hanging="523"/>
        <w:spacing w:after="0" w:line="234" w:lineRule="auto"/>
        <w:tabs>
          <w:tab w:leader="none" w:pos="13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news reports relating to trends, concerns and other issues in AFG's industry; and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7" w:name="page18"/>
    <w:bookmarkEnd w:id="17"/>
    <w:p>
      <w:pPr>
        <w:ind w:left="1320" w:right="3399" w:hanging="523"/>
        <w:spacing w:after="0" w:line="234" w:lineRule="auto"/>
        <w:tabs>
          <w:tab w:leader="none" w:pos="13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geopolitical conditions such as acts or threats of terrorism or military conflicts.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General market fluctuations, industry factors and general economic and political conditions and events, such as terrorist attacks, war, economic slowdowns or recessions, interest rate changes, credit loss trends or currency fluctuations, could also cause AFG's stock price to decrease regardless of its operating results.</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In addition, the stock market in general has experienced extreme volatility that has often been unrelated to the operating performance of a particular company. These broad market fluctuations also may adversely affect the market price of AFG's common stock.</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8" w:name="page19"/>
    <w:bookmarkEnd w:id="18"/>
    <w:p>
      <w:pPr>
        <w:ind w:left="2200"/>
        <w:spacing w:after="0"/>
        <w:rPr>
          <w:sz w:val="20"/>
          <w:szCs w:val="20"/>
          <w:color w:val="auto"/>
        </w:rPr>
      </w:pPr>
      <w:r>
        <w:rPr>
          <w:rFonts w:ascii="Courier New" w:cs="Courier New" w:eastAsia="Courier New" w:hAnsi="Courier New"/>
          <w:sz w:val="15"/>
          <w:szCs w:val="15"/>
          <w:color w:val="auto"/>
        </w:rPr>
        <w:t>AMERICAN FINANCIAL CORPORATION</w:t>
      </w:r>
    </w:p>
    <w:p>
      <w:pPr>
        <w:ind w:left="1500"/>
        <w:spacing w:after="0" w:line="237" w:lineRule="auto"/>
        <w:rPr>
          <w:sz w:val="20"/>
          <w:szCs w:val="20"/>
          <w:color w:val="auto"/>
        </w:rPr>
      </w:pPr>
      <w:r>
        <w:rPr>
          <w:rFonts w:ascii="Courier New" w:cs="Courier New" w:eastAsia="Courier New" w:hAnsi="Courier New"/>
          <w:sz w:val="15"/>
          <w:szCs w:val="15"/>
          <w:color w:val="auto"/>
        </w:rPr>
        <w:t>SELECTED CONSOLIDATED HISTORICAL FINANCIAL DATA</w:t>
      </w:r>
    </w:p>
    <w:p>
      <w:pPr>
        <w:spacing w:after="0" w:line="173" w:lineRule="exact"/>
        <w:rPr>
          <w:sz w:val="20"/>
          <w:szCs w:val="20"/>
          <w:color w:val="auto"/>
        </w:rPr>
      </w:pPr>
    </w:p>
    <w:p>
      <w:pPr>
        <w:ind w:right="4120" w:firstLine="787"/>
        <w:spacing w:after="0" w:line="236" w:lineRule="auto"/>
        <w:rPr>
          <w:sz w:val="20"/>
          <w:szCs w:val="20"/>
          <w:color w:val="auto"/>
        </w:rPr>
      </w:pPr>
      <w:r>
        <w:rPr>
          <w:rFonts w:ascii="Courier New" w:cs="Courier New" w:eastAsia="Courier New" w:hAnsi="Courier New"/>
          <w:sz w:val="15"/>
          <w:szCs w:val="15"/>
          <w:color w:val="auto"/>
        </w:rPr>
        <w:t>The following is a summary of selected financial data for AFC and its subsidiaries for the three-month periods ended March 31, 2003 and March 31, 2002 and the five years ended December 31, 2002. This summary should be read in conjunction with the financial statements and their notes which are included in this document.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06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Three Months Ended</w:t>
            </w:r>
          </w:p>
        </w:tc>
        <w:tc>
          <w:tcPr>
            <w:tcW w:w="1140" w:type="dxa"/>
            <w:vAlign w:val="bottom"/>
          </w:tcPr>
          <w:p>
            <w:pPr>
              <w:spacing w:after="0"/>
              <w:rPr>
                <w:sz w:val="14"/>
                <w:szCs w:val="14"/>
                <w:color w:val="auto"/>
              </w:rPr>
            </w:pPr>
          </w:p>
        </w:tc>
        <w:tc>
          <w:tcPr>
            <w:tcW w:w="30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c>
          <w:tcPr>
            <w:tcW w:w="96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March 31,</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20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Earnings Statement Data:</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$3,929</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$3,820</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$4,084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Earnings Before Income Taxes</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120</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 Extraordinary Items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Accounting Changes</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Changes (a)</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(b):</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Including Annuity Benefits</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1.26</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Excluding Annuity Benefits</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3.61</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2.02</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and</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Dividends (b):</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Including Annuity Benefits</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1.23</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Excluding Annuity Benefits</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1.87</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18,531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17,643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$19,502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$17,398</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$16,407</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$16,024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$15,848</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Holding Companies</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204</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Subsidiaries</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296</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195</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492</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461</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510</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1,736</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1,478</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1,454</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1,531</w:t>
            </w:r>
          </w:p>
        </w:tc>
      </w:tr>
    </w:tbl>
    <w:p>
      <w:pPr>
        <w:spacing w:after="0" w:line="200" w:lineRule="exact"/>
        <w:rPr>
          <w:sz w:val="20"/>
          <w:szCs w:val="20"/>
          <w:color w:val="auto"/>
        </w:rPr>
      </w:pPr>
    </w:p>
    <w:p>
      <w:pPr>
        <w:spacing w:after="0" w:line="309" w:lineRule="exact"/>
        <w:rPr>
          <w:sz w:val="20"/>
          <w:szCs w:val="20"/>
          <w:color w:val="auto"/>
        </w:rPr>
      </w:pPr>
    </w:p>
    <w:p>
      <w:pPr>
        <w:ind w:left="800" w:right="4720" w:hanging="790"/>
        <w:spacing w:after="0" w:line="254" w:lineRule="auto"/>
        <w:tabs>
          <w:tab w:leader="none" w:pos="8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implementation in the following years of accounting changes mandated by recently enacted accounting standards:</w:t>
      </w:r>
    </w:p>
    <w:p>
      <w:pPr>
        <w:ind w:left="16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2002 - SFAS #142 (Goodwill and Other Intangibles)</w:t>
      </w:r>
    </w:p>
    <w:p>
      <w:pPr>
        <w:ind w:left="16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2001 - EITF 99-20 (Asset-backed Securities)</w:t>
      </w:r>
    </w:p>
    <w:p>
      <w:pPr>
        <w:ind w:left="16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2000 - SFAS #133 (Derivatives)</w:t>
      </w:r>
    </w:p>
    <w:p>
      <w:pPr>
        <w:ind w:left="16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1999 - SOP 98-5 (Start-up Costs)</w:t>
      </w:r>
    </w:p>
    <w:p>
      <w:pPr>
        <w:spacing w:after="0" w:line="173" w:lineRule="exact"/>
        <w:rPr>
          <w:rFonts w:ascii="Courier New" w:cs="Courier New" w:eastAsia="Courier New" w:hAnsi="Courier New"/>
          <w:sz w:val="14"/>
          <w:szCs w:val="14"/>
          <w:color w:val="auto"/>
        </w:rPr>
      </w:pPr>
    </w:p>
    <w:p>
      <w:pPr>
        <w:ind w:left="800" w:right="4120" w:hanging="790"/>
        <w:spacing w:after="0" w:line="255" w:lineRule="auto"/>
        <w:tabs>
          <w:tab w:leader="none" w:pos="8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charges are computed on a "total enterprise" basis. For purposes of calculating the ratios, "earnings" have been computed by adding to pretax earnings the fixed charges and the minority interest in earnings of subsidiaries having fixed charges and the undistributed equity in losses of investees. Fixed charges include interest (including or excluding interest credited to annuity policyholders' accounts as indicated), amortization of debt premium/discount and expense, preferred dividend and distribution requirements of subsidiaries and a portion of rental expense deemed to be representative of the interest factor. Although the ratio of earnings to fixed charges excluding interest on annuities is not required or encouraged to be disclosed under Securities and Exchange Commission rules, some investors and lenders may not consider interest credited to annuity policyholders' accounts a borrowing cost for an insurance company, and accordingly, believe this ratio is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120"/>
          </w:cols>
          <w:pgMar w:left="220" w:top="1122" w:right="559" w:bottom="1440" w:gutter="0" w:footer="0" w:header="0"/>
        </w:sectPr>
      </w:pPr>
    </w:p>
    <w:bookmarkStart w:id="19" w:name="page20"/>
    <w:bookmarkEnd w:id="19"/>
    <w:p>
      <w:pPr>
        <w:jc w:val="center"/>
        <w:ind w:right="4520"/>
        <w:spacing w:after="0"/>
        <w:rPr>
          <w:sz w:val="20"/>
          <w:szCs w:val="20"/>
          <w:color w:val="auto"/>
        </w:rPr>
      </w:pPr>
      <w:r>
        <w:rPr>
          <w:rFonts w:ascii="Courier New" w:cs="Courier New" w:eastAsia="Courier New" w:hAnsi="Courier New"/>
          <w:sz w:val="15"/>
          <w:szCs w:val="15"/>
          <w:color w:val="auto"/>
        </w:rPr>
        <w:t>AMERICAN FINANCIAL GROUP</w:t>
      </w:r>
    </w:p>
    <w:p>
      <w:pPr>
        <w:jc w:val="center"/>
        <w:ind w:right="4440"/>
        <w:spacing w:after="0" w:line="237" w:lineRule="auto"/>
        <w:rPr>
          <w:sz w:val="20"/>
          <w:szCs w:val="20"/>
          <w:color w:val="auto"/>
        </w:rPr>
      </w:pPr>
      <w:r>
        <w:rPr>
          <w:rFonts w:ascii="Courier New" w:cs="Courier New" w:eastAsia="Courier New" w:hAnsi="Courier New"/>
          <w:sz w:val="15"/>
          <w:szCs w:val="15"/>
          <w:color w:val="auto"/>
        </w:rPr>
        <w:t>SELECTED CONSOLIDATED HISTORICAL FINANCIAL DATA</w:t>
      </w:r>
    </w:p>
    <w:p>
      <w:pPr>
        <w:spacing w:after="0" w:line="173" w:lineRule="exact"/>
        <w:rPr>
          <w:sz w:val="20"/>
          <w:szCs w:val="20"/>
          <w:color w:val="auto"/>
        </w:rPr>
      </w:pPr>
    </w:p>
    <w:p>
      <w:pPr>
        <w:ind w:right="4540" w:firstLine="787"/>
        <w:spacing w:after="0" w:line="236" w:lineRule="auto"/>
        <w:rPr>
          <w:sz w:val="20"/>
          <w:szCs w:val="20"/>
          <w:color w:val="auto"/>
        </w:rPr>
      </w:pPr>
      <w:r>
        <w:rPr>
          <w:rFonts w:ascii="Courier New" w:cs="Courier New" w:eastAsia="Courier New" w:hAnsi="Courier New"/>
          <w:sz w:val="15"/>
          <w:szCs w:val="15"/>
          <w:color w:val="auto"/>
        </w:rPr>
        <w:t>The following is a summary of selected financial data for AFG and its subsidiaries for the three-month periods ended March 31, 2003 and March 31, 2002 and the five years ended December 31, 2002. This summary should be read in conjunction with the financial statements and their notes which are incorporated by reference to this document.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Three Months</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Ended March 31,</w:t>
            </w:r>
          </w:p>
        </w:tc>
        <w:tc>
          <w:tcPr>
            <w:tcW w:w="1180" w:type="dxa"/>
            <w:vAlign w:val="bottom"/>
          </w:tcPr>
          <w:p>
            <w:pPr>
              <w:spacing w:after="0"/>
              <w:rPr>
                <w:sz w:val="14"/>
                <w:szCs w:val="14"/>
                <w:color w:val="auto"/>
              </w:rPr>
            </w:pPr>
          </w:p>
        </w:tc>
        <w:tc>
          <w:tcPr>
            <w:tcW w:w="3120" w:type="dxa"/>
            <w:vAlign w:val="bottom"/>
            <w:gridSpan w:val="3"/>
          </w:tcPr>
          <w:p>
            <w:pPr>
              <w:jc w:val="right"/>
              <w:ind w:right="46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94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2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Earnings Statement Data:</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839</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925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$3,750</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$3,924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$3,360</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$4,082</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Earnings Before Income Taxes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 Extraordinary Items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Accounting Changes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Changes (a)</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(Loss) Before Extraordinary Items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Accounting Changes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Earnings (Loss) Available to Common Shares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(Loss) Before Extraordinary Items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Accounting Changes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Earnings (Loss) Available to Common Shares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Dividends Paid Per Share of</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$0.125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$0.125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(b):</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Including Annuity Benefits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Excluding Annuity Benefits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3.22</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$18,542</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$17,690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$19,505</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$17,402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$16,416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$16,054</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$15,845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Holding Companies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648</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493</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415</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Subsidiaries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472</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471</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508</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489</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522</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1,717</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1,726</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1,340</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1,716</w:t>
            </w:r>
          </w:p>
        </w:tc>
      </w:tr>
    </w:tbl>
    <w:p>
      <w:pPr>
        <w:spacing w:after="0" w:line="341" w:lineRule="exact"/>
        <w:rPr>
          <w:sz w:val="20"/>
          <w:szCs w:val="20"/>
          <w:color w:val="auto"/>
        </w:rPr>
      </w:pPr>
    </w:p>
    <w:p>
      <w:pPr>
        <w:ind w:left="800" w:right="5140" w:hanging="790"/>
        <w:spacing w:after="0" w:line="254" w:lineRule="auto"/>
        <w:tabs>
          <w:tab w:leader="none" w:pos="8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implementation in the following years of accounting changes mandated by recently enacted accounting standards:</w:t>
      </w:r>
    </w:p>
    <w:p>
      <w:pPr>
        <w:ind w:left="1680" w:right="558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2002 - SFAS #142 (Goodwill and Other Intangibles) 2001 - EITF 99-20 (Asset-backed Securities)</w:t>
      </w:r>
    </w:p>
    <w:p>
      <w:pPr>
        <w:ind w:left="1680" w:right="7060"/>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2000 - SFAS #133 (Derivatives) 1999 - SOP 98-5 (Start-up Costs)</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1540"/>
          </w:cols>
          <w:pgMar w:left="220" w:top="785" w:right="139" w:bottom="1440" w:gutter="0" w:footer="0" w:header="0"/>
        </w:sectPr>
      </w:pPr>
    </w:p>
    <w:bookmarkStart w:id="20" w:name="page21"/>
    <w:bookmarkEnd w:id="20"/>
    <w:p>
      <w:pPr>
        <w:ind w:left="790" w:right="3239" w:hanging="790"/>
        <w:spacing w:after="0" w:line="255" w:lineRule="auto"/>
        <w:tabs>
          <w:tab w:leader="none" w:pos="79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charges are computed on a "total enterprise" basis. For purposes of calculating the ratios, "earnings" have been computed by adding to pretax earnings the fixed charges and the minority interest in earnings of subsidiaries having fixed charges and the undistributed equity in losses of investees. Fixed charges include interest (including or excluding interest credited to annuity policyholders' accounts as indicated), amortization of debt premium/discount and expense, preferred dividend and distribution requirements of subsidiaries and a portion of rental expense deemed to be representative of the interest factor. Although the ratio of earnings to fixed charges excluding interest on annuities is not required or encouraged to be disclosed under Securities and Exchange Commission rules, some investors and lenders may not consider interest credited to annuity policyholders' accounts a borrowing cost for an insurance company, and accordingly, believe this ratio is meaningful.</w:t>
      </w:r>
    </w:p>
    <w:p>
      <w:pPr>
        <w:spacing w:after="0" w:line="200" w:lineRule="exact"/>
        <w:rPr>
          <w:sz w:val="20"/>
          <w:szCs w:val="20"/>
          <w:color w:val="auto"/>
        </w:rPr>
      </w:pPr>
    </w:p>
    <w:p>
      <w:pPr>
        <w:spacing w:after="0" w:line="294"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792" w:right="1440" w:bottom="1440" w:gutter="0" w:footer="0" w:header="0"/>
        </w:sectPr>
      </w:pPr>
    </w:p>
    <w:bookmarkStart w:id="21" w:name="page22"/>
    <w:bookmarkEnd w:id="21"/>
    <w:p>
      <w:pPr>
        <w:ind w:left="1760"/>
        <w:spacing w:after="0"/>
        <w:rPr>
          <w:sz w:val="20"/>
          <w:szCs w:val="20"/>
          <w:color w:val="auto"/>
        </w:rPr>
      </w:pPr>
      <w:r>
        <w:rPr>
          <w:rFonts w:ascii="Courier New" w:cs="Courier New" w:eastAsia="Courier New" w:hAnsi="Courier New"/>
          <w:sz w:val="15"/>
          <w:szCs w:val="15"/>
          <w:color w:val="auto"/>
        </w:rPr>
        <w:t>UNAUDITED PRO FORMA FINANCIAL INFORMATION</w:t>
      </w:r>
    </w:p>
    <w:p>
      <w:pPr>
        <w:spacing w:after="0" w:line="341" w:lineRule="exact"/>
        <w:rPr>
          <w:sz w:val="20"/>
          <w:szCs w:val="20"/>
          <w:color w:val="auto"/>
        </w:rPr>
      </w:pPr>
    </w:p>
    <w:p>
      <w:pPr>
        <w:ind w:right="3600" w:firstLine="787"/>
        <w:spacing w:after="0" w:line="236" w:lineRule="auto"/>
        <w:rPr>
          <w:sz w:val="20"/>
          <w:szCs w:val="20"/>
          <w:color w:val="auto"/>
        </w:rPr>
      </w:pPr>
      <w:r>
        <w:rPr>
          <w:rFonts w:ascii="Courier New" w:cs="Courier New" w:eastAsia="Courier New" w:hAnsi="Courier New"/>
          <w:sz w:val="15"/>
          <w:szCs w:val="15"/>
          <w:color w:val="auto"/>
        </w:rPr>
        <w:t>The following pro forma financial information is intended to provide information about how the reorganization might have affected AFG's historical financial statements if it had been consummated as of the beginning of the periods shown. The financial information is based upon and should be read in conjunction with the audited financial statements of AFG and related notes thereto and "Management's Discussion and Analysis of Financial Condition and Results of Operations" incorporated by reference in this prospectus. The results for interim periods are not necessarily indicative of results for the entire year.</w:t>
      </w:r>
    </w:p>
    <w:p>
      <w:pPr>
        <w:spacing w:after="0" w:line="17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 have prepared the Pro Forma Balance Sheet assuming that:</w:t>
      </w:r>
    </w:p>
    <w:p>
      <w:pPr>
        <w:spacing w:after="0" w:line="173" w:lineRule="exact"/>
        <w:rPr>
          <w:sz w:val="20"/>
          <w:szCs w:val="20"/>
          <w:color w:val="auto"/>
        </w:rPr>
      </w:pPr>
    </w:p>
    <w:p>
      <w:pPr>
        <w:ind w:left="1580" w:right="3860" w:hanging="783"/>
        <w:spacing w:after="0" w:line="235" w:lineRule="auto"/>
        <w:tabs>
          <w:tab w:leader="none" w:pos="15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AFG issued 3,247,685 shares of its Common Stock in exchange for the 2,886,161 shares of AFC Series J Preferred Stock outstanding, and</w:t>
      </w:r>
    </w:p>
    <w:p>
      <w:pPr>
        <w:spacing w:after="0" w:line="167"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of the reorganization amount to $600,000.</w:t>
      </w:r>
    </w:p>
    <w:p>
      <w:pPr>
        <w:spacing w:after="0" w:line="173" w:lineRule="exact"/>
        <w:rPr>
          <w:sz w:val="20"/>
          <w:szCs w:val="20"/>
          <w:color w:val="auto"/>
        </w:rPr>
      </w:pPr>
    </w:p>
    <w:p>
      <w:pPr>
        <w:ind w:right="3680" w:firstLine="787"/>
        <w:spacing w:after="0" w:line="235" w:lineRule="auto"/>
        <w:rPr>
          <w:sz w:val="20"/>
          <w:szCs w:val="20"/>
          <w:color w:val="auto"/>
        </w:rPr>
      </w:pPr>
      <w:r>
        <w:rPr>
          <w:rFonts w:ascii="Courier New" w:cs="Courier New" w:eastAsia="Courier New" w:hAnsi="Courier New"/>
          <w:sz w:val="15"/>
          <w:szCs w:val="15"/>
          <w:color w:val="auto"/>
        </w:rPr>
        <w:t>The shares assumed issued are based upon a closing price of $22.96 per AFG Common Share (on July 11, 2003) and an exchange price of $25.00 per AFC Preferred Share plus an amount representing accrued dividends of $0.836 per share (through September 30, 2003).</w:t>
      </w:r>
    </w:p>
    <w:p>
      <w:pPr>
        <w:spacing w:after="0" w:line="175" w:lineRule="exact"/>
        <w:rPr>
          <w:sz w:val="20"/>
          <w:szCs w:val="20"/>
          <w:color w:val="auto"/>
        </w:rPr>
      </w:pPr>
    </w:p>
    <w:p>
      <w:pPr>
        <w:ind w:right="3760" w:firstLine="787"/>
        <w:spacing w:after="0" w:line="258" w:lineRule="auto"/>
        <w:rPr>
          <w:sz w:val="20"/>
          <w:szCs w:val="20"/>
          <w:color w:val="auto"/>
        </w:rPr>
      </w:pPr>
      <w:r>
        <w:rPr>
          <w:rFonts w:ascii="Courier New" w:cs="Courier New" w:eastAsia="Courier New" w:hAnsi="Courier New"/>
          <w:sz w:val="14"/>
          <w:szCs w:val="14"/>
          <w:color w:val="auto"/>
        </w:rPr>
        <w:t>The Pro Forma Statements of Earnings are based upon the same data and are further adjusted to reflect the February 2003 sale of 61% of Infinity Property and Casualty Corporation as of the beginning of the periods shown.</w:t>
      </w:r>
    </w:p>
    <w:p>
      <w:pPr>
        <w:spacing w:after="0" w:line="323"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AMERICAN FINANCIAL GROUP, INC.</w:t>
      </w:r>
    </w:p>
    <w:p>
      <w:pPr>
        <w:jc w:val="center"/>
        <w:ind w:right="3580"/>
        <w:spacing w:after="0" w:line="237" w:lineRule="auto"/>
        <w:rPr>
          <w:sz w:val="20"/>
          <w:szCs w:val="20"/>
          <w:color w:val="auto"/>
        </w:rPr>
      </w:pPr>
      <w:r>
        <w:rPr>
          <w:rFonts w:ascii="Courier New" w:cs="Courier New" w:eastAsia="Courier New" w:hAnsi="Courier New"/>
          <w:sz w:val="15"/>
          <w:szCs w:val="15"/>
          <w:color w:val="auto"/>
        </w:rPr>
        <w:t>UNAUDITED PRO FORMA CONDENSED CONSOLIDATED BALANCE SHEET</w:t>
      </w:r>
    </w:p>
    <w:p>
      <w:pPr>
        <w:jc w:val="center"/>
        <w:ind w:right="3580"/>
        <w:spacing w:after="0" w:line="238" w:lineRule="auto"/>
        <w:rPr>
          <w:sz w:val="20"/>
          <w:szCs w:val="20"/>
          <w:color w:val="auto"/>
        </w:rPr>
      </w:pPr>
      <w:r>
        <w:rPr>
          <w:rFonts w:ascii="Courier New" w:cs="Courier New" w:eastAsia="Courier New" w:hAnsi="Courier New"/>
          <w:sz w:val="15"/>
          <w:szCs w:val="15"/>
          <w:color w:val="auto"/>
        </w:rPr>
        <w:t>MARCH 31, 2003</w:t>
      </w:r>
    </w:p>
    <w:p>
      <w:pPr>
        <w:jc w:val="center"/>
        <w:ind w:right="350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AFG</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AFG Pro</w:t>
            </w:r>
          </w:p>
        </w:tc>
      </w:tr>
      <w:tr>
        <w:trPr>
          <w:trHeight w:val="168"/>
        </w:trPr>
        <w:tc>
          <w:tcPr>
            <w:tcW w:w="5740" w:type="dxa"/>
            <w:vAlign w:val="bottom"/>
          </w:tcPr>
          <w:p>
            <w:pPr>
              <w:spacing w:after="0"/>
              <w:rPr>
                <w:sz w:val="14"/>
                <w:szCs w:val="14"/>
                <w:color w:val="auto"/>
              </w:rPr>
            </w:pP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Historical</w:t>
            </w:r>
          </w:p>
        </w:tc>
        <w:tc>
          <w:tcPr>
            <w:tcW w:w="30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Adjustments</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Forma</w:t>
            </w:r>
          </w:p>
        </w:tc>
      </w:tr>
      <w:tr>
        <w:trPr>
          <w:trHeight w:val="168"/>
        </w:trPr>
        <w:tc>
          <w:tcPr>
            <w:tcW w:w="574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investments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$13,107.5</w:t>
            </w:r>
          </w:p>
        </w:tc>
        <w:tc>
          <w:tcPr>
            <w:tcW w:w="30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($0.6)(5)</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$13,106.9</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Recoverables from reinsurers and prepaid reinsurance</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premiums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2,915.5</w:t>
            </w:r>
          </w:p>
        </w:tc>
        <w:tc>
          <w:tcPr>
            <w:tcW w:w="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2,915.5</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Agents' balances and premiums receivable</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484.2</w:t>
            </w:r>
          </w:p>
        </w:tc>
        <w:tc>
          <w:tcPr>
            <w:tcW w:w="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484.2</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acquisition costs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815.5</w:t>
            </w:r>
          </w:p>
        </w:tc>
        <w:tc>
          <w:tcPr>
            <w:tcW w:w="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815.5</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deferred charges and other assets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1,046.0</w:t>
            </w:r>
          </w:p>
        </w:tc>
        <w:tc>
          <w:tcPr>
            <w:tcW w:w="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1,046.0</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Goodwill</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173.4</w:t>
            </w:r>
          </w:p>
        </w:tc>
        <w:tc>
          <w:tcPr>
            <w:tcW w:w="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173.4</w:t>
            </w:r>
          </w:p>
        </w:tc>
      </w:tr>
      <w:tr>
        <w:trPr>
          <w:trHeight w:val="168"/>
        </w:trPr>
        <w:tc>
          <w:tcPr>
            <w:tcW w:w="574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$18,542.1</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c>
          <w:tcPr>
            <w:tcW w:w="7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$18,541.5</w:t>
            </w:r>
          </w:p>
        </w:tc>
      </w:tr>
      <w:tr>
        <w:trPr>
          <w:trHeight w:val="168"/>
        </w:trPr>
        <w:tc>
          <w:tcPr>
            <w:tcW w:w="574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CAPITAL:</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Unpaid losses and loss adjustment expenses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$4,601.3</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4,601.3</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Unearned premiums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1,543.3</w:t>
            </w:r>
          </w:p>
        </w:tc>
        <w:tc>
          <w:tcPr>
            <w:tcW w:w="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1,543.3</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Annuity benefits accumulated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6,610.5</w:t>
            </w:r>
          </w:p>
        </w:tc>
        <w:tc>
          <w:tcPr>
            <w:tcW w:w="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6,610.5</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debt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792.0</w:t>
            </w:r>
          </w:p>
        </w:tc>
        <w:tc>
          <w:tcPr>
            <w:tcW w:w="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792.0</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accrued expenses and other liabilities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2,805.9</w:t>
            </w:r>
          </w:p>
        </w:tc>
        <w:tc>
          <w:tcPr>
            <w:tcW w:w="30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(170.0)(4)</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2,635.9</w:t>
            </w:r>
          </w:p>
        </w:tc>
      </w:tr>
      <w:tr>
        <w:trPr>
          <w:trHeight w:val="168"/>
        </w:trPr>
        <w:tc>
          <w:tcPr>
            <w:tcW w:w="574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16,353.0</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(170.0)</w:t>
            </w:r>
          </w:p>
        </w:tc>
        <w:tc>
          <w:tcPr>
            <w:tcW w:w="7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16,183.0</w:t>
            </w:r>
          </w:p>
        </w:tc>
      </w:tr>
      <w:tr>
        <w:trPr>
          <w:trHeight w:val="336"/>
        </w:trPr>
        <w:tc>
          <w:tcPr>
            <w:tcW w:w="5740" w:type="dxa"/>
            <w:vAlign w:val="bottom"/>
          </w:tcPr>
          <w:p>
            <w:pPr>
              <w:ind w:left="280"/>
              <w:spacing w:after="0"/>
              <w:rPr>
                <w:sz w:val="20"/>
                <w:szCs w:val="20"/>
                <w:color w:val="auto"/>
              </w:rPr>
            </w:pPr>
            <w:r>
              <w:rPr>
                <w:rFonts w:ascii="Courier New" w:cs="Courier New" w:eastAsia="Courier New" w:hAnsi="Courier New"/>
                <w:sz w:val="15"/>
                <w:szCs w:val="15"/>
                <w:color w:val="auto"/>
              </w:rPr>
              <w:t>Minority Interest</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472.2</w:t>
            </w:r>
          </w:p>
        </w:tc>
        <w:tc>
          <w:tcPr>
            <w:tcW w:w="300" w:type="dxa"/>
            <w:vAlign w:val="bottom"/>
          </w:tcPr>
          <w:p>
            <w:pPr>
              <w:spacing w:after="0"/>
              <w:rPr>
                <w:sz w:val="24"/>
                <w:szCs w:val="24"/>
                <w:color w:val="auto"/>
              </w:rPr>
            </w:pP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(72.2)(3)</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400.0</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1,716.9</w:t>
            </w:r>
          </w:p>
        </w:tc>
        <w:tc>
          <w:tcPr>
            <w:tcW w:w="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170.0</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1280" w:type="dxa"/>
            <w:vAlign w:val="bottom"/>
          </w:tcPr>
          <w:p>
            <w:pPr>
              <w:spacing w:after="0"/>
              <w:rPr>
                <w:sz w:val="14"/>
                <w:szCs w:val="14"/>
                <w:color w:val="auto"/>
              </w:rPr>
            </w:pPr>
          </w:p>
        </w:tc>
      </w:tr>
      <w:tr>
        <w:trPr>
          <w:trHeight w:val="168"/>
        </w:trPr>
        <w:tc>
          <w:tcPr>
            <w:tcW w:w="5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71.6</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(3)(5)</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1,958.5</w:t>
            </w:r>
          </w:p>
        </w:tc>
      </w:tr>
      <w:tr>
        <w:trPr>
          <w:trHeight w:val="168"/>
        </w:trPr>
        <w:tc>
          <w:tcPr>
            <w:tcW w:w="574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$18,542.1</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c>
          <w:tcPr>
            <w:tcW w:w="7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$18,541.5</w:t>
            </w:r>
          </w:p>
        </w:tc>
      </w:tr>
      <w:tr>
        <w:trPr>
          <w:trHeight w:val="168"/>
        </w:trPr>
        <w:tc>
          <w:tcPr>
            <w:tcW w:w="574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5740" w:type="dxa"/>
            <w:vAlign w:val="bottom"/>
          </w:tcPr>
          <w:p>
            <w:pPr>
              <w:ind w:left="3340"/>
              <w:spacing w:after="0"/>
              <w:rPr>
                <w:sz w:val="20"/>
                <w:szCs w:val="20"/>
                <w:color w:val="auto"/>
              </w:rPr>
            </w:pPr>
            <w:r>
              <w:rPr>
                <w:rFonts w:ascii="Courier New" w:cs="Courier New" w:eastAsia="Courier New" w:hAnsi="Courier New"/>
                <w:sz w:val="15"/>
                <w:szCs w:val="15"/>
                <w:color w:val="auto"/>
              </w:rPr>
              <w:t>-17-</w:t>
            </w: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600"/>
          </w:cols>
          <w:pgMar w:left="220" w:top="785" w:right="1079" w:bottom="1440" w:gutter="0" w:footer="0" w:header="0"/>
        </w:sectPr>
      </w:pPr>
    </w:p>
    <w:bookmarkStart w:id="22" w:name="page23"/>
    <w:bookmarkEnd w:id="22"/>
    <w:p>
      <w:pPr>
        <w:jc w:val="center"/>
        <w:ind w:right="3660"/>
        <w:spacing w:after="0"/>
        <w:rPr>
          <w:sz w:val="20"/>
          <w:szCs w:val="20"/>
          <w:color w:val="auto"/>
        </w:rPr>
      </w:pPr>
      <w:r>
        <w:rPr>
          <w:rFonts w:ascii="Courier New" w:cs="Courier New" w:eastAsia="Courier New" w:hAnsi="Courier New"/>
          <w:sz w:val="15"/>
          <w:szCs w:val="15"/>
          <w:color w:val="auto"/>
        </w:rPr>
        <w:t>AMERICAN FINANCIAL GROUP, INC.</w:t>
      </w:r>
    </w:p>
    <w:p>
      <w:pPr>
        <w:jc w:val="center"/>
        <w:ind w:right="3660"/>
        <w:spacing w:after="0" w:line="237" w:lineRule="auto"/>
        <w:rPr>
          <w:sz w:val="20"/>
          <w:szCs w:val="20"/>
          <w:color w:val="auto"/>
        </w:rPr>
      </w:pPr>
      <w:r>
        <w:rPr>
          <w:rFonts w:ascii="Courier New" w:cs="Courier New" w:eastAsia="Courier New" w:hAnsi="Courier New"/>
          <w:sz w:val="15"/>
          <w:szCs w:val="15"/>
          <w:color w:val="auto"/>
        </w:rPr>
        <w:t>UNAUDITED PRO FORMA CONDENSED CONSOLIDATED STATEMENT OF EARNINGS</w:t>
      </w:r>
    </w:p>
    <w:p>
      <w:pPr>
        <w:jc w:val="center"/>
        <w:ind w:right="3580"/>
        <w:spacing w:after="0" w:line="238" w:lineRule="auto"/>
        <w:rPr>
          <w:sz w:val="20"/>
          <w:szCs w:val="20"/>
          <w:color w:val="auto"/>
        </w:rPr>
      </w:pPr>
      <w:r>
        <w:rPr>
          <w:rFonts w:ascii="Courier New" w:cs="Courier New" w:eastAsia="Courier New" w:hAnsi="Courier New"/>
          <w:sz w:val="15"/>
          <w:szCs w:val="15"/>
          <w:color w:val="auto"/>
        </w:rPr>
        <w:t>THREE MONTHS ENDED MARCH 31, 2003</w:t>
      </w:r>
    </w:p>
    <w:p>
      <w:pPr>
        <w:jc w:val="center"/>
        <w:ind w:right="358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Eliminate</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Loss on</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Eliminate</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Sale of</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AFG</w:t>
            </w:r>
          </w:p>
        </w:tc>
      </w:tr>
      <w:tr>
        <w:trPr>
          <w:trHeight w:val="168"/>
        </w:trPr>
        <w:tc>
          <w:tcPr>
            <w:tcW w:w="372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AFG</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Infinity's</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Infinity</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AFG</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Merger</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Pro</w:t>
            </w:r>
          </w:p>
        </w:tc>
      </w:tr>
      <w:tr>
        <w:trPr>
          <w:trHeight w:val="168"/>
        </w:trPr>
        <w:tc>
          <w:tcPr>
            <w:tcW w:w="3720" w:type="dxa"/>
            <w:vAlign w:val="bottom"/>
          </w:tcPr>
          <w:p>
            <w:pPr>
              <w:spacing w:after="0"/>
              <w:rPr>
                <w:sz w:val="14"/>
                <w:szCs w:val="14"/>
                <w:color w:val="auto"/>
              </w:rPr>
            </w:pP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Historical</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Accounts(1)</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Adjusted</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Adjustments</w:t>
            </w: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Forma</w:t>
            </w:r>
          </w:p>
        </w:tc>
      </w:tr>
      <w:tr>
        <w:trPr>
          <w:trHeight w:val="168"/>
        </w:trPr>
        <w:tc>
          <w:tcPr>
            <w:tcW w:w="3720" w:type="dxa"/>
            <w:vAlign w:val="bottom"/>
          </w:tcPr>
          <w:p>
            <w:pPr>
              <w:spacing w:after="0"/>
              <w:rPr>
                <w:sz w:val="14"/>
                <w:szCs w:val="14"/>
                <w:color w:val="auto"/>
              </w:rPr>
            </w:pP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Property and casualty insurance premiums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$542.8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$(78.7)</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$464.1</w:t>
            </w:r>
          </w:p>
        </w:tc>
        <w:tc>
          <w:tcPr>
            <w:tcW w:w="12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$464.1</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193.8</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193.8</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Realized losses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131.0</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131.0</w:t>
            </w:r>
          </w:p>
        </w:tc>
      </w:tr>
      <w:tr>
        <w:trPr>
          <w:trHeight w:val="168"/>
        </w:trPr>
        <w:tc>
          <w:tcPr>
            <w:tcW w:w="3720" w:type="dxa"/>
            <w:vAlign w:val="bottom"/>
          </w:tcPr>
          <w:p>
            <w:pPr>
              <w:spacing w:after="0"/>
              <w:rPr>
                <w:sz w:val="14"/>
                <w:szCs w:val="14"/>
                <w:color w:val="auto"/>
              </w:rPr>
            </w:pP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839.1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(87.8)</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790.7</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790.7</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casualty insurance:</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Losses and loss adjustment expenses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(64.3)</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307.7</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307.7</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Commissions and other underwriting</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147.1</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147.1</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Annuity benefits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74.8</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74.8</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charges on borrowed money</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operating and general expenses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181.8</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3720" w:type="dxa"/>
            <w:vAlign w:val="bottom"/>
          </w:tcPr>
          <w:p>
            <w:pPr>
              <w:spacing w:after="0"/>
              <w:rPr>
                <w:sz w:val="14"/>
                <w:szCs w:val="14"/>
                <w:color w:val="auto"/>
              </w:rPr>
            </w:pP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801.2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(78.9)</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722.3</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722.3</w:t>
            </w:r>
          </w:p>
        </w:tc>
      </w:tr>
      <w:tr>
        <w:trPr>
          <w:trHeight w:val="168"/>
        </w:trPr>
        <w:tc>
          <w:tcPr>
            <w:tcW w:w="3720" w:type="dxa"/>
            <w:vAlign w:val="bottom"/>
          </w:tcPr>
          <w:p>
            <w:pPr>
              <w:spacing w:after="0"/>
              <w:rPr>
                <w:sz w:val="14"/>
                <w:szCs w:val="14"/>
                <w:color w:val="auto"/>
              </w:rPr>
            </w:pP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Operating earnings before income taxes</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37.9</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39.4</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68.4</w:t>
            </w:r>
          </w:p>
        </w:tc>
        <w:tc>
          <w:tcPr>
            <w:tcW w:w="12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68.4</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Provision (credit) for income taxes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13.8</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16.6</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 (4)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3720" w:type="dxa"/>
            <w:vAlign w:val="bottom"/>
          </w:tcPr>
          <w:p>
            <w:pPr>
              <w:spacing w:after="0"/>
              <w:rPr>
                <w:sz w:val="14"/>
                <w:szCs w:val="14"/>
                <w:color w:val="auto"/>
              </w:rPr>
            </w:pP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Net operating earnings</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25.6</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51.8</w:t>
            </w:r>
          </w:p>
        </w:tc>
        <w:tc>
          <w:tcPr>
            <w:tcW w:w="12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51.8</w:t>
            </w:r>
          </w:p>
        </w:tc>
      </w:tr>
      <w:tr>
        <w:trPr>
          <w:trHeight w:val="336"/>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 expense, net of tax</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w:t>
            </w:r>
          </w:p>
        </w:tc>
        <w:tc>
          <w:tcPr>
            <w:tcW w:w="1220" w:type="dxa"/>
            <w:vAlign w:val="bottom"/>
          </w:tcPr>
          <w:p>
            <w:pPr>
              <w:ind w:left="520"/>
              <w:spacing w:after="0"/>
              <w:rPr>
                <w:sz w:val="20"/>
                <w:szCs w:val="20"/>
                <w:color w:val="auto"/>
              </w:rPr>
            </w:pPr>
            <w:r>
              <w:rPr>
                <w:rFonts w:ascii="Courier New" w:cs="Courier New" w:eastAsia="Courier New" w:hAnsi="Courier New"/>
                <w:sz w:val="15"/>
                <w:szCs w:val="15"/>
                <w:color w:val="auto"/>
              </w:rPr>
              <w:t>1.4(6)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w:t>
            </w:r>
          </w:p>
        </w:tc>
      </w:tr>
      <w:tr>
        <w:trPr>
          <w:trHeight w:val="336"/>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Equity in net earnings (losses) of</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investees, net of tax</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720" w:type="dxa"/>
            <w:vAlign w:val="bottom"/>
          </w:tcPr>
          <w:p>
            <w:pPr>
              <w:spacing w:after="0"/>
              <w:rPr>
                <w:sz w:val="14"/>
                <w:szCs w:val="14"/>
                <w:color w:val="auto"/>
              </w:rPr>
            </w:pP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BEFORE CUMULATIVE EFFECT OF</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$25.6</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$46.4</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$47.8</w:t>
            </w:r>
          </w:p>
        </w:tc>
      </w:tr>
      <w:tr>
        <w:trPr>
          <w:trHeight w:val="168"/>
        </w:trPr>
        <w:tc>
          <w:tcPr>
            <w:tcW w:w="3720" w:type="dxa"/>
            <w:vAlign w:val="bottom"/>
          </w:tcPr>
          <w:p>
            <w:pPr>
              <w:spacing w:after="0"/>
              <w:rPr>
                <w:sz w:val="14"/>
                <w:szCs w:val="14"/>
                <w:color w:val="auto"/>
              </w:rPr>
            </w:pP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EARNINGS PER COMMON SHARE BEFORE</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EFFECTING OF AN</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$0.36</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$0.67</w:t>
            </w:r>
          </w:p>
        </w:tc>
        <w:tc>
          <w:tcPr>
            <w:tcW w:w="1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$0.66(7)</w:t>
            </w:r>
          </w:p>
        </w:tc>
      </w:tr>
      <w:tr>
        <w:trPr>
          <w:trHeight w:val="168"/>
        </w:trPr>
        <w:tc>
          <w:tcPr>
            <w:tcW w:w="3720" w:type="dxa"/>
            <w:vAlign w:val="bottom"/>
          </w:tcPr>
          <w:p>
            <w:pPr>
              <w:spacing w:after="0"/>
              <w:rPr>
                <w:sz w:val="14"/>
                <w:szCs w:val="14"/>
                <w:color w:val="auto"/>
              </w:rPr>
            </w:pP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$0.36</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$0.67</w:t>
            </w:r>
          </w:p>
        </w:tc>
        <w:tc>
          <w:tcPr>
            <w:tcW w:w="1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$0.66(7)</w:t>
            </w:r>
          </w:p>
        </w:tc>
      </w:tr>
      <w:tr>
        <w:trPr>
          <w:trHeight w:val="168"/>
        </w:trPr>
        <w:tc>
          <w:tcPr>
            <w:tcW w:w="3720" w:type="dxa"/>
            <w:vAlign w:val="bottom"/>
          </w:tcPr>
          <w:p>
            <w:pPr>
              <w:spacing w:after="0"/>
              <w:rPr>
                <w:sz w:val="14"/>
                <w:szCs w:val="14"/>
                <w:color w:val="auto"/>
              </w:rPr>
            </w:pP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Average number of Common Shares:</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69,289</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3,248(3)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72,537</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69,403</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3,248(3)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72,651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680"/>
          </w:cols>
          <w:pgMar w:left="220" w:top="785" w:right="999" w:bottom="1440" w:gutter="0" w:footer="0" w:header="0"/>
        </w:sectPr>
      </w:pPr>
    </w:p>
    <w:bookmarkStart w:id="23" w:name="page24"/>
    <w:bookmarkEnd w:id="23"/>
    <w:p>
      <w:pPr>
        <w:jc w:val="center"/>
        <w:ind w:right="4020"/>
        <w:spacing w:after="0"/>
        <w:rPr>
          <w:sz w:val="20"/>
          <w:szCs w:val="20"/>
          <w:color w:val="auto"/>
        </w:rPr>
      </w:pPr>
      <w:r>
        <w:rPr>
          <w:rFonts w:ascii="Courier New" w:cs="Courier New" w:eastAsia="Courier New" w:hAnsi="Courier New"/>
          <w:sz w:val="15"/>
          <w:szCs w:val="15"/>
          <w:color w:val="auto"/>
        </w:rPr>
        <w:t>AMERICAN FINANCIAL GROUP, INC.</w:t>
      </w:r>
    </w:p>
    <w:p>
      <w:pPr>
        <w:jc w:val="center"/>
        <w:ind w:right="4020"/>
        <w:spacing w:after="0" w:line="237" w:lineRule="auto"/>
        <w:rPr>
          <w:sz w:val="20"/>
          <w:szCs w:val="20"/>
          <w:color w:val="auto"/>
        </w:rPr>
      </w:pPr>
      <w:r>
        <w:rPr>
          <w:rFonts w:ascii="Courier New" w:cs="Courier New" w:eastAsia="Courier New" w:hAnsi="Courier New"/>
          <w:sz w:val="15"/>
          <w:szCs w:val="15"/>
          <w:color w:val="auto"/>
        </w:rPr>
        <w:t>UNAUDITED PRO FORMA CONDENSED CONSOLIDATED STATEMENT OF EARNINGS</w:t>
      </w:r>
    </w:p>
    <w:p>
      <w:pPr>
        <w:jc w:val="center"/>
        <w:ind w:right="4020"/>
        <w:spacing w:after="0" w:line="238" w:lineRule="auto"/>
        <w:rPr>
          <w:sz w:val="20"/>
          <w:szCs w:val="20"/>
          <w:color w:val="auto"/>
        </w:rPr>
      </w:pPr>
      <w:r>
        <w:rPr>
          <w:rFonts w:ascii="Courier New" w:cs="Courier New" w:eastAsia="Courier New" w:hAnsi="Courier New"/>
          <w:sz w:val="15"/>
          <w:szCs w:val="15"/>
          <w:color w:val="auto"/>
        </w:rPr>
        <w:t>YEAR ENDED DECEMBER 31, 2002</w:t>
      </w:r>
    </w:p>
    <w:tbl>
      <w:tblPr>
        <w:tblLayout w:type="fixed"/>
        <w:tblInd w:w="0" w:type="dxa"/>
        <w:tblCellMar>
          <w:top w:w="0" w:type="dxa"/>
          <w:left w:w="0" w:type="dxa"/>
          <w:bottom w:w="0" w:type="dxa"/>
          <w:right w:w="0" w:type="dxa"/>
        </w:tblCellMar>
      </w:tblPr>
      <w:tr>
        <w:trPr>
          <w:trHeight w:val="168"/>
        </w:trPr>
        <w:tc>
          <w:tcPr>
            <w:tcW w:w="4340" w:type="dxa"/>
            <w:vAlign w:val="bottom"/>
          </w:tcPr>
          <w:p>
            <w:pPr>
              <w:ind w:left="2980"/>
              <w:spacing w:after="0" w:line="168" w:lineRule="exact"/>
              <w:rPr>
                <w:sz w:val="20"/>
                <w:szCs w:val="20"/>
                <w:color w:val="auto"/>
              </w:rPr>
            </w:pPr>
            <w:r>
              <w:rPr>
                <w:rFonts w:ascii="Courier New" w:cs="Courier New" w:eastAsia="Courier New" w:hAnsi="Courier New"/>
                <w:sz w:val="15"/>
                <w:szCs w:val="15"/>
                <w:color w:val="auto"/>
              </w:rPr>
              <w:t>(IN MILLIONS)</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73"/>
        </w:trPr>
        <w:tc>
          <w:tcPr>
            <w:tcW w:w="4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5"/>
                <w:szCs w:val="15"/>
                <w:color w:val="auto"/>
              </w:rPr>
              <w:t>Eliminate</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434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AFG</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Infinity's</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AFG</w:t>
            </w:r>
          </w:p>
        </w:tc>
        <w:tc>
          <w:tcPr>
            <w:tcW w:w="42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6"/>
              </w:rPr>
              <w:t>Merger</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AFG Pro</w:t>
            </w:r>
          </w:p>
        </w:tc>
      </w:tr>
      <w:tr>
        <w:trPr>
          <w:trHeight w:val="168"/>
        </w:trPr>
        <w:tc>
          <w:tcPr>
            <w:tcW w:w="434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Historical</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Accounts(1)</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Adjusted</w:t>
            </w: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Adjustments</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Forma</w:t>
            </w:r>
          </w:p>
        </w:tc>
      </w:tr>
      <w:tr>
        <w:trPr>
          <w:trHeight w:val="168"/>
        </w:trPr>
        <w:tc>
          <w:tcPr>
            <w:tcW w:w="434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casualty insurance premiums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$2,402.6</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$(753.1)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$1,649.5</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$1,649.5</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862.7</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(78.3)</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784.4</w:t>
            </w:r>
          </w:p>
        </w:tc>
        <w:tc>
          <w:tcPr>
            <w:tcW w:w="4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784.4</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Realized losses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(80.6)</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(85.4)</w:t>
            </w:r>
          </w:p>
        </w:tc>
        <w:tc>
          <w:tcPr>
            <w:tcW w:w="4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(85.4)</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564.9</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560.7</w:t>
            </w:r>
          </w:p>
        </w:tc>
        <w:tc>
          <w:tcPr>
            <w:tcW w:w="4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560.7</w:t>
            </w:r>
          </w:p>
        </w:tc>
      </w:tr>
      <w:tr>
        <w:trPr>
          <w:trHeight w:val="168"/>
        </w:trPr>
        <w:tc>
          <w:tcPr>
            <w:tcW w:w="434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3,749.6</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(840.4)</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2,909.2</w:t>
            </w:r>
          </w:p>
        </w:tc>
        <w:tc>
          <w:tcPr>
            <w:tcW w:w="4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2,909.2</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casualty insurance:</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Losses and loss adjustment expenses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1,814.7</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(618.8)</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1,195.9</w:t>
            </w:r>
          </w:p>
        </w:tc>
        <w:tc>
          <w:tcPr>
            <w:tcW w:w="4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1,195.9</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Commissions and other underwriting expenses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614.2</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(105.2)</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509.0</w:t>
            </w:r>
          </w:p>
        </w:tc>
        <w:tc>
          <w:tcPr>
            <w:tcW w:w="4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509.0</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Annuity benefits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301.0</w:t>
            </w:r>
          </w:p>
        </w:tc>
        <w:tc>
          <w:tcPr>
            <w:tcW w:w="4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301.0</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charges on borrowed money</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48.4</w:t>
            </w:r>
          </w:p>
        </w:tc>
        <w:tc>
          <w:tcPr>
            <w:tcW w:w="4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48.4</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operating and general expenses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781.3</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(29.4)</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751.9</w:t>
            </w:r>
          </w:p>
        </w:tc>
        <w:tc>
          <w:tcPr>
            <w:tcW w:w="4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751.9</w:t>
            </w:r>
          </w:p>
        </w:tc>
      </w:tr>
      <w:tr>
        <w:trPr>
          <w:trHeight w:val="168"/>
        </w:trPr>
        <w:tc>
          <w:tcPr>
            <w:tcW w:w="434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3,571.6</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(765.4)</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2,806.2</w:t>
            </w:r>
          </w:p>
        </w:tc>
        <w:tc>
          <w:tcPr>
            <w:tcW w:w="4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2,806.2</w:t>
            </w:r>
          </w:p>
        </w:tc>
      </w:tr>
      <w:tr>
        <w:trPr>
          <w:trHeight w:val="168"/>
        </w:trPr>
        <w:tc>
          <w:tcPr>
            <w:tcW w:w="434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Operating earnings before income taxes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178.0</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103.0</w:t>
            </w:r>
          </w:p>
        </w:tc>
        <w:tc>
          <w:tcPr>
            <w:tcW w:w="42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103.0</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Provision (credit) for income taxes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(26.6)</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c>
          <w:tcPr>
            <w:tcW w:w="4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434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Net operating earnings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160.1</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(48.4)</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111.7</w:t>
            </w:r>
          </w:p>
        </w:tc>
        <w:tc>
          <w:tcPr>
            <w:tcW w:w="42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111.7</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 expense, net of tax</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(26.2)</w:t>
            </w:r>
          </w:p>
        </w:tc>
        <w:tc>
          <w:tcPr>
            <w:tcW w:w="4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Equity in net earnings (losses) of investees,</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tax</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w:t>
            </w:r>
          </w:p>
        </w:tc>
        <w:tc>
          <w:tcPr>
            <w:tcW w:w="4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434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BEFORE CUMULATIVE EFFECT OF</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$(37.7)</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$87.3</w:t>
            </w:r>
          </w:p>
        </w:tc>
        <w:tc>
          <w:tcPr>
            <w:tcW w:w="4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$93.1</w:t>
            </w:r>
          </w:p>
        </w:tc>
      </w:tr>
      <w:tr>
        <w:trPr>
          <w:trHeight w:val="168"/>
        </w:trPr>
        <w:tc>
          <w:tcPr>
            <w:tcW w:w="434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EARNINGS PER COMMON SHARE BEFORE</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EFFECTING OF AN ACCOUNTING</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Basic</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w:t>
            </w:r>
          </w:p>
        </w:tc>
        <w:tc>
          <w:tcPr>
            <w:tcW w:w="130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$1.27</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$1.29(7)</w:t>
            </w:r>
          </w:p>
        </w:tc>
      </w:tr>
      <w:tr>
        <w:trPr>
          <w:trHeight w:val="168"/>
        </w:trPr>
        <w:tc>
          <w:tcPr>
            <w:tcW w:w="434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w:t>
            </w:r>
          </w:p>
        </w:tc>
        <w:tc>
          <w:tcPr>
            <w:tcW w:w="130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$1.26</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$1.29(7)</w:t>
            </w:r>
          </w:p>
        </w:tc>
      </w:tr>
      <w:tr>
        <w:trPr>
          <w:trHeight w:val="168"/>
        </w:trPr>
        <w:tc>
          <w:tcPr>
            <w:tcW w:w="434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Average number of Common Shares:</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68,800</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3,248(3)</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72,048</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69,203</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3,248(3)</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72,451</w:t>
            </w:r>
          </w:p>
        </w:tc>
      </w:tr>
    </w:tbl>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Notes to Unaudited Proforma Financial Information</w:t>
      </w:r>
    </w:p>
    <w:p>
      <w:pPr>
        <w:spacing w:after="0" w:line="173" w:lineRule="exact"/>
        <w:rPr>
          <w:sz w:val="20"/>
          <w:szCs w:val="20"/>
          <w:color w:val="auto"/>
        </w:rPr>
      </w:pPr>
    </w:p>
    <w:p>
      <w:pPr>
        <w:ind w:left="540" w:right="4040" w:hanging="530"/>
        <w:spacing w:after="0" w:line="235"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Infinity Property and Casualty Corporation for the periods it was consolidated with AFG prior to the sale of 61% of Infinity in February 2003.</w:t>
      </w:r>
    </w:p>
    <w:p>
      <w:pPr>
        <w:spacing w:after="0" w:line="5" w:lineRule="exact"/>
        <w:rPr>
          <w:rFonts w:ascii="Courier New" w:cs="Courier New" w:eastAsia="Courier New" w:hAnsi="Courier New"/>
          <w:sz w:val="15"/>
          <w:szCs w:val="15"/>
          <w:color w:val="auto"/>
        </w:rPr>
      </w:pPr>
    </w:p>
    <w:p>
      <w:pPr>
        <w:ind w:left="540" w:right="4040" w:hanging="530"/>
        <w:spacing w:after="0" w:line="23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AFG's $39.4 million loss on the sale of 61% of Infinity in February 2003.</w:t>
      </w:r>
    </w:p>
    <w:p>
      <w:pPr>
        <w:spacing w:after="0" w:line="5" w:lineRule="exact"/>
        <w:rPr>
          <w:rFonts w:ascii="Courier New" w:cs="Courier New" w:eastAsia="Courier New" w:hAnsi="Courier New"/>
          <w:sz w:val="15"/>
          <w:szCs w:val="15"/>
          <w:color w:val="auto"/>
        </w:rPr>
      </w:pPr>
    </w:p>
    <w:p>
      <w:pPr>
        <w:ind w:left="540" w:right="4120" w:hanging="530"/>
        <w:spacing w:after="0" w:line="235"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issuance of 3,247,685 shares of AFG Common Stock in exchange for all of the AFC Series J Preferred Stock as of the first day of the periods shown.</w:t>
      </w:r>
    </w:p>
    <w:p>
      <w:pPr>
        <w:spacing w:after="0" w:line="5" w:lineRule="exact"/>
        <w:rPr>
          <w:rFonts w:ascii="Courier New" w:cs="Courier New" w:eastAsia="Courier New" w:hAnsi="Courier New"/>
          <w:sz w:val="15"/>
          <w:szCs w:val="15"/>
          <w:color w:val="auto"/>
        </w:rPr>
      </w:pPr>
    </w:p>
    <w:p>
      <w:pPr>
        <w:ind w:left="540" w:right="4120" w:hanging="530"/>
        <w:spacing w:after="0" w:line="236"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a $170 million deferred tax liability associated with shares of AFG Common Stock held by AFC and a subsidiary. AFC accounted for this investment (and its predecessor) under the equity method as an investee since 1982. AFC recorded deferred income taxes on its equity in investee earnings (aggregating approximately $130 million). Because AFG and AFC were in different tax groups, AFC also recorded approximately $40 million in deferred taxes related to AFG dividends received. If the AFC Merger is approved, the $170 million liability will be eliminated (Balance Sheet only*).</w:t>
      </w:r>
    </w:p>
    <w:p>
      <w:pPr>
        <w:spacing w:after="0" w:line="10" w:lineRule="exact"/>
        <w:rPr>
          <w:rFonts w:ascii="Courier New" w:cs="Courier New" w:eastAsia="Courier New" w:hAnsi="Courier New"/>
          <w:sz w:val="15"/>
          <w:szCs w:val="15"/>
          <w:color w:val="auto"/>
        </w:rPr>
      </w:pPr>
    </w:p>
    <w:p>
      <w:pPr>
        <w:ind w:left="540" w:right="4120" w:hanging="530"/>
        <w:spacing w:after="0" w:line="23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$600,000 in estimated costs of the reorganization (Balance Sheet only*).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040"/>
          </w:cols>
          <w:pgMar w:left="220" w:top="785" w:right="639" w:bottom="1440" w:gutter="0" w:footer="0" w:header="0"/>
        </w:sectPr>
      </w:pPr>
    </w:p>
    <w:bookmarkStart w:id="24" w:name="page25"/>
    <w:bookmarkEnd w:id="24"/>
    <w:p>
      <w:pPr>
        <w:ind w:left="540" w:right="3319" w:hanging="530"/>
        <w:spacing w:after="0" w:line="234" w:lineRule="auto"/>
        <w:tabs>
          <w:tab w:leader="none" w:pos="5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AFC Series J dividends of $1.4 million in the three months ended March 31, 2003, and $5.8 million in 2002.</w:t>
      </w:r>
    </w:p>
    <w:p>
      <w:pPr>
        <w:spacing w:after="0" w:line="5" w:lineRule="exact"/>
        <w:rPr>
          <w:rFonts w:ascii="Courier New" w:cs="Courier New" w:eastAsia="Courier New" w:hAnsi="Courier New"/>
          <w:sz w:val="15"/>
          <w:szCs w:val="15"/>
          <w:color w:val="auto"/>
        </w:rPr>
      </w:pPr>
    </w:p>
    <w:p>
      <w:pPr>
        <w:ind w:left="540" w:right="3499" w:hanging="530"/>
        <w:spacing w:after="0" w:line="236" w:lineRule="auto"/>
        <w:tabs>
          <w:tab w:leader="none" w:pos="5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excess consideration paid over the carrying value of the Series J Preferred will be deducted in arriving at earnings available to common shareholders. Pro forma earnings per share have not been adjusted to reflect the assumed deduction of the $2.4 million reflected in note (3) above(*).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0" w:right="3239" w:hanging="530"/>
        <w:spacing w:after="0" w:line="235" w:lineRule="auto"/>
        <w:tabs>
          <w:tab w:leader="none" w:pos="5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SEC guidelines, adjustments for nonrecurring charges or credits (such as these) that are directly attributable to the transaction are not reflected in the Pro Forma Statements of Earnings.</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5" w:name="page26"/>
    <w:bookmarkEnd w:id="25"/>
    <w:p>
      <w:pPr>
        <w:ind w:left="1940"/>
        <w:spacing w:after="0"/>
        <w:rPr>
          <w:sz w:val="20"/>
          <w:szCs w:val="20"/>
          <w:color w:val="auto"/>
        </w:rPr>
      </w:pPr>
      <w:r>
        <w:rPr>
          <w:rFonts w:ascii="Courier New" w:cs="Courier New" w:eastAsia="Courier New" w:hAnsi="Courier New"/>
          <w:sz w:val="15"/>
          <w:szCs w:val="15"/>
          <w:color w:val="auto"/>
        </w:rPr>
        <w:t>STOCK PRICE AND DIVIDEND INFORMATION</w:t>
      </w:r>
    </w:p>
    <w:p>
      <w:pPr>
        <w:spacing w:after="0" w:line="173" w:lineRule="exact"/>
        <w:rPr>
          <w:sz w:val="20"/>
          <w:szCs w:val="20"/>
          <w:color w:val="auto"/>
        </w:rPr>
      </w:pPr>
    </w:p>
    <w:p>
      <w:pPr>
        <w:ind w:right="3680" w:firstLine="787"/>
        <w:spacing w:after="0" w:line="235" w:lineRule="auto"/>
        <w:rPr>
          <w:sz w:val="20"/>
          <w:szCs w:val="20"/>
          <w:color w:val="auto"/>
        </w:rPr>
      </w:pPr>
      <w:r>
        <w:rPr>
          <w:rFonts w:ascii="Courier New" w:cs="Courier New" w:eastAsia="Courier New" w:hAnsi="Courier New"/>
          <w:sz w:val="15"/>
          <w:szCs w:val="15"/>
          <w:color w:val="auto"/>
        </w:rPr>
        <w:t>AFG common stock is traded on the NYSE under the symbol "AFG." The Series J Preferred Stock of AFC is traded on the Pacific Stock Exchange under the symbol "AFI-J." All outstanding shares of AFC common stock are beneficially owned by AFG.</w:t>
      </w:r>
    </w:p>
    <w:p>
      <w:pPr>
        <w:spacing w:after="0" w:line="175" w:lineRule="exact"/>
        <w:rPr>
          <w:sz w:val="20"/>
          <w:szCs w:val="20"/>
          <w:color w:val="auto"/>
        </w:rPr>
      </w:pPr>
    </w:p>
    <w:p>
      <w:pPr>
        <w:ind w:right="3860" w:firstLine="787"/>
        <w:spacing w:after="0" w:line="258" w:lineRule="auto"/>
        <w:rPr>
          <w:sz w:val="20"/>
          <w:szCs w:val="20"/>
          <w:color w:val="auto"/>
        </w:rPr>
      </w:pPr>
      <w:r>
        <w:rPr>
          <w:rFonts w:ascii="Courier New" w:cs="Courier New" w:eastAsia="Courier New" w:hAnsi="Courier New"/>
          <w:sz w:val="14"/>
          <w:szCs w:val="14"/>
          <w:color w:val="auto"/>
        </w:rPr>
        <w:t>The following table sets forth, for the calendar quarters indicated, the high and low sales prices per share of AFG common stock and Series J Preferred Stock and the dividends per share declared during such quarter.</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AFG COMMON STOCK</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SERIES J PREFERRED STOCK</w:t>
            </w:r>
          </w:p>
        </w:tc>
        <w:tc>
          <w:tcPr>
            <w:tcW w:w="700" w:type="dxa"/>
            <w:vAlign w:val="bottom"/>
          </w:tcPr>
          <w:p>
            <w:pPr>
              <w:spacing w:after="0"/>
              <w:rPr>
                <w:sz w:val="14"/>
                <w:szCs w:val="14"/>
                <w:color w:val="auto"/>
              </w:rPr>
            </w:pPr>
          </w:p>
        </w:tc>
      </w:tr>
      <w:tr>
        <w:trPr>
          <w:trHeight w:val="168"/>
        </w:trPr>
        <w:tc>
          <w:tcPr>
            <w:tcW w:w="4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8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HIGH</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LOW</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DIVIDEND</w:t>
            </w:r>
          </w:p>
        </w:tc>
        <w:tc>
          <w:tcPr>
            <w:tcW w:w="1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HIGH</w:t>
            </w:r>
          </w:p>
        </w:tc>
        <w:tc>
          <w:tcPr>
            <w:tcW w:w="2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LOW</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DIVIDEND</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Quarter................</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$29.00</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$21.80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$0.25</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$21.00</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$20.00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30.30</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23.30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0.25</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22.00</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19.00</w:t>
            </w:r>
          </w:p>
        </w:tc>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30.75</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18.35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0.25</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22.50</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19.50</w:t>
            </w:r>
          </w:p>
        </w:tc>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 Quarter...............</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25.33</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20.20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0.25</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21.95</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21.00</w:t>
            </w:r>
          </w:p>
        </w:tc>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Quarter................</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$28.81</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$22.85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$0.125</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$23.00</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$21.25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30.30</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22.51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0.125</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24.00</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15.30</w:t>
            </w:r>
          </w:p>
        </w:tc>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26.30</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17.90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0.125</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21.00</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18.50</w:t>
            </w:r>
          </w:p>
        </w:tc>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 Quarter...............</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24.80</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20.82</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0.125</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23.50</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16.75</w:t>
            </w:r>
          </w:p>
        </w:tc>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Quarter................</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$24.21</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0.125</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$21.11</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$16.50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23.90</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19.27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0.125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 (through</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_________, 2003............</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692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On _______, 2003 the last reported sales prices for the AFG common</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1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stock on the NYSE was _________ and the last reported sales price for the Series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J Preferred Stock on the Pacific Stock</w:t>
            </w:r>
          </w:p>
        </w:tc>
        <w:tc>
          <w:tcPr>
            <w:tcW w:w="3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Exchange was $______. As of , 2003 there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were approximately [13,000] holders of</w:t>
            </w:r>
          </w:p>
        </w:tc>
        <w:tc>
          <w:tcPr>
            <w:tcW w:w="358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record of AFG common stock and [900]</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holders of record of Series J Preferred Stock.</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 LOOKING STATEMENTS</w:t>
      </w:r>
    </w:p>
    <w:p>
      <w:pPr>
        <w:spacing w:after="0" w:line="173" w:lineRule="exact"/>
        <w:rPr>
          <w:sz w:val="20"/>
          <w:szCs w:val="20"/>
          <w:color w:val="auto"/>
        </w:rPr>
      </w:pPr>
    </w:p>
    <w:p>
      <w:pPr>
        <w:ind w:right="3600" w:firstLine="787"/>
        <w:spacing w:after="0" w:line="255" w:lineRule="auto"/>
        <w:rPr>
          <w:sz w:val="20"/>
          <w:szCs w:val="20"/>
          <w:color w:val="auto"/>
        </w:rPr>
      </w:pPr>
      <w:r>
        <w:rPr>
          <w:rFonts w:ascii="Courier New" w:cs="Courier New" w:eastAsia="Courier New" w:hAnsi="Courier New"/>
          <w:sz w:val="14"/>
          <w:szCs w:val="14"/>
          <w:color w:val="auto"/>
        </w:rPr>
        <w:t>This proxy statement/prospectus and the documents incorporated by reference contain certain forward-looking statements within the meaning of Section 27A of the Securities Act of 1933 and Section 21E of the Securities Exchange Act of 1934. Forward-looking statements are subject to numerous assumptions, risks or uncertainties. The Private Securities Litigation Reform Act of 1995 provides a safe harbor for forward-looking statements. Some of the forward-looking statements can be identified by the use of forward-looking words such as "anticipates", "believes", "expects", "estimates", "intends", "plans", "seeks", "could", "may", "should", "will" or the negative version of those words or other comparable terminology. Examples of such forward-looking statements include statements relating to: expectations concerning market and other conditions and their effect on future premiums, revenues, earnings and investment activities; expected losses and the adequacy of reserves for asbestos, environmental pollution and mass tort claims, rate increases, improved loss experience and expected expense savings resulting from recent initiatives.</w:t>
      </w:r>
    </w:p>
    <w:p>
      <w:pPr>
        <w:spacing w:after="0" w:line="163" w:lineRule="exact"/>
        <w:rPr>
          <w:sz w:val="20"/>
          <w:szCs w:val="20"/>
          <w:color w:val="auto"/>
        </w:rPr>
      </w:pPr>
    </w:p>
    <w:p>
      <w:pPr>
        <w:ind w:right="3760" w:firstLine="787"/>
        <w:spacing w:after="0" w:line="261" w:lineRule="auto"/>
        <w:rPr>
          <w:sz w:val="20"/>
          <w:szCs w:val="20"/>
          <w:color w:val="auto"/>
        </w:rPr>
      </w:pPr>
      <w:r>
        <w:rPr>
          <w:rFonts w:ascii="Courier New" w:cs="Courier New" w:eastAsia="Courier New" w:hAnsi="Courier New"/>
          <w:sz w:val="14"/>
          <w:szCs w:val="14"/>
          <w:color w:val="auto"/>
        </w:rPr>
        <w:t>Actual results could differ materially from those contained in or implied by such forward-looking statements for a variety of factors including:</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600"/>
          </w:cols>
          <w:pgMar w:left="220" w:top="617" w:right="1079" w:bottom="1440" w:gutter="0" w:footer="0" w:header="0"/>
        </w:sectPr>
      </w:pPr>
    </w:p>
    <w:bookmarkStart w:id="26" w:name="page27"/>
    <w:bookmarkEnd w:id="26"/>
    <w:p>
      <w:pPr>
        <w:jc w:val="both"/>
        <w:ind w:left="1320" w:right="3939" w:hanging="523"/>
        <w:spacing w:after="0" w:line="235"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economic conditions, including interest rates, performance of securities markets and the availability of capital;</w:t>
      </w:r>
    </w:p>
    <w:p>
      <w:pPr>
        <w:spacing w:after="0" w:line="167"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actions;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legal environment;</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law changes;</w:t>
      </w:r>
    </w:p>
    <w:p>
      <w:pPr>
        <w:spacing w:after="0" w:line="172" w:lineRule="exact"/>
        <w:rPr>
          <w:rFonts w:ascii="Courier New" w:cs="Courier New" w:eastAsia="Courier New" w:hAnsi="Courier New"/>
          <w:sz w:val="15"/>
          <w:szCs w:val="15"/>
          <w:color w:val="auto"/>
        </w:rPr>
      </w:pPr>
    </w:p>
    <w:p>
      <w:pPr>
        <w:ind w:left="1320" w:right="3499" w:hanging="523"/>
        <w:spacing w:after="0" w:line="234"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levels of natural catastrophes, terrorist events, incidents of war and other major losses;</w:t>
      </w:r>
    </w:p>
    <w:p>
      <w:pPr>
        <w:spacing w:after="0" w:line="173" w:lineRule="exact"/>
        <w:rPr>
          <w:rFonts w:ascii="Courier New" w:cs="Courier New" w:eastAsia="Courier New" w:hAnsi="Courier New"/>
          <w:sz w:val="15"/>
          <w:szCs w:val="15"/>
          <w:color w:val="auto"/>
        </w:rPr>
      </w:pPr>
    </w:p>
    <w:p>
      <w:pPr>
        <w:ind w:left="1320" w:right="3839" w:hanging="523"/>
        <w:spacing w:after="0" w:line="234"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ultimate amount of liabilities associated with certain asbestos and environmental-related claims;</w:t>
      </w:r>
    </w:p>
    <w:p>
      <w:pPr>
        <w:spacing w:after="0" w:line="173" w:lineRule="exact"/>
        <w:rPr>
          <w:rFonts w:ascii="Courier New" w:cs="Courier New" w:eastAsia="Courier New" w:hAnsi="Courier New"/>
          <w:sz w:val="15"/>
          <w:szCs w:val="15"/>
          <w:color w:val="auto"/>
        </w:rPr>
      </w:pPr>
    </w:p>
    <w:p>
      <w:pPr>
        <w:ind w:left="1320" w:right="3579" w:hanging="523"/>
        <w:spacing w:after="0" w:line="234"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unpredictability of possible future litigation if certain settlements do not become effective;</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adequacy of insurance reserves;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mortality and morbidity;</w:t>
      </w:r>
    </w:p>
    <w:p>
      <w:pPr>
        <w:spacing w:after="0" w:line="172" w:lineRule="exact"/>
        <w:rPr>
          <w:rFonts w:ascii="Courier New" w:cs="Courier New" w:eastAsia="Courier New" w:hAnsi="Courier New"/>
          <w:sz w:val="15"/>
          <w:szCs w:val="15"/>
          <w:color w:val="auto"/>
        </w:rPr>
      </w:pPr>
    </w:p>
    <w:p>
      <w:pPr>
        <w:ind w:left="1320" w:right="3679" w:hanging="523"/>
        <w:spacing w:after="0" w:line="234"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reinsurance and ability of reinsurers to pay their obligations;</w:t>
      </w:r>
    </w:p>
    <w:p>
      <w:pPr>
        <w:spacing w:after="0" w:line="173" w:lineRule="exact"/>
        <w:rPr>
          <w:rFonts w:ascii="Courier New" w:cs="Courier New" w:eastAsia="Courier New" w:hAnsi="Courier New"/>
          <w:sz w:val="15"/>
          <w:szCs w:val="15"/>
          <w:color w:val="auto"/>
        </w:rPr>
      </w:pPr>
    </w:p>
    <w:p>
      <w:pPr>
        <w:ind w:left="1320" w:right="3759" w:hanging="523"/>
        <w:spacing w:after="0" w:line="234"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pressures, including the ability to obtain rate increases; and</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debt and claims paying ratings.</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All forward-looking statements address matters that involve risks and uncertainties. Accordingly, there are or will be important factors that could cause actual results to differ materially from those indicated in these statements. AFG and AFC believe that these factors include but are not limited to those described under "Risk Factors." Neither AFG nor AFC undertakes any obligation to publicly update or review any forward-looking statement.</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AFG and AFC caution you that these risk factors may not be exhaustive. AFG and AFC operate in a continually changing business environment, and new risk factors emerge from time to time. AFG and AFC cannot predict such new risk factors, nor can AFG or AFC assess the impact, if any, of such new risk factors on our businesses or the extent to which any factor or combination of factors may cause actual results to differ materially from those expressed or implied by any forward-looking statements. In light of these risks, uncertainties and assumptions, the forward-looking events discussed in this prospectus might not occur.</w:t>
      </w:r>
    </w:p>
    <w:p>
      <w:pPr>
        <w:spacing w:after="0" w:line="178"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You should carefully read this prospectus and the documents incorporated by reference in their entirety. They contain information that you should consider when making your investment decision.</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7" w:name="page28"/>
    <w:bookmarkEnd w:id="27"/>
    <w:p>
      <w:pPr>
        <w:ind w:left="2720"/>
        <w:spacing w:after="0"/>
        <w:rPr>
          <w:sz w:val="20"/>
          <w:szCs w:val="20"/>
          <w:color w:val="auto"/>
        </w:rPr>
      </w:pPr>
      <w:r>
        <w:rPr>
          <w:rFonts w:ascii="Courier New" w:cs="Courier New" w:eastAsia="Courier New" w:hAnsi="Courier New"/>
          <w:sz w:val="15"/>
          <w:szCs w:val="15"/>
          <w:color w:val="auto"/>
        </w:rPr>
        <w:t>THE SPECIAL MEETING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This document is being furnished to the shareholders of AFC in connection with the solicitation of proxies by the board of directors of AFC for use at the special meeting of AFC shareholders to be held on _____________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 a.m., Eastern Time, at _________________________, Cincinnati, Ohio , and at</w:t>
      </w:r>
    </w:p>
    <w:p>
      <w:pPr>
        <w:spacing w:after="0" w:line="1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any adjournments or postponements thereof. Each copy of this document mailed to AFC shareholders is accompanied by a proxy card furnished in connection with the solicitation of proxies by the AFC board of directors for use at the special meeting.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SPECIAL COMMITTEE RECOMMENDATION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At the special meeting, AFC shareholders will be asked to adopt the merger agreement and vote upon such other business as may properly come before the special meeting or any adjournments or postponements thereof (including, without limitation, adjournment or postponement of the special meeting in order to allow for additional solicitation of shareholder votes in order to obtain a quorum or in order to obtain more votes in favor of the merger agreement). The board of directors knows of no business that will be presented for consideration at the special meeting other than the merger agreement.</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BOARD OF DIRECTORS OF AFC, BASED ON THE UNANIMOUS RECOMMENDATION OF THE SPECIAL COMMITTEE, UNANIMOUSLY RECOMMENDS THAT AFC SHAREHOLDERS ADOPT THE MERGER AGREEMENT AT THE SPECIAL MEETING SO THAT THE REORGANIZATION MAY BE COMPLETED. ACCORDINGLY, THE BOARD RECOMMENDS THAT SHAREHOLDERS VOTE "FOR" ADOPTION OF THE MERGER AGREEMENT.</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SHAREHOLDERS ARE REQUESTED PROMPTLY TO COMPLETE, DATE, SIGN AND RETURN THE ACCOMPANYING PROXY CARD IN THE ENCLOSED POSTAGE-PAID ENVELOPE. FAILURE TO RETURN A PROPERLY EXECUTED PROXY CARD OR TO VOTE AT THE SPECIAL MEETING WILL HAVE THE SAME EFFECT AS A VOTE AGAINST THE MERGER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VOTING</w:t>
      </w:r>
    </w:p>
    <w:p>
      <w:pPr>
        <w:spacing w:after="0" w:line="173"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Only the holders of record of AFC common stock and Series J Preferred Stock as of the close of business on _________, 2003 are entitled to notice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to vote at the special meeting. At the close of business on _________, 2003,</w:t>
      </w:r>
    </w:p>
    <w:p>
      <w:pPr>
        <w:spacing w:after="0" w:line="1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there were 2,886,161 shares of Series J Preferred Stock outstanding and entitled to vote, held by approximately 900 shareholders of record and beneficially by approximately ____ shareholders. On ___________, 2003, there were 10,593,000</w:t>
      </w:r>
    </w:p>
    <w:p>
      <w:pPr>
        <w:spacing w:after="0" w:line="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shares of AFC common stock outstanding, each of which was beneficially owned by AFG. Holders of record of AFC common stock as of the close of business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 2003 are entitled to one vote per share on any matter voted on at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w:t>
      </w:r>
    </w:p>
    <w:p>
      <w:pPr>
        <w:spacing w:after="0" w:line="173" w:lineRule="exact"/>
        <w:rPr>
          <w:sz w:val="20"/>
          <w:szCs w:val="20"/>
          <w:color w:val="auto"/>
        </w:rPr>
      </w:pPr>
    </w:p>
    <w:p>
      <w:pPr>
        <w:ind w:right="3939" w:firstLine="787"/>
        <w:spacing w:after="0" w:line="254" w:lineRule="auto"/>
        <w:rPr>
          <w:sz w:val="20"/>
          <w:szCs w:val="20"/>
          <w:color w:val="auto"/>
        </w:rPr>
      </w:pPr>
      <w:r>
        <w:rPr>
          <w:rFonts w:ascii="Courier New" w:cs="Courier New" w:eastAsia="Courier New" w:hAnsi="Courier New"/>
          <w:sz w:val="14"/>
          <w:szCs w:val="14"/>
          <w:color w:val="auto"/>
        </w:rPr>
        <w:t>The presence, either in person or by proxy, of the holders of a majority of the outstanding voting power of AFC as of _________, 2003 is</w:t>
      </w:r>
    </w:p>
    <w:p>
      <w:pPr>
        <w:spacing w:after="0" w:line="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necessary to constitute a quorum at the special meeting. Broker non-votes and abstentions count for the purpose of determining a quorum at the special meeting.</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HOLDERS OF SERIES J PREFERRED STOCK SHOULD NOT FORWARD ANY STOCK CERTIFICATES WITH THEIR PROXY CARDS. HOLDERS OF SERIES J PREFERRED STOCK WILL BE SENT INFORMATION REGARDING THE EXCHANGE OF THEIR STOCK CERTIFICATES AS SOON AS PRACTICABLE AFTER THE COMPLETION OF THE AFG MERGER IF THE MERGER AGREEMENT IS ADOPTED.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8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VOTE REQUIRED</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Ohio law requires the approval of the merger of American Financial Corporation into American Financial Group by the affirmative vote of both the holders of a majority of the voting power of American Financial Corporation's stock and the affirmative vote of the holders of a majority of the outstanding shares of American Financial Corporation's Series J Preferred Stock at the special meeting. BECAUSE AMERICAN FINANCIAL GROUP HOLDS APPROXIMATELY 79% OF AMERICAN FINANCIAL CORPORATION'S VOTING POWER, THE APPROVAL OF A MAJORITY OF THE VOTING POWER IS ASSURED BUT THE APPROVAL OF THE HOLDERS OF A MAJORITY OF THE SERIES J PREFERRED STOCK IS NOT ASSURED.</w:t>
      </w:r>
    </w:p>
    <w:p>
      <w:pPr>
        <w:spacing w:after="0" w:line="178"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In addition to the shareholder approvals required by Ohio law, the merger agreement also requires the approval by the holders of a majority of outstanding Series J Preferred Stock voting at the special meeting, excluding those shares beneficially owned by AFG, AFG's directors, executive officers, Carl H. Lindner, Jr. and certain of their respective affiliates.</w:t>
      </w:r>
    </w:p>
    <w:p>
      <w:pPr>
        <w:spacing w:after="0" w:line="16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FAILURE TO SUBMIT A PROXY CARD OR VOTE IN PERSON, ABSTENTIONS AND BROKER NON-VOTES WILL HAVE THE FOLLOWING EFFECTS. OF THE THREE VOTING REQUIREMENTS TO APPROVE THE AFC MERGER, THE APPROVAL OF A MAJORITY OF AFC'S TOTAL VOTING POWER IS ASSURED. WITH RESPECT TO THE REQUIREMENT THAT THE AFC MERGER BE APPROVED BY A MAJORITY OF AFC'S OUTSTANDING SHARES OF SERIES J PREFERRED STOCK, NOT VOTING WILL HAVE THE SAME EFFECT AS VOTING AGAINST THE REORGANIZATION. WITH RESPECT TO THE REQUIREMENT THAT THE AFC MERGER BE APPROVED BY A MAJORITY OF SHARES OF SERIES J PREFERRED STOCK (OTHER THAN SHARES OWNED BY CERTAIN AFFILIATES, AS DEFINED IN THE MERGER AGREEMENT) ACTUALLY VOTING, NOT VOTING WILL HAVE NO EFFECT. AS A RESULT, SHAREHOLDERS WISHING TO REJECT THE AFC MERGER SHOULD VOTE AGAINST THE PROPOSITION, AND SHAREHOLDERS WISHING TO APPROVE THE AFC MERGER SHOULD VOTE FOR THE PROPOSITION. BROKERS WHO HOLD SHARES OF SERIES J PREFERRED STOCK AS NOMINEES WILL NOT HAVE DISCRETIONARY AUTHORITY TO VOTE SHARES WITH RESPECT TO THE MERGER AGREEMENT ABSENT INSTRUCTIONS FROM THE BENEFICIAL OWNER.</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The proxy holders named in the enclosed proxy card will vote all of the AFC shares represented by proxy cards that are properly signed and returned by shareholders in accordance with the instructions contained therein. Specify your voting choices by marking the appropriate boxes on the proxy card.</w:t>
      </w:r>
    </w:p>
    <w:p>
      <w:pPr>
        <w:spacing w:after="0" w:line="16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IF YOU PROPERLY SIGN AND RETURN THE PROXY CARD SENT TO YOU BY AFC, BUT DO NOT SPECIFY YOUR VOTING CHOICES, YOUR SHARES WILL BE VOTED "FOR" THE ADOPTION OF THE MERGER AGREEMENT AS RECOMMENDED BY THE BOARD OF DIRECTORS.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AFC board of directors is not aware of any matters other than the reorganization that may be brought before the special meeting. If any other matters properly come before the special meeting the persons named in the accompanying proxy will vote the shares represented by all properly executed proxies on such matters in their discretion, except that shares represented by proxies which have been voted "against" the merger agreement will not be used to vote "for" adjournment of the special meeting for the purpose of allowing additional time for soliciting additional votes "for" the merger agreement.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REVOCABILITY OF PROXIES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 shareholder may revoke a proxy at any time prior to its exercise by</w:t>
      </w:r>
    </w:p>
    <w:p>
      <w:pPr>
        <w:spacing w:after="0" w:line="10" w:lineRule="exact"/>
        <w:rPr>
          <w:sz w:val="20"/>
          <w:szCs w:val="20"/>
          <w:color w:val="auto"/>
        </w:rPr>
      </w:pPr>
    </w:p>
    <w:p>
      <w:pPr>
        <w:ind w:right="3239" w:firstLine="10"/>
        <w:spacing w:after="0" w:line="236" w:lineRule="auto"/>
        <w:tabs>
          <w:tab w:leader="none" w:pos="35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delivering to AFC a written notice of revocation prior to the special meeting; (2) delivering, before the special meeting, a duly executed proxy bearing a later date; or (3) attending the special meeting and voting in person. The presence of a shareholder at the special meeting will not in and of itself automatically revoke such shareholder's proxy.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All expenses of AFC's solicitation of proxies, including the cost of mailing this document to you, will be paid by AFC. AFC has retained Morrow &amp; Co., a proxy solicitation firm, to assist AFC in soliciting holders of Series J Preferred Stock. AFC will pay Morrow &amp; Co. a fee of $5,000, plus out-of-pocket expenses, in connection with its proxy solicitation services. In addition to solicitation by use of the mails and by Morrow &amp; Co., proxies may be solicited from shareholders by directors, officers and employees in person or by</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29" w:name="page30"/>
    <w:bookmarkEnd w:id="29"/>
    <w:p>
      <w:pPr>
        <w:ind w:right="3239"/>
        <w:spacing w:after="0" w:line="236" w:lineRule="auto"/>
        <w:rPr>
          <w:sz w:val="20"/>
          <w:szCs w:val="20"/>
          <w:color w:val="auto"/>
        </w:rPr>
      </w:pPr>
      <w:r>
        <w:rPr>
          <w:rFonts w:ascii="Courier New" w:cs="Courier New" w:eastAsia="Courier New" w:hAnsi="Courier New"/>
          <w:sz w:val="15"/>
          <w:szCs w:val="15"/>
          <w:color w:val="auto"/>
        </w:rPr>
        <w:t>telephone, facsimile or other means of communication. These directors, officers and employees will not receive additional compensation, but may be reimbursed for their reasonable out-of-pocket expenses in connection with such solicitation. AFC will make arrangements with brokerage houses, custodians, nominees and fiduciaries for the forwarding of proxy solicitation materials to beneficial owners of shares held of record by such brokerage houses, custodians, nominees and fiduciaries, and AFC will reimburse such brokerage houses, custodians, nominees and fiduciaries for their reasonable expenses incurred in connection with such solicitation.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ADJOURNMENT OF THE SPECIAL MEETING</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 vote in person by a shareholder for adjournment of the special meeting, or for the last proposal on the proxy card authorizing the named proxies to vote the shares covered by such proxy in their discretion with respect to other business properly coming before the special meeting, would allow such named proxies in their discretion to vote to adjourn the special meeting. An adjournment would allow for additional solicitation of shareholder votes in order to obtain a quorum or in order to obtain more votes in favor of the merger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Under Ohio law, holders of Series J Preferred Stock may dissent from the AFC merger and be paid the fair cash value of their shares. To exercise this right, you must follow a number of procedures. These procedures include filing a demand with AFC and not voting in favor of the reorganization. For more information on how to exercise these rights, see "Rights of Dissenting Shareholders' on page ___ and Ohio Revised Code Sections 1701.84 and 1701.85 set forth in Annex C.</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REORGANIZATION</w:t>
      </w:r>
    </w:p>
    <w:p>
      <w:pPr>
        <w:spacing w:after="0" w:line="173"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This section should be read in conjunction with "Special Factors" below which contains a discussion of the background and reasons for the AFC merger.</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THE REORGANIZATION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the reorganization, AFC will merge into AFG. The holders of Series J Preferred Stock will receive common stock of AFG in exchange for their preferred stock, calculated as provided below under "The Merger Agreement--Terms of the Reorganization--Conversion of Series J Preferred Stock in the AFC Merger." All shares of AFC common stock will be canceled. In addition, immediately before the merger of AFC into AFG, AFC Holding Company, a wholly-owned subsidiary of AFG, will first merge into AFG.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AFG'S REASONS FOR THE REORGANIZATION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AFG proposed the reorganization primarily to simplify its corporate structure. Converting the minority interest represented by the Series J Preferred Stock in AFC to AFG common stock and forming one consolidated group for federal income tax purposes will improve AFG's leverage ratios, eliminate the deferred tax liabilities associated with AFC's holding of AFG common stock and improve AFG's cash flow by approximately $4 million per year, due primarily to the difference between the current dividend rates on the AFG common stock and Series J Preferred Stock.</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Additionally, AFG believes that simplifying the corporate structure will facilitate the raising of capital by AFG in the future. Rating agencies have indicated that, in their view, because AFC is the borrower under AFG's bank credit facilities but AFG is the borrower for AFG's outstanding public debt, the obligations under the bank credit facilities may be structurally senior to the AFG public debt, a view which may lead the rating</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92" w:right="1440" w:bottom="1440" w:gutter="0" w:footer="0" w:header="0"/>
        </w:sectPr>
      </w:pPr>
    </w:p>
    <w:bookmarkStart w:id="30" w:name="page31"/>
    <w:bookmarkEnd w:id="30"/>
    <w:p>
      <w:pPr>
        <w:ind w:right="3239"/>
        <w:spacing w:after="0" w:line="234" w:lineRule="auto"/>
        <w:rPr>
          <w:sz w:val="20"/>
          <w:szCs w:val="20"/>
          <w:color w:val="auto"/>
        </w:rPr>
      </w:pPr>
      <w:r>
        <w:rPr>
          <w:rFonts w:ascii="Courier New" w:cs="Courier New" w:eastAsia="Courier New" w:hAnsi="Courier New"/>
          <w:sz w:val="15"/>
          <w:szCs w:val="15"/>
          <w:color w:val="auto"/>
        </w:rPr>
        <w:t>agencies to downgrade AFG's public debt. A downgrade for AFG's public debt would make it more expensive for AFG to incur additional public debt.</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Despite the fact that AFG's financial statements consolidate AFC's results, each of AFG and AFC are in separate tax groups. The AFC merger would eliminate this duplication which would facilitate future acquisitions, the transfer of assets, including subsidiaries, within AFG, and would benefit AFG's ability to capitalize selected insurance company subsidiaries.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reorganization would also increase shareholders' equity in AFG's consolidated financial statements. The Series J Preferred Stock, which has historically been reported in AFG's financial statements as "minority interest," will be eliminated in the reorganization and the AFG common stock issued in exchange for the Series J Preferred Stock will increase AFG's equity by approximately [$70 million]. In addition, AFG's equity will further increase by approximately [$170 million] due to the elimination of a deferred tax liability associated with shares of AFG common stock held by members of the AFC tax group.</w:t>
      </w:r>
    </w:p>
    <w:p>
      <w:pPr>
        <w:spacing w:after="0" w:line="16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Finally, the AFC merger would eliminate AFC as a public company required to file reports and other information under the Securities Exchange Act of 1934.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U.S. FEDERAL INCOME TAX CONSEQUENCES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tax discussion summarizes the material U.S. federal income tax consequences of the merger to the holders of AFC Series J Preferred Stock that exchange AFC Series J Preferred Stock solely for AFG common stock pursuant to the merger. This discussion is based upon current provisions of the Internal Revenue Code of 1986, as amended (the "Code"), existing regulations promulgated thereunder and current rulings and court decisions, all of which are subject to change, possibly with retroactive effect. Tax consequences under state, local and foreign laws are not addressed. In addition, this discussion assumes that holders of AFC Series J Preferred Stock hold their shares of AFC Series J Preferred Stock as capital assets within the meaning of Section 1221 of the Internal Revenue Code.</w:t>
      </w:r>
    </w:p>
    <w:p>
      <w:pPr>
        <w:spacing w:after="0" w:line="180"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tax treatment described herein may vary depending upon each shareholder's particular circumstances and tax position. This discussion does not address all aspects of federal income taxation that may be important to shareholders who are subject to special rules, such as:</w:t>
      </w:r>
    </w:p>
    <w:p>
      <w:pPr>
        <w:spacing w:after="0" w:line="169" w:lineRule="exact"/>
        <w:rPr>
          <w:sz w:val="20"/>
          <w:szCs w:val="20"/>
          <w:color w:val="auto"/>
        </w:rPr>
      </w:pPr>
    </w:p>
    <w:p>
      <w:pPr>
        <w:ind w:left="1320" w:hanging="523"/>
        <w:spacing w:after="0"/>
        <w:tabs>
          <w:tab w:leader="none" w:pos="13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institutions;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tax-exempt organizations;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companies;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dealers in securities;</w:t>
      </w:r>
    </w:p>
    <w:p>
      <w:pPr>
        <w:spacing w:after="0" w:line="172" w:lineRule="exact"/>
        <w:rPr>
          <w:rFonts w:ascii="Courier New" w:cs="Courier New" w:eastAsia="Courier New" w:hAnsi="Courier New"/>
          <w:sz w:val="15"/>
          <w:szCs w:val="15"/>
          <w:color w:val="auto"/>
        </w:rPr>
      </w:pPr>
    </w:p>
    <w:p>
      <w:pPr>
        <w:ind w:left="1320" w:right="3319" w:hanging="523"/>
        <w:spacing w:after="0" w:line="234" w:lineRule="auto"/>
        <w:tabs>
          <w:tab w:leader="none" w:pos="13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traders in securities who elect to apply a mark-to-market method of accounting;</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holders;</w:t>
      </w:r>
    </w:p>
    <w:p>
      <w:pPr>
        <w:spacing w:after="0" w:line="172" w:lineRule="exact"/>
        <w:rPr>
          <w:rFonts w:ascii="Courier New" w:cs="Courier New" w:eastAsia="Courier New" w:hAnsi="Courier New"/>
          <w:sz w:val="15"/>
          <w:szCs w:val="15"/>
          <w:color w:val="auto"/>
        </w:rPr>
      </w:pPr>
    </w:p>
    <w:p>
      <w:pPr>
        <w:ind w:left="1320" w:right="3399" w:hanging="523"/>
        <w:spacing w:after="0" w:line="234" w:lineRule="auto"/>
        <w:tabs>
          <w:tab w:leader="none" w:pos="13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that hold shares as a hedge or as a part of a straddle, constructive sale or conversion transaction;</w:t>
      </w:r>
    </w:p>
    <w:p>
      <w:pPr>
        <w:spacing w:after="0" w:line="173" w:lineRule="exact"/>
        <w:rPr>
          <w:rFonts w:ascii="Courier New" w:cs="Courier New" w:eastAsia="Courier New" w:hAnsi="Courier New"/>
          <w:sz w:val="15"/>
          <w:szCs w:val="15"/>
          <w:color w:val="auto"/>
        </w:rPr>
      </w:pPr>
    </w:p>
    <w:p>
      <w:pPr>
        <w:ind w:left="1320" w:right="3319" w:hanging="523"/>
        <w:spacing w:after="0" w:line="234" w:lineRule="auto"/>
        <w:tabs>
          <w:tab w:leader="none" w:pos="13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that acquired their shares upon the exercise of employee stock options or otherwise as compensation; or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31" w:name="page32"/>
    <w:bookmarkEnd w:id="31"/>
    <w:p>
      <w:pPr>
        <w:ind w:left="1320" w:hanging="523"/>
        <w:spacing w:after="0"/>
        <w:tabs>
          <w:tab w:leader="none" w:pos="13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that do not hold their shares as capital assets.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obligations of the parties to consummate the merger are conditioned upon the receipt, by each of AFG and AFC, of an opinion from tax counsel, in form and substance reasonably satisfactory to AFG and AFC as to certain tax matters.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rendering its opinion that the merger will qualify for federal income tax purposes as a reorganization within the meaning of Section 368(a) of the Code, counsel to AFG and AFC will rely upon the representations contained in certificates provided by AFG and AFC and certain facts and customary assumptions set forth in the opinion. Shareholders should be aware that neither the tax opinion nor this discussion will be binding upon the Internal Revenue Service and that the Internal Revenue Service is not precluded from asserting a contrary position. The parties have not requested and will not request a ruling from the Internal Revenue Service as to the federal income tax consequences of the merger.</w:t>
      </w:r>
    </w:p>
    <w:p>
      <w:pPr>
        <w:spacing w:after="0" w:line="179"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Assuming the merger qualifies as a "reorganization" within the meaning of Section 368(a) of the Code, the tax implications will be as follows:</w:t>
      </w:r>
    </w:p>
    <w:p>
      <w:pPr>
        <w:spacing w:after="0" w:line="160"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U.S. FEDERAL INCOME TAX IMPLICATIONS TO HOLDERS OF AFC SERIES J PREFERRED STOCK</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No gain or loss will be recognized for U.S. federal income tax purposes by holders of AFC Series J Preferred Stock who exchange their AFC Series J Preferred Stock solely for AFG common stock pursuant to the merger, except (1) gain or loss will be recognized by a holder of AFC Series J Preferred Stock on receipt of cash in lieu of a fractional share of AFG common stock and (2) to the extent that any portion of the AFG common stock received in the merger is allocable to dividends arrears on AFC Series J Preferred Stock, as discussed below. The aggregate tax basis of the AFG common stock to be received by a holder of AFC Series J Preferred Stock in the merger will be the same as such shareholder's aggregate tax basis in the AFC Series J Preferred Stock surrendered in the exchange, reduced by the amount of basis allocable to fractional shares of AFG common stock, as discussed below. The holding period of the AFG common stock to be received by a holder of AFC Series J Preferred Stock as a result of the merger will include the period during which such shareholder held the AFC Series J Preferred Stock exchanged.</w:t>
      </w:r>
    </w:p>
    <w:p>
      <w:pPr>
        <w:spacing w:after="0" w:line="16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Cash received by a holder of AFC Series J Preferred Stock instead of a fractional share of AFG common stock will be treated as received in exchange for such fractional share interest, and gain or loss generally will be recognized for U.S. federal income tax purposes, measured by the difference between the amount of cash received and the portion of the tax basis of the AFC Series J Preferred Stock allocable to the fractional share interest. Such gain or loss generally will be capital gain or loss and generally will be long term capital gain or loss if the AFC Series J Preferred Stock has been held for more than one year at the time of the merger.</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ANY AFG COMMON STOCK RECEIVED BY A HOLDER OF AFC SERIES J PREFERRED STOCK WHICH IS ALLOCABLE TO DIVIDENDS IN ARREARS ON THE AFC SERIES J PREFERRED STOCK SURRENDERED IN THE MERGER WILL BE TREATED AS DIVIDEND INCOME TO THE HOLDER OF AFC SERIES J PREFERRED STOCK AND WILL BE TAXED AS ORDINARY INCOME. THIS TREATMENT GENERALLY DOES NOT APPLY TO AFG COMMON STOCK RECEIVED IN EXCHANGE FOR AN AMOUNT EQUAL TO THE ACCRUALS AT THE DIVIDEND RATE APPLICABLE TO THE AFC SERIES J PREFERRED STOCK IF SUCH DIVIDENDS HAVE NEITHER BEEN DECLARED NOR SET ASIDE TO ENABLE PAYMENT OF A DIVIDEND ON AFC COMMON STOCK.</w:t>
      </w:r>
    </w:p>
    <w:p>
      <w:pPr>
        <w:spacing w:after="0" w:line="166"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In addition, any cash payment to a holder of AFC Series J Preferred Stock who exercises and perfects dissenters' rights will be a taxable transaction. Such cash payment received in exchange for such shareholder's AFC Series J Preferred Stock will be treated as having been received as a distribution in redemption of such shareholder's AFC Series J Preferred Stock, the consequences of which will be determined in accordance with Section 302 of the Code. Assuming that the requirements of Section 302 are satisfied, such</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32" w:name="page33"/>
    <w:bookmarkEnd w:id="32"/>
    <w:p>
      <w:pPr>
        <w:ind w:right="3239"/>
        <w:spacing w:after="0" w:line="236" w:lineRule="auto"/>
        <w:rPr>
          <w:sz w:val="20"/>
          <w:szCs w:val="20"/>
          <w:color w:val="auto"/>
        </w:rPr>
      </w:pPr>
      <w:r>
        <w:rPr>
          <w:rFonts w:ascii="Courier New" w:cs="Courier New" w:eastAsia="Courier New" w:hAnsi="Courier New"/>
          <w:sz w:val="15"/>
          <w:szCs w:val="15"/>
          <w:color w:val="auto"/>
        </w:rPr>
        <w:t>shareholders will have a taxable capital gain (or capital loss), measured by the difference between the cash payment received and their tax basis in the shares as to which the appraisal rights are exercised, assuming that those shares are held as capital assets when the appraisal rights are elected. In general, such shareholders should also be able to reduce that capital gain (or increase that capital loss) by the amount of any expenses they incur in pursuing or perfecting their appraisal rights. Dissenting shareholders should consult their own tax advisors regarding the application of Section 302.</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BACKUP WITHHOLDING</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Under the Code, a holder of AFC Series J Preferred Stock may be subject to backup withholding with respect to the amount of cash, if any, received, unless the holder provides proof of an applicable exemption or a correct taxpayer identification number, and otherwise complies with applicable requirements of the backup withholding rules. Any amounts withheld under the backup withholding rules are not an additional tax and may be refunded or credited against the holder's federal income tax liability, provided the required information is furnished to the Internal Revenue Service.</w:t>
      </w:r>
    </w:p>
    <w:p>
      <w:pPr>
        <w:spacing w:after="0" w:line="16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U.S. federal income tax discussion set forth above does not address tax consequences which may vary with, or are contingent on, individual circumstances. Moreover, this discussion does not address any tax consequences of the disposition of AFC Series J Preferred Stock before the merger or the disposition of AFG common shares after the merger. This discussion is directed to holders of AFC Series J Preferred Stock who are citizens of the United States or residents or domestic corporations. No attempt has been made to address the tax consequences to a shareholder under the laws of the country, state or jurisdiction in which the holder resides, is citizen or is organized other than the material U.S. federal income tax consequences discussed herein. Holders of AFC Series J Preferred Stock are advised to consult their own tax advisors regarding the U.S. federal income tax consequences in light of their personal circumstances and the consequences under applicable state, local and foreign tax laws.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 CONSEQUENCES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All shares of AFG common stock received by AFC shareholders in the AFC merger will be freely transferable, except for shares of AFG common stock received by any person who is deemed to be an "affiliate" (as such term is defined under the Securities Act of 1933) of AFC prior to the reorganization or of AFG after the reorganization. Affiliates may sell their AFG common stock only in compliance with the volume and manner-of-sale requirements of Rules 144 and 145 under the Securities Act. Affiliates of AFG generally include individuals or entities that control, are controlled by, or are under common control with, AFG and may include officers and directors of AFG as well as principal shareholders of AFG.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CONDUCT OF BUSINESS IF REORGANIZATION NOT CONSUMMATED</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If the reorganization is not completed, AFC will continue its current operations. AFG, however, may merge with AFC Holding.</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SPECIAL FACTORS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APPOINTMENT OF THE SPECIAL COMMITTEE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AFC convened a meeting of its board of directors on April 14, 2003. At the meeting, Messrs. Theodore H. Emmerich, William W. Verity and William R. Martin resigned as directors, and Messrs. Joseph P. Tomain, Michael R. Barrett and Timothy J. Fogarty were elected to the board to replace them. None of Messrs. Tomain, Barrett and Fogarty have any business or financial relationship with AFG. The members of AFC's board of directors, other than Messrs. Tomain, Barrett and Fogarty, are also members of AFG's board</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33" w:name="page34"/>
    <w:bookmarkEnd w:id="33"/>
    <w:p>
      <w:pPr>
        <w:ind w:right="3319"/>
        <w:spacing w:after="0" w:line="237" w:lineRule="auto"/>
        <w:rPr>
          <w:sz w:val="20"/>
          <w:szCs w:val="20"/>
          <w:color w:val="auto"/>
        </w:rPr>
      </w:pPr>
      <w:r>
        <w:rPr>
          <w:rFonts w:ascii="Courier New" w:cs="Courier New" w:eastAsia="Courier New" w:hAnsi="Courier New"/>
          <w:sz w:val="15"/>
          <w:szCs w:val="15"/>
          <w:color w:val="auto"/>
        </w:rPr>
        <w:t>of directors and beneficial owners of significant amounts of AFG common stock. As a result, the members of AFC's board other than Messrs. Tomain, Barrett and Fogarty may be deemed to have an interest in the AFC Merger adverse to the interests of holders of shares of Series J Preferred Stock. In order to protect the interests of the holders of shares of Series J Preferred Stock with respect to the AFC Merger, the board of directors of AFC appointed these three new directors to the special committee, whose members then elected Mr. Tomain as Chairman. The special committee was charged with negotiating the terms and evaluating the fairness of the AFC Merger on behalf of the holders of shares of Series J Preferred Stock. The special committee was authorized to engage, at AFC's expense, independent legal counsel and financial advisors. Between April 14, 2003 and July 2, 2003, the special committee held a total of eleven meetings. At these meetings, the special committee engaged legal and financial advisors and negotiated, reviewed and evaluated the proposed terms of the AFC Merger. Each meeting of the special committee was attended by all of its members.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SPECIAL COMMITTEE</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first two meetings of the special committee were held on April 16 and April 17, 2003. At these meetings, the members of the special committee considered the engagement of independent legal counsel. Three law firms with recognized experience in advising special committees of directors were interviewed by the special committee. After deliberation, the special committee selected the firm of Taft, Stettinius &amp; Hollister LLP of Cincinnati, Ohio, as its legal counsel. The special committee was advised that, from time to time, Taft, Stettinius &amp; Hollister performs specialized legal services for AFG and certain of its affiliates. The special committee was advised that fees charged by such counsel to AFG and its affiliates during the most recent fiscal years constituted less than 1% of such counsel's total billings. The special committee was also advised that such counsel has in the past acted as counsel to the underwriters in connection with a limited number of securities offerings by AFG (the most recent such representation having been four years ago) and had advised other committees of outside directors of entities related to AFG. The special committee considered these matters, and decided that, since they were specific and limited in nature and duration rather than involving general representation of AFG, and because recent billings constituted such a small percentage of such counsel's billings, they would not inhibit Taft, Stettinius &amp; Hollister LLP from providing independent advice to the special committee.</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special committee next met on April 28, 2003. The special committee reviewed its specific duties and responsibilities as charged by the board of directors of AFC. Legal counsel to the special committee advised the special committee regarding fiduciary duties. The special committee discussed the engagement of an independent financial advisor and determined to seek proposals from a number of recognized firms to assist the special committee in its negotiation of the terms of the AFC Merger and its evaluation of the fairness of the AFC Merger.</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Following the April 28, 2003 meeting of the special committee, its legal counsel contacted five recognized financial advisory firms, inviting them to submit written proposals for consideration as financial advisor to the special committee. Four firms responded with written proposals, which were distributed to the members of the special committee on May 6, 2003.</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Committee met again on May 8, 2003. At this meeting, legal counsel reviewed with the special committee the four proposals, along with information obtained by counsel in conversations with certain of the financial advisory firms to clarify their proposals. This review involved respective qualifications, proposed methodologies, possible conflicts and other aspects of the proposals, as well as proposed fee arrangements. After discussion and review, the special committee determined that the proposal of Duff &amp; Phelps, LLC appeared to be the most favorable of those considered by the special committee. The special committee decided, however, that its members wished to meet the Duff</w:t>
      </w:r>
    </w:p>
    <w:p>
      <w:pPr>
        <w:spacing w:after="0" w:line="3" w:lineRule="exact"/>
        <w:rPr>
          <w:sz w:val="20"/>
          <w:szCs w:val="20"/>
          <w:color w:val="auto"/>
        </w:rPr>
      </w:pPr>
    </w:p>
    <w:p>
      <w:pPr>
        <w:jc w:val="both"/>
        <w:ind w:right="3839" w:firstLine="10"/>
        <w:spacing w:after="0" w:line="261" w:lineRule="auto"/>
        <w:tabs>
          <w:tab w:leader="none" w:pos="17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Phelps representatives in person before deciding finally on a financial advisor. Accordingly, the special committee deferred a final decision and</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34" w:name="page35"/>
    <w:bookmarkEnd w:id="34"/>
    <w:p>
      <w:pPr>
        <w:ind w:right="3399"/>
        <w:spacing w:after="0" w:line="235" w:lineRule="auto"/>
        <w:rPr>
          <w:sz w:val="20"/>
          <w:szCs w:val="20"/>
          <w:color w:val="auto"/>
        </w:rPr>
      </w:pPr>
      <w:r>
        <w:rPr>
          <w:rFonts w:ascii="Courier New" w:cs="Courier New" w:eastAsia="Courier New" w:hAnsi="Courier New"/>
          <w:sz w:val="15"/>
          <w:szCs w:val="15"/>
          <w:color w:val="auto"/>
        </w:rPr>
        <w:t>instructed legal counsel to invite Duff &amp; Phelps personnel to meet with the special committee on Monday, May 12, for the purpose of being interviewed and, assuming their selection, discussing further the actions to be taken by the special committee in connection with the AFC Merger.</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On May 12, 2003, the special committee and its legal counsel met with representatives of Duff &amp; Phelps. The Duff &amp; Phelps representatives discussed with the special committee their respective individual professional qualifications, Duff &amp; Phelps' overall and industry experience and relevant internal processes and the expected approach to be followed by Duff &amp; Phelps in serving as financial advisor to the Committee in connection with the AFC Merger.</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Duff &amp; Phelps personnel were then excused from the meeting while the special committee met in private with its legal counsel. The special committee expressed its satisfaction with Duff &amp; Phelps' proposal and presentation, and discussed certain terms contained in its proposed engagement letter. Following these discussions, the special committee selected unanimously Duff &amp; Phelps as its financial advisor. The Duff &amp; Phelps personnel then rejoined the meeting, and the special committee, its legal counsel, and Duff &amp; Phelps discussed timing and procedural issues concerning the AFC Merger. Legal counsel further reviewed with the special committee issues regarding its charge in connection with the AFC Merger.</w:t>
      </w:r>
    </w:p>
    <w:p>
      <w:pPr>
        <w:spacing w:after="0" w:line="179"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On May 14, 2003, the special committee, together with its legal counsel and financial advisor, attended due diligence meetings in which the financial affairs and operations of AFG, AFC and their affiliates, as well as the anticipated effects of the AFC Merger, were considered. At this meeting, senior management of AFG and AFC and affiliates made various presentations, consisting generally of the following: transaction overview, existing corporate structure, effect of the AFC Merger on corporate structure, state law and federal securities requirements of the AFC Merger; description of tax groups, genesis and past benefits of tax groups, benefits and reasons for combining tax groups as a result of the AFC Merger; pro forma balance sheet effect of the AFC Merger; description of investment portfolio, returns, composition, valuation and decision-making; overview of property and casualty operations and challenges and opportunities facing the property and casualty business; financial overview, description of business unit structure and operations, discussion of capital structure and discussion of rating agency status; annuity and life business, including opportunities and challenges; and general claims handling, asbestos and environmental liability overview and asbestos litigation settlement.</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Following these due diligence reviews, the special committee held its sixth meeting. At this meeting, the special committee and its legal counsel met with Mr. Emmerich, the Chair of the Audit Committee of the board of directors of AFG. The focus of this meeting was to learn how the Audit Committee functions, what procedures it has adopted and implemented to insure that AFG's and AFC's financial statements and practices are in accordance with generally accepted accounting principles and applicable law, whether there are any accounting issues that might have a material impact on AFG or AFC and what critical accounting policies are applicable to AFG and AFC. Mr. Emmerich described the activities of the Audit Committee, including the number of meetings held by the Committee, steps it has taken to comply with the Sarbanes-Oxley Act, its interactions with Management of AFG and its affiliates, including the internal audit function, and its interactions with outside independent auditors and legal counsel. As part of this discussion, it was noted that the Audit Committee is not aware of any accounting practices by AFG or its affiliates that deviate from standard industry practices.</w:t>
      </w:r>
    </w:p>
    <w:p>
      <w:pPr>
        <w:spacing w:after="0" w:line="332"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Following May 14, legal counsel to the special committee obtained various documents from AFG and AFC and met with legal counsel of AFG and AFC for the purpose of carrying out a legal due diligence review of AFG and AFC. In addition, representatives of Duff &amp; Phelps spoke with senior executives of AFG to obtain information in addition to that presented at the May 14, 2003 due diligence sessions. The special committee next met on June 4, 2003. Legal counsel reviewed further with the special committee the nature of the fiduciary duties owed by the members of the special committee to the holders of shares of Series J</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5" w:name="page36"/>
    <w:bookmarkEnd w:id="35"/>
    <w:p>
      <w:pPr>
        <w:ind w:right="3319"/>
        <w:spacing w:after="0" w:line="237" w:lineRule="auto"/>
        <w:rPr>
          <w:sz w:val="20"/>
          <w:szCs w:val="20"/>
          <w:color w:val="auto"/>
        </w:rPr>
      </w:pPr>
      <w:r>
        <w:rPr>
          <w:rFonts w:ascii="Courier New" w:cs="Courier New" w:eastAsia="Courier New" w:hAnsi="Courier New"/>
          <w:sz w:val="15"/>
          <w:szCs w:val="15"/>
          <w:color w:val="auto"/>
        </w:rPr>
        <w:t>Preferred Stock. It was noted that the special committee had been charged with negotiating the terms of the AFC Merger and evaluating the fairness of those terms. The members of the special committee were advised that they would best discharge their duty by seeking to negotiate the terms of the AFC Merger on an "arms length" basis with the goal of obtaining the most favorable terms available for the holders of shares of Series J Preferred Stock. Members of the special committee were advised further that once the most favorable terms available had been negotiated, their duty would be to evaluate the fairness of the terms of the proposed AFC Merger. The special committee was advised further of the special committee's task to articulate in the Proxy Statement to be circulated among the shareholders of AFC the methods and rationale utilized to evaluate the fairness of the AFC Merger.</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special committee was advised further that, as a result of the AFC Merger, holders of shares of Series J Preferred Stock of AFC would possess statutory dissenters' rights of appraisal with respect to their shares. Such rights, perfected properly under Ohio law, entitle each holder of such shares to a judicial determination of the fair cash value of their shares. According to Ohio law, the fair cash value of shares actively traded on a public market is the price of the shares on the day prior to the shareholders vote on the particular transaction giving rise to dissenters' rights, minus any appreciation or depreciation resulting from the transaction itself. In addition, the special committee was advised by its legal counsel that, under Ohio law, the holders of shares of Series J Preferred Stock would be entitled to vote separately as a class on approval of the AFC Merger.</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Legal counsel discussed the preliminary results of its legal due diligence review. Legal counsel reviewed with the special committee the initial draft of the proposed AFC Merger Agreement as provided by AFG and discussed with the special committee certain legal issues arising therefrom and various changes that counsel suggested be requested.</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Duff &amp; Phelps then reviewed with the Committee the financial aspects of the AFC Merger. In this review, Duff &amp; Phelps reviewed the terms of the Series J Preferred Stock and presented its preliminary evaluation of the fairness of the $22.00 exchange price. This evaluation consisted of two parts -- analysis of the AFG common stock and an evaluation of the Series J Preferred Stock. In its review of the AFG common stock, Duff &amp; Phelps presented information on such stock and the stock of AFG's two publicly-traded affiliates - Great American Financial Resources, Inc. and Infinity Property and Casualty Company. Duff &amp; Phelps indicated that the purpose of this review was to assist the special committee in determining whether it appeared that the AFG common stock was being overvalued by the marketplace, i.e., trading at a higher price than would appear to be justified based upon recognized criteria. This information included the trading history of the shares of AFG common stock, the number of shares outstanding, a report on the average daily trading volume, the public float, institutional ownership, implied stock price volatility and analyst coverage. The trading values of the common stocks of AFG, Great American Financial Resources and Infinity were compared to common stocks of other comparable companies as a multiple of operating earnings per share and as a multiple of common book value, as well as operating return on average total equity. In each case, Duff &amp; Phelps concluded that the common stocks of AFG, Great American Financial Resources and Infinity appeared to be trading at multiples below or in line with comparable companies. Based upon the information presented by Duff &amp; Phelps, the special committee concluded that it did not appear that the AFG common stock was being over-valued by the marketplace.</w:t>
      </w:r>
    </w:p>
    <w:p>
      <w:pPr>
        <w:spacing w:after="0" w:line="34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second part of Duff &amp; Phelps' preliminary review concerned a valuation of the Series J Preferred Stock. Duff &amp; Phelps first provided information on trading of the Stock, noting that the most recent reported stock price trade was $19.50, with the 52-week high being $23.50 and the 52-week low being $16.75. Duff &amp; Phelps observed that the trading volume was quite limited, with 2,886,161 shares of Series J Preferred Stock being outstanding, but an average trading volume of only 792 shares on those days upon which shares traded. Duff &amp; Phelps added that the Series J Preferred Stock had traded on only 19.2% of the 261 trading days during</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6" w:name="page37"/>
    <w:bookmarkEnd w:id="36"/>
    <w:p>
      <w:pPr>
        <w:ind w:right="3239"/>
        <w:spacing w:after="0" w:line="235" w:lineRule="auto"/>
        <w:rPr>
          <w:sz w:val="20"/>
          <w:szCs w:val="20"/>
          <w:color w:val="auto"/>
        </w:rPr>
      </w:pPr>
      <w:r>
        <w:rPr>
          <w:rFonts w:ascii="Courier New" w:cs="Courier New" w:eastAsia="Courier New" w:hAnsi="Courier New"/>
          <w:sz w:val="15"/>
          <w:szCs w:val="15"/>
          <w:color w:val="auto"/>
        </w:rPr>
        <w:t>the previous 12 months. Duff &amp; Phelps noted further that institutional ownership appeared to be approximately 12% and that there was no analyst coverage of the Series J Preferred Stock.</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Duff &amp; Phelps then reviewed with the special committee a list of preferred securities issued by seven different comparable companies with Standard &amp; Poor's credit ratings ranging from BB+ to BB-. The Series J Preferred Stock is rated BB. For each, Duff &amp; Phelps described the dividend, the dollar value of the issuance, recent trading price, the current yield, the credit spread over 30-year U.S. treasuries, the date callable, the yield to maturity and the credit spread to maturity over 30-year U.S. treasuries. Duff &amp; Phelps used this information to generate a high and low range of the spread over 30-year treasuries for both current yield and yield to maturity for these securities. Duff &amp; Phelps then applied a discounted cash flow analysis to this information in order to generate a range of per share values for the Series J Preferred Stock. For the current yield analysis, this resulted in a range of $23.13 to $26.56 per share of Series J Preferred Stock. For the yield to maturity analysis, this resulted in a range of $22.96 to $26.44 per share of Series J Preferred Stock. Applying an illiquidity premium to take into account the limited market for the Series J Preferred Stock resulted in ranges of $21.46 to $24.45 and $21.31 to $24.35, respectively. Duff &amp; Phelps noted that these analyses involved a broad range of securities, some of which had credit ratings higher than the Series J Preferred Stock. Duff &amp; Phelps then performed the same analyses on a smaller, more comparable group of two securities with a Standard &amp; Poor's credit rating of BB, the same as that of the Series J Preferred Stock. This resulted in a range of per share values for the current yield analysis of $23.13 to $23.95 per share of Series J Preferred Stock, and for the yield to maturity analysis of $22.96 to $23.47 per share of Series J Preferred Stock. Application of the illiquidity premium resulted in ranges of $21.46 to $22.18 and $21.31 to $21.76, respectively. The Duff &amp; Phelps report was a preliminary version of the final report delivered to the special committee on July 2, 2003, which is described under "Special Factors -- Valuation Methodologies."</w:t>
      </w:r>
    </w:p>
    <w:p>
      <w:pPr>
        <w:spacing w:after="0" w:line="34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special committee noted that the $22.00 exchange value proposed in the AFC Merger, while in excess of recent trading prices of shares of Series J Preferred Stock, was below certain of the various preliminary ranges of per share values estimated by Duff &amp; Phelps. The special committee then discussed with its legal counsel and Duff &amp; Phelps the nature and possible value of the benefits expected to be received by AFG as a result of the AFC Merger. In this context, it was noted that the holders of shares of Series J Preferred Stock could be expected to share in these benefits since they would receive shares of AFG common stock in the AFC Merger. The special committee asked its legal counsel and financial advisor to attempt to identify and quantify more specifically the nature and value of the expected benefits to AFG.</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The special committee met again on June 11, 2003. At this meeting, Duff</w:t>
      </w:r>
    </w:p>
    <w:p>
      <w:pPr>
        <w:spacing w:after="0" w:line="5" w:lineRule="exact"/>
        <w:rPr>
          <w:sz w:val="20"/>
          <w:szCs w:val="20"/>
          <w:color w:val="auto"/>
        </w:rPr>
      </w:pPr>
    </w:p>
    <w:p>
      <w:pPr>
        <w:ind w:right="3239" w:firstLine="10"/>
        <w:spacing w:after="0" w:line="254" w:lineRule="auto"/>
        <w:tabs>
          <w:tab w:leader="none" w:pos="17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Phelps reported its preliminary assessment of the qualitative and quantitative benefits of the AFC Merger to AFG. With respect to the qualitative benefits, it was noted that the AFC Merger would result in a simplified corporate structure, which would probably be viewed positively by the investment community, that AFG common stock could be used as consideration in stock-for-stock acquisitions (which is not the case now because of AFG's two tax group consolidation structure) and that the new corporate structure would permit more efficient asset transfers between subsidiaries. The quantitative benefits included improved cash flow resulting from the elimination of the $5.8 million annual preferred dividend requirement on the Series J Preferred Stock (offset by an increased dividend payment for AFG common stock of approximately $1.4 million), a reduction in fixed charge obligations, an improvement in fixed charge coverage ratios and a reduction in leverage ratios. It was also noted that there would be generally accepted accounting principle balance sheet improvements of approximately $65 million due to elimination of the minority interest represented by the Series J Preferred Stock and elimination of $162 million of deferred tax accruals. The special committee recognized that these balance sheet and tax accruals were non-cash items. In addition, there would be an elimination of duplicative costs related to administration and accounting expenses and Securities and Exchange Commission filing fees. The special committee noted that the Series J Preferred Stock was callable at the option of AFC in 2005 at a cash price per share of $25.75, in 2006 at $25.375 and in 2007 at $25.00, plus in each case accrued dividends, and that under the terms of the Series J Preferred Stock, AFC could carry out a merger earlier in which the</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7" w:name="page38"/>
    <w:bookmarkEnd w:id="37"/>
    <w:p>
      <w:pPr>
        <w:ind w:right="3319"/>
        <w:spacing w:after="0" w:line="236" w:lineRule="auto"/>
        <w:rPr>
          <w:sz w:val="20"/>
          <w:szCs w:val="20"/>
          <w:color w:val="auto"/>
        </w:rPr>
      </w:pPr>
      <w:r>
        <w:rPr>
          <w:rFonts w:ascii="Courier New" w:cs="Courier New" w:eastAsia="Courier New" w:hAnsi="Courier New"/>
          <w:sz w:val="15"/>
          <w:szCs w:val="15"/>
          <w:color w:val="auto"/>
        </w:rPr>
        <w:t>holders would receive cash of $25.00 per share plus accrued dividends. Duff &amp; Phelps advised the special committee that it estimated the present value of the $25.75 call price in 2005 (including dividends) to be between $25.25 to $25.75 per share of Series J Preferred Stock, calculated based on a range of current yields for comparable preferred securities with a Standard &amp; Poor's credit rating of BB.</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special committee met again on June 16, 2003. At this meeting the Committee discussed with its legal counsel and financial advisor the course of action to be followed in light of the various information provided to the special committee. After this discussion, it was agreed that Messrs. Tomain and Fogarty, along with legal counsel, would meet with representatives of AFG to seek to negotiate more favorable terms, including a higher exchange value. It was agreed that the special committee would request an exchange value equal to the cash call price in 2005, namely that each share of Series J Preferred Stock be converted into shares of AFG common stock having a value of $25.75 plus accrued dividends to the time of Closing.</w:t>
      </w:r>
    </w:p>
    <w:p>
      <w:pPr>
        <w:spacing w:after="0" w:line="16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Messrs. Tomain and Fogarty, along with legal counsel, met with representatives of AFG on June 17, 2003, for this purpose. Messrs. Tomain and Fogarty proposed that the exchange value be increased to $25.75 plus accrued dividends. After discussion and private consideration, the representatives of AFG proposed instead an exchange value equal to the cash liquidation value of the Series J Preferred Stock, namely that each share of Series J Preferred Stock be converted into shares of AFG common stock having a value of $25.00 plus accrued dividends to the time of Closing. AFG further proposed that it have the right to terminate the AFC Merger in the event that the market value of a share of AFG common stock for purposes of the AFC Merger would be less than $19.00. The representatives of the special committee agreed to consider this proposal. They then discussed various other changes which the special committee had requested to the terms of the AFC Merger Agreement.</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special committee, its legal counsel and its financial advisor met later on June 17, 2003 to consider the discussions earlier that day with representatives of AFG. The special committee instructed its legal counsel to contact AFG to clarify certain points concerning the most recent AFG proposal and to propose also that the special committee have the right to terminate the AFC Merger if the trading value of a share of AFG common stock, as determined under the AFC Merger Agreement, exceeds $25.00 per share. Legal counsel updated the special committee on the status of certain requested changes to the AFC Merger Agreement, the most significant of which involved receipt of a tax opinion as to the tax free nature of the AFC Merger as a Closing condition, the right of the special committee to terminate the AFC Merger up to the time of Closing in the event that it determined that such action was required in accordance with its fiduciary duties and a requirement that the AFC Merger be approved not just by a vote of holders of a majority of the outstanding shares of Series J Preferred Stock, but also by holders of a majority of shares of Series J Preferred Stock actually voted on the AFC Merger which are not held by affiliates of AFG.</w:t>
      </w:r>
    </w:p>
    <w:p>
      <w:pPr>
        <w:spacing w:after="0" w:line="33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 June 18, 2003, legal counsel to the special committee contacted AFG and communicated the requests of the special committee. Between June 18, 2003 and July 2, 2003, discussions continued between legal counsel for the special committee and representatives of AFG concerning the financial terms of the AFC Merger and other terms of the AFC Merger Agreement. The special committee did not meet formally during this time period, but legal counsel reviewed the progress of these discussions with the individual members of the Committee and with the Committee's financial advisor. These discussions resulted ultimately in the terms set forth in the AFC Merger Agreement.</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special committee met again on July 2, 2003. Legal counsel noted that the members of the special committee had been provided previously with a proposed final form of the AFC Merger Agreement. Counsel then reviewed with the special committee and its financial advisor the principal changes which had been negotiated by the special committee and its legal counsel with respect to the terms of the AFC Merger as set forth in the AFC Merger Agreement. These included specifically a provision that each share of Series J Preferred Stock would be converted into shares of AFG common stock having a value of $25.00 plus accrued</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8" w:name="page39"/>
    <w:bookmarkEnd w:id="38"/>
    <w:p>
      <w:pPr>
        <w:ind w:right="3239"/>
        <w:spacing w:after="0" w:line="255" w:lineRule="auto"/>
        <w:rPr>
          <w:sz w:val="20"/>
          <w:szCs w:val="20"/>
          <w:color w:val="auto"/>
        </w:rPr>
      </w:pPr>
      <w:r>
        <w:rPr>
          <w:rFonts w:ascii="Courier New" w:cs="Courier New" w:eastAsia="Courier New" w:hAnsi="Courier New"/>
          <w:sz w:val="14"/>
          <w:szCs w:val="14"/>
          <w:color w:val="auto"/>
        </w:rPr>
        <w:t>dividends to the time of Closing. AFG would have the right to terminate the AFC Merger in the event that the trading value of a share of AFG common stock, as defined in the AFC Merger Agreement, was less than $19.00 per share. If AFG did not exercise this right, the AFC Merger would be carried out at the lower trading value. AFC, acting through the special committee, would not have a similar right to terminate the AFC Merger in the event that a share of AFG common stock had a value in excess of a set amount. However, if such value should exceed $27.00 per share of AFG common stock, the value of $27.00 would be used to determine the number of shares of AFG common stock to be issued in the AFC Merger. Legal counsel described other changes which had been negotiated in the terms of the AFC Merger Agreement, noting specifically that the changes discussed earlier with respect to a tax opinion, the right of the special committee to terminate the AFC Merger, and a separate vote of non-affiliated stockholders, had all been agreed to by AFG.</w:t>
      </w:r>
    </w:p>
    <w:p>
      <w:pPr>
        <w:spacing w:after="0" w:line="332"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Duff &amp; Phelps, LLC presented to and reviewed with the members of the special committee its final report. This report was an updated version of, and was consistent with, the preliminary report of June 4, 2003. The valuation methodologies contained therein are described under "Special Factors - Valuation Methodologies." For the seven preferred securities, the current yield analysis resulted in a range of $22.88 to $26.70 per share of Series J Preferred Stock. The yield to maturity analysis resulted in a range of $22.50 to $26.95 per share of Series J Preferred Stock. Applying an illiquidity premium to take into account the limited market for the Series J Preferred Stock resulted in ranges of $21.24 to $24.57 and $20.91 to $24.79, respectively. Duff &amp; Phelps noted again that these analyses involved a broad range of securities, some of which had credit ratings higher than the Series J Preferred Stock. Duff &amp; Phelps performed again the same analyses on a smaller more comparable group of two securities with a Standard &amp; Poor's credit rating of BB, the same as that of the Series J Preferred Stock. This resulted in a range of per share values for the current yield analysis of $22.88 to $24.58 per share of Series J Preferred Stock, and for the yield to maturity analysis of $22.50 to $23.98 per share of Series J Preferred Stock. Application of the illiquidity premium resulted in ranges of $21.24 to $22.73 and $20.91 to $22.21, respectively. Duff &amp; Phelps advised the special committee that it estimated the present value of the $25.75 call price in 2005 (including dividends) before application of an illiquidity premium to be between $25.16 to $25.53 per share of Series J Preferred Stock, calculated based on a range of current yields for comparable preferred securities with a Standard &amp; Poor's credit rating of BB, and $24.76 to $25.13 after application of an illiquidity premium. Following this presentation and questions from the members of the special committee, Duff &amp; Phelps stated that it believed that the consideration to be received by holders of shares of Series J Preferred Stock in the AFC Merger was fair to the holders of such shares from a financial point of view. Duff &amp; Phelps also indicated that it was prepared, subject to the non-occurrence of unforeseen conditions, including material changes in the general level of interest rates or significant delays in the Closing of the AFC Merger, to deliver its written fairness opinion (the "Opinion") to such effect at the time of mailing of the Proxy Statement to AFC's shareholders.</w:t>
      </w:r>
    </w:p>
    <w:p>
      <w:pPr>
        <w:spacing w:after="0" w:line="348"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Legal counsel noted that the Agreement provides for an opinion from Duff &amp; Phelps at the time of the mailing of the Proxy Statement, but does not provide for an updated opinion from Duff &amp; Phelps at the time of Closing. However, legal counsel noted that the special committee has the right to terminate the AFC Merger Agreement up to the time of Closing if it determines, after consultation with legal counsel, that such action is required in the exercise of its fiduciary duties.</w:t>
      </w:r>
    </w:p>
    <w:p>
      <w:pPr>
        <w:spacing w:after="0" w:line="176"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Legal counsel presented to, and discussed with, the special committee a final legal due diligence report on AFG and AFC.</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special committee then reviewed and considered various factors concerning the fairness of the AFC Merger, including specifically those set forth under "Special Factors - Recommendations of the special committee and the board of directors of AFC." At the conclusion of the meeting on July 2, 2003, the special committee adopted unanimously resolutions finding that the AFC Merger was fair to the holders of shares of Series J Preferred Stock, recommending that the board of directors of AFC approve the AFC Merger</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39" w:name="page40"/>
    <w:bookmarkEnd w:id="39"/>
    <w:p>
      <w:pPr>
        <w:ind w:right="3239"/>
        <w:spacing w:after="0" w:line="235" w:lineRule="auto"/>
        <w:rPr>
          <w:sz w:val="20"/>
          <w:szCs w:val="20"/>
          <w:color w:val="auto"/>
        </w:rPr>
      </w:pPr>
      <w:r>
        <w:rPr>
          <w:rFonts w:ascii="Courier New" w:cs="Courier New" w:eastAsia="Courier New" w:hAnsi="Courier New"/>
          <w:sz w:val="15"/>
          <w:szCs w:val="15"/>
          <w:color w:val="auto"/>
        </w:rPr>
        <w:t>Agreement and cause it to be presented to the holders of shares of Series J Preferred Stock for their consideration, and recommending that such shareholders approve the AFC Merger Agreement.</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After receiving the report and recommendation from the special committee on July 2, 2003, the board of directors of AFC, relying exclusively on the special committee's analysis, took action stating that, in light of and subject to the terms and conditions set forth in the AFC Merger Agreement, it was in the best interests of the holder of AFC common stock and the holders of shares of the Series J Preferred Stock for AFC to enter into the merger agreement and that the AFC merger would be fair to, and in the best interests of, such holders. The board, without taking any separate action to adopt formally the special committee's analysis, also took action to recommend to such holders that the merger agreement be approved. All of the July 2, 2003 actions taken were approved unanimously.</w:t>
      </w:r>
    </w:p>
    <w:p>
      <w:pPr>
        <w:spacing w:after="0" w:line="180"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RECOMMENDATIONS OF THE SPECIAL COMMITTEE AND THE BOARD OF DIRECTORS OF AFC; RECOMMENDATION OF THE BOARD OF DIRECTORS OF AFG; REASONS FOR RECOMMENDATIONS</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noted above, the board of directors of AFC and the special committee have determined that the AFC merger is fair to the holders of shares of AFC Series J Preferred Stock and recommend that such holders approve the merger agreement. The board of directors of AFG did not make any independent analysis with respect to the AFC merger Proposal, but relied upon and accepted the conclusions, determinations and findings of the board of directors of AFC and the special committee in stating that the AFC merger is fair to the holders of Series J Preferred Stock and unanimously recommending adoption of the merger agreement.</w:t>
      </w:r>
    </w:p>
    <w:p>
      <w:pPr>
        <w:spacing w:after="0" w:line="178"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In reaching its determination, the special committee considered a number of factors. Set forth below are all the material factors which were considered by the special committee. The following factors were considered positive in nature and thereby to be favorable as to the fairness of the AFC merger:</w:t>
      </w:r>
    </w:p>
    <w:p>
      <w:pPr>
        <w:spacing w:after="0" w:line="174" w:lineRule="exact"/>
        <w:rPr>
          <w:sz w:val="20"/>
          <w:szCs w:val="20"/>
          <w:color w:val="auto"/>
        </w:rPr>
      </w:pPr>
    </w:p>
    <w:p>
      <w:pPr>
        <w:ind w:left="1320" w:right="3319" w:hanging="523"/>
        <w:spacing w:after="0" w:line="236" w:lineRule="auto"/>
        <w:tabs>
          <w:tab w:leader="none" w:pos="13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lack of liquidity for the shares of Series J Preferred Stock which, in the view of the special committee, makes it difficult for shareholders to sell their shares for cash and diversify their holdings without affecting adversely the trading price of the shares of Series J Preferred Stock;</w:t>
      </w:r>
    </w:p>
    <w:p>
      <w:pPr>
        <w:spacing w:after="0" w:line="173" w:lineRule="exact"/>
        <w:rPr>
          <w:rFonts w:ascii="Courier New" w:cs="Courier New" w:eastAsia="Courier New" w:hAnsi="Courier New"/>
          <w:sz w:val="15"/>
          <w:szCs w:val="15"/>
          <w:color w:val="auto"/>
        </w:rPr>
      </w:pPr>
    </w:p>
    <w:p>
      <w:pPr>
        <w:ind w:left="1320" w:right="3319" w:hanging="523"/>
        <w:spacing w:after="0" w:line="235" w:lineRule="auto"/>
        <w:tabs>
          <w:tab w:leader="none" w:pos="13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AFC merger permit holders of Series J Preferred Stock to receive shares of AFG common stock in a tax-free transaction;</w:t>
      </w:r>
    </w:p>
    <w:p>
      <w:pPr>
        <w:spacing w:after="0" w:line="173" w:lineRule="exact"/>
        <w:rPr>
          <w:rFonts w:ascii="Courier New" w:cs="Courier New" w:eastAsia="Courier New" w:hAnsi="Courier New"/>
          <w:sz w:val="15"/>
          <w:szCs w:val="15"/>
          <w:color w:val="auto"/>
        </w:rPr>
      </w:pPr>
    </w:p>
    <w:p>
      <w:pPr>
        <w:ind w:left="1320" w:right="3239" w:hanging="523"/>
        <w:spacing w:after="0" w:line="236" w:lineRule="auto"/>
        <w:tabs>
          <w:tab w:leader="none" w:pos="13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trading volume of the shares of AFG common stock is substantially greater than that of the Series J Preferred Stock, current holders of shares of Series J Preferred Stock will have the option of either holding the shares of AFG common stock which they receive in the AFC merger, or selling them if they wish to receive cash;</w:t>
      </w:r>
    </w:p>
    <w:p>
      <w:pPr>
        <w:spacing w:after="0" w:line="174" w:lineRule="exact"/>
        <w:rPr>
          <w:rFonts w:ascii="Courier New" w:cs="Courier New" w:eastAsia="Courier New" w:hAnsi="Courier New"/>
          <w:sz w:val="15"/>
          <w:szCs w:val="15"/>
          <w:color w:val="auto"/>
        </w:rPr>
      </w:pPr>
    </w:p>
    <w:p>
      <w:pPr>
        <w:ind w:left="1320" w:right="3319" w:hanging="523"/>
        <w:spacing w:after="0" w:line="236" w:lineRule="auto"/>
        <w:tabs>
          <w:tab w:leader="none" w:pos="13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various analyses and other information presented to the special committee by Duff &amp; Phelps, including those described under "Special Factors - Background," "Special Factors - Opinion of Financial Advisor," and "Special Factors - Valuation Methodologies;"</w:t>
      </w:r>
    </w:p>
    <w:p>
      <w:pPr>
        <w:spacing w:after="0" w:line="173" w:lineRule="exact"/>
        <w:rPr>
          <w:rFonts w:ascii="Courier New" w:cs="Courier New" w:eastAsia="Courier New" w:hAnsi="Courier New"/>
          <w:sz w:val="15"/>
          <w:szCs w:val="15"/>
          <w:color w:val="auto"/>
        </w:rPr>
      </w:pPr>
    </w:p>
    <w:p>
      <w:pPr>
        <w:ind w:left="1320" w:right="3319" w:hanging="523"/>
        <w:spacing w:after="0" w:line="236" w:lineRule="auto"/>
        <w:tabs>
          <w:tab w:leader="none" w:pos="13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Duff &amp; Phelps described below under "Special Factors - Opinion of Financial Advisor" to the effect that the consideration to be received by holders of shares of Series J Preferred Stock in the AFC merger is fair from a financial point of view to the holders of such shares;</w:t>
      </w:r>
    </w:p>
    <w:p>
      <w:pPr>
        <w:spacing w:after="0" w:line="173" w:lineRule="exact"/>
        <w:rPr>
          <w:rFonts w:ascii="Courier New" w:cs="Courier New" w:eastAsia="Courier New" w:hAnsi="Courier New"/>
          <w:sz w:val="15"/>
          <w:szCs w:val="15"/>
          <w:color w:val="auto"/>
        </w:rPr>
      </w:pPr>
    </w:p>
    <w:p>
      <w:pPr>
        <w:ind w:left="1320" w:right="3239" w:hanging="523"/>
        <w:spacing w:after="0" w:line="236" w:lineRule="auto"/>
        <w:tabs>
          <w:tab w:leader="none" w:pos="13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merger agreement, including particularly the requirements that the AFC merger be approved by the vote of holders of a majority of the outstanding shares of Series J Preferred Stock voting as a class as well as by the affirmative vote of holders of a majority of the shares of Series J Preferred Stock actually voted on the AFC merger who are not affiliates of AFG, and the</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40" w:name="page41"/>
    <w:bookmarkEnd w:id="40"/>
    <w:p>
      <w:pPr>
        <w:ind w:left="1320" w:right="3579"/>
        <w:spacing w:after="0" w:line="235" w:lineRule="auto"/>
        <w:rPr>
          <w:sz w:val="20"/>
          <w:szCs w:val="20"/>
          <w:color w:val="auto"/>
        </w:rPr>
      </w:pPr>
      <w:r>
        <w:rPr>
          <w:rFonts w:ascii="Courier New" w:cs="Courier New" w:eastAsia="Courier New" w:hAnsi="Courier New"/>
          <w:sz w:val="15"/>
          <w:szCs w:val="15"/>
          <w:color w:val="auto"/>
        </w:rPr>
        <w:t>provision that the special committee can terminate the merger agreement up to the time of Closing in the event that it determines that such action is required by its fiduciary duties;</w:t>
      </w:r>
    </w:p>
    <w:p>
      <w:pPr>
        <w:spacing w:after="0" w:line="175" w:lineRule="exact"/>
        <w:rPr>
          <w:sz w:val="20"/>
          <w:szCs w:val="20"/>
          <w:color w:val="auto"/>
        </w:rPr>
      </w:pPr>
    </w:p>
    <w:p>
      <w:pPr>
        <w:ind w:left="1320" w:right="3239" w:hanging="523"/>
        <w:spacing w:after="0" w:line="234" w:lineRule="auto"/>
        <w:tabs>
          <w:tab w:leader="none" w:pos="13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shares of Series J Preferred Stock will be entitled to exercise "dissenters' rights" under Ohio law;</w:t>
      </w:r>
    </w:p>
    <w:p>
      <w:pPr>
        <w:spacing w:after="0" w:line="173" w:lineRule="exact"/>
        <w:rPr>
          <w:rFonts w:ascii="Courier New" w:cs="Courier New" w:eastAsia="Courier New" w:hAnsi="Courier New"/>
          <w:sz w:val="15"/>
          <w:szCs w:val="15"/>
          <w:color w:val="auto"/>
        </w:rPr>
      </w:pPr>
    </w:p>
    <w:p>
      <w:pPr>
        <w:ind w:left="1320" w:right="3239" w:hanging="523"/>
        <w:spacing w:after="0" w:line="236" w:lineRule="auto"/>
        <w:tabs>
          <w:tab w:leader="none" w:pos="13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AFC merger consideration of $25.00 plus accrued dividends (of up to $1.00 per share depending upon the date of the Closing) per share of Series J Preferred Stock : approximates or exceeds the estimated present value (including future dividends) of the price in cash at which the Series J Preferred Stock may be called in 2005, based on a range of current yields for comparable preferred securities with a Standard &amp; Poor's credit rating of BB; equals the cash liquidation preference of the shares of Series J Preferred Stock; and equals the price at which the Series J Preferred Stock may be "cashed out" now in a merger transaction;</w:t>
      </w:r>
    </w:p>
    <w:p>
      <w:pPr>
        <w:spacing w:after="0" w:line="180" w:lineRule="exact"/>
        <w:rPr>
          <w:rFonts w:ascii="Courier New" w:cs="Courier New" w:eastAsia="Courier New" w:hAnsi="Courier New"/>
          <w:sz w:val="15"/>
          <w:szCs w:val="15"/>
          <w:color w:val="auto"/>
        </w:rPr>
      </w:pPr>
    </w:p>
    <w:p>
      <w:pPr>
        <w:ind w:left="1320" w:right="3239" w:hanging="523"/>
        <w:spacing w:after="0" w:line="255"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value of $25.00 plus accrued dividends is higher than the average reported closing price of the Series J Preferred Stock of $20.67 over the past three years, exceeds the closing price of $19.00 on March 12, 2003, the last day on which the Series J Preferred Stock traded prior to April 17, 2003, the day of the announcement of the proposed AFC merger, and exceeds $24.00, the highest reported per share closing price at which the Series J Preferred Stock traded during the past three years.</w:t>
      </w:r>
    </w:p>
    <w:p>
      <w:pPr>
        <w:spacing w:after="0" w:line="166"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following factor was considered by the special committee to be negative in nature and thereby to be unfavorable as to the fairness of the AFC merger:</w:t>
      </w:r>
    </w:p>
    <w:p>
      <w:pPr>
        <w:spacing w:after="0" w:line="174" w:lineRule="exact"/>
        <w:rPr>
          <w:sz w:val="20"/>
          <w:szCs w:val="20"/>
          <w:color w:val="auto"/>
        </w:rPr>
      </w:pPr>
    </w:p>
    <w:p>
      <w:pPr>
        <w:jc w:val="both"/>
        <w:ind w:left="1320" w:right="3399" w:hanging="523"/>
        <w:spacing w:after="0" w:line="236" w:lineRule="auto"/>
        <w:tabs>
          <w:tab w:leader="none" w:pos="13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holders of preferred securities of AFC, holders of shares of Series J Preferred Stock have a superior credit position to the holder of common stock of AFC and are structurally favored over creditors and common stockholders of AFG, which advantages will be lost in the AFC merger.</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Each of the factors cited above was considered by the special committee at one or more of its meetings described under "Special Factors - the Special Committee." The consideration of these factors involved primarily discussions among the members of the special committee and its legal counsel and financial advisor and was based upon information and advice received by the special committee with respect to each factor from management of AFG and AFC and the special committee's legal counsel and financial advisor, as well as its members' own knowledge about the matters involved in the AFC merger. The consideration of factors (iv), (viii) and (ix) involved reviews by the special committee of factual, financial and numerical information presented to the special committee by its financial advisor and described under "Special Factors - Special Committee," and "Special Factors - Valuation Methodologies." Taking all of the factors into consideration, the special committee concluded that the AFC merger was fair to and in the best interests of the holders of shares of Series J Preferred Stock.</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view of the various procedural steps taken by the special committee as outlined above, as well as the requirement for approval of the AFC merger by a separate vote of non-affiliated holders, the special committee believes the AFC merger is fair to holders of Series J Preferred Stock from a procedural, as well as a financial, point of view.</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reaching its determination that the AFC merger is fair to the holders of shares of Series J Preferred Stock, the special committee considered solely the interests of such holders and did not consider the interests of other parties, or of officers or directors of AFG or AFC. In view of the wide variety of factors considered in connection with the review of the AFC merger, neither the special committee nor the AFC board of directors found it practical to, and did not, quantify or otherwise attempt to assign relative weights to the specific factors considered in reaching its respective determinations. Because of the appointment of the special committee and</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41" w:name="page42"/>
    <w:bookmarkEnd w:id="41"/>
    <w:p>
      <w:pPr>
        <w:ind w:right="3239"/>
        <w:spacing w:after="0" w:line="236" w:lineRule="auto"/>
        <w:rPr>
          <w:sz w:val="20"/>
          <w:szCs w:val="20"/>
          <w:color w:val="auto"/>
        </w:rPr>
      </w:pPr>
      <w:r>
        <w:rPr>
          <w:rFonts w:ascii="Courier New" w:cs="Courier New" w:eastAsia="Courier New" w:hAnsi="Courier New"/>
          <w:sz w:val="15"/>
          <w:szCs w:val="15"/>
          <w:color w:val="auto"/>
        </w:rPr>
        <w:t>the engagement of Duff &amp; Phelps and special counsel by the special committee, neither the board nor the special committee considered it necessary to retain an unaffiliated representative to act solely on behalf of the holders of shares of Series J Preferred Stock for the purpose of negotiating the terms of the merger agreement.</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board of directors of AFG did not make any independent analysis with respect to the AFC merger, but is relying upon and accepting the conclusions, determinations and findings of the board of directors of AFC and the special committee in determining that the AFC merger is fair to the holders of Series J Preferred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SPECIAL COMMITTEE'S FINANCIAL ADVISOR</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Duff &amp; Phelps, LLC, the financial advisor to the special committee, has delivered its written opinion that the consideration to be issued in exchange for shares of Series J Preferred Stock is fair from a financial point of view to holders of shares of Series J Preferred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METHODOLOGIES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described above under "Special Factors - The Special Committee," at the meeting of the special committee held on July 2, 2003, Duff &amp; Phelps stated its opinion that the consideration to be received by holders of shares of Series J Preferred Stock pursuant to the merger agreement was fair to the holders of such shares from a financial point of view.</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full text of the written fairness opinion of Duff &amp; Phelps dated July __, 2003, which sets forth the assumptions made, procedures followed, matters considered, limitations on and scope of review by Duff &amp; Phelps in rendering its opinion, is attached as Annex B to this proxy statement/prospectus and is incorporated herein by reference. Holders of Series J Preferred Stock are urged to read the Duff &amp; Phelps opinion in its entirety. The following summary of Duff &amp; Phelps' opinion is qualified in its entirety by reference to the full text of the opinion. Duff &amp; Phelps' opinion is directed to the special committee and does not constitute a recommendation to any holder of Series J Preferred Stock as to how preferred stockholder should vote with respect to the AFC merger. Duff &amp; Phelps' opinion addresses the fairness of the consideration to be received by the holders of shares of Series J Preferred Stock only from a financial point of view and does not address the relative merits of the AFC merger or any alternatives to the AFC merger, the underlying decision of the board of directors to proceed with or effect the AFC merger or any other aspect of the AFC merger. The Duff &amp; Phelps opinion was rendered without regard to the necessity for, or level of, any restrictions, obligations or undertakings which may be imposed or required in the course of obtaining regulatory approvals for the AFC merger.</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arriving at its opinion, Duff &amp; Phelps reviewed, among other items: AFC's and AFG's historical financial statements and descriptive information, including audited financial statements on SEC form 10-K for the fiscal years ending on or about December 31, 2000 to 2002, unaudited financial statements on SEC form 10-Q for the fiscal quarter ended March 31, 2003, and certain other public filings and financial information prepared by AFC and AFG management; pro forma financial statements prepared by AFG and AFC management reflecting the effect of AFC merger on AFG's financial statements; Agreement and Plan of Reorganization dated July 2, 2003; AFC's Amended Articles of Incorporation; historical stock prices and trading volume of the common stock of AFG, Great American Financial Resources, and Infinity; historical stock prices and trading volume of the Series J Preferred Stock of AFC; historical financial performance and valuation multiples of public companies deemed comparable to the AFG, Great American Financial Resources, and Infinity, respectively; current trading prices and yields for comparable publicly traded preferred stock securities based on issuer and security attributes, including credit quality, issuance size, and issuer industry; and other financial studies, analyses, and investigations as Duff &amp; Phelps deemed appropriate.</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42" w:name="page43"/>
    <w:bookmarkEnd w:id="42"/>
    <w:p>
      <w:pPr>
        <w:ind w:right="3239" w:firstLine="787"/>
        <w:spacing w:after="0" w:line="255" w:lineRule="auto"/>
        <w:rPr>
          <w:sz w:val="20"/>
          <w:szCs w:val="20"/>
          <w:color w:val="auto"/>
        </w:rPr>
      </w:pPr>
      <w:r>
        <w:rPr>
          <w:rFonts w:ascii="Courier New" w:cs="Courier New" w:eastAsia="Courier New" w:hAnsi="Courier New"/>
          <w:sz w:val="14"/>
          <w:szCs w:val="14"/>
          <w:color w:val="auto"/>
        </w:rPr>
        <w:t>In addition, Duff &amp; Phelps met with the senior management of AFC and AFG on May 14, 2003, in Cincinnati, Ohio, and conducted subsequent telephone conversations, to discuss the history, current business operations, financial condition, future prospects, and strategic objectives of AFC, AFG, and their affiliates, as well as the anticipated effects of the AFC merger. Duff &amp; Phelps also took into account its assessment of general economic, market, and financial conditions, as well as its experience in securities and business valuation, in general, and with respect to similar transactions, in particular.</w:t>
      </w:r>
    </w:p>
    <w:p>
      <w:pPr>
        <w:spacing w:after="0" w:line="16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rendering its opinion, Duff &amp; Phelps has assumed and relied upon, without independent verification, the accuracy and completeness of all financial and other information which was publicly available or furnished to or discussed with Duff &amp; Phelps by AFG and AFC. With respect to pro forma financial information, forward-looking statements and other information and data provided to, or otherwise reviewed by or discussed with Duff &amp; Phelps, Duff &amp; Phelps has been advised by management of AFG and AFC that such pro forma information and other information and data were reasonably prepared on a basis reflecting the best currently available estimates and judgments of the management of AFG and AFC as to the future financial performance of such companies and Duff &amp; Phelps assumed in arriving at its opinion that AFG and AFC will perform in accordance with such estimates. Duff &amp; Phelps has not conducted any independent evaluation or appraisal of the properties, assets, liabilities or reserves of AFG or AFC, nor has Duff &amp; Phelps conducted any independent actuarial or physical inspections. Duff &amp; Phelps' opinion necessarily is based upon regulatory, economic, market, and other conditions as they exist and can be evaluated as of the date of Duff &amp; Phelps' opinion. Neither AFC management nor its board or the special committee placed any limitations upon Duff &amp; Phelps with respect to the procedures followed or factors considered by Duff &amp; Phelps in rendering its opinion.</w:t>
      </w:r>
    </w:p>
    <w:p>
      <w:pPr>
        <w:spacing w:after="0" w:line="17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arriving at its opinion and making its presentation to the special committee, Duff &amp; Phelps performed a variety of financial and comparative analyses, including those summarized below. The summary set forth below includes the material financial and comparative analyses discussed by Duff &amp; Phelps with the special committee, but does not purport to be a complete description of the analyses performed by Duff &amp; Phelps in arriving at its opinion. Arriving at a fairness opinion is a complex process that involves various determinations as to the most appropriate and relevant methods of financial analysis and the application of those methods to the particular circumstances, and, therefore, such an opinion is not necessarily susceptible to partial analysis or summary description. Duff &amp; Phelps believes that its analyses must be considered as a whole and that selecting portions of its analyses or portions of the factors considered by it, without considering all analyses and factors, could create a misleading or an incomplete view of the valuation process underlying its opinion.</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Furthermore, in arriving at its opinion, Duff &amp; Phelps did not attribute any particular weight to any analysis or factor considered by it, but rather made qualitative judgments as to the significance and relevance of each analysis and factor. No company or security used in the analyses as a comparison is identical to AFG, AFC, or the AFC merger. The analyses were prepared solely for purposes of Duff &amp; Phelps providing its opinion to the special committee as to the fairness of the AFC merger, from a financial point of view, to the holders of shares of Series J Preferred Stock, and do not purport to be appraisals or to necessarily reflect the prices at which businesses or securities actually may be sold. Analyses based upon forecasts of future results are not necessarily indicative of actual future results, which may be significantly more or less favorable than suggested by such analyses. Such analyses are based upon numerous factors or events beyond the control of AFC or AFG, their advisors, or any other person, and are inherently uncertain. Actual future results may be materially different from those forecasts.</w:t>
      </w:r>
    </w:p>
    <w:p>
      <w:pPr>
        <w:spacing w:after="0" w:line="332"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Following is a summary of the analyses performed by Duff &amp; Phelps in connection with the portion of its opinion dealing with the Series J Preferred Stock:</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Recent Trading Prices And Trading Volume Analysis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43" w:name="page44"/>
    <w:bookmarkEnd w:id="43"/>
    <w:p>
      <w:pPr>
        <w:ind w:right="3239" w:firstLine="787"/>
        <w:spacing w:after="0" w:line="255" w:lineRule="auto"/>
        <w:rPr>
          <w:sz w:val="20"/>
          <w:szCs w:val="20"/>
          <w:color w:val="auto"/>
        </w:rPr>
      </w:pPr>
      <w:r>
        <w:rPr>
          <w:rFonts w:ascii="Courier New" w:cs="Courier New" w:eastAsia="Courier New" w:hAnsi="Courier New"/>
          <w:sz w:val="14"/>
          <w:szCs w:val="14"/>
          <w:color w:val="auto"/>
        </w:rPr>
        <w:t>Duff &amp; Phelps analyzed historical daily stock prices and daily trading volume levels for the Series J Preferred Stock for (i) the one year period from June 27, 2002 to June 27, 2003 and (ii) the three year period from June 27, 2000 to June 27, 2003. During the time period in (i), the Series J Preferred stock traded between its 52-week low of $16.75 on November 12, 2002 and its 52-week high of $23.50 on November 1, 2002, with an average reported per share closing price of $19.06. Although there are 2,886,161 shares outstanding, Duff &amp; Phelps noted the limited trading activity in the Series J Preferred Stock during the previous 52 weeks. During the time period in (i), the Series J Preferred Stock traded on only 19.4% of the 253 trading days compared to a median percentage for the comparable preferred securities of 93.3% (High: 100% of the days; Low: 71.9% of the days). When the Series J Preferred Stock did trade during the past year, average daily trading volume was only 720 shares. Duff &amp; Phelps noted further that institutional ownership appeared to be approximately 12% as of June 27, 2003 and that there was no analyst coverage of the Series J Preferred Stock.</w:t>
      </w:r>
    </w:p>
    <w:p>
      <w:pPr>
        <w:spacing w:after="0" w:line="16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During the time period in (ii), the Series J Preferred Stock traded from a low of $15.31 on April 22, 2002 to a high of $24.00 on April 8, 2002. The average reported per share closing price for the Series J Preferred Stock during this three year period was $20.67.</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Comparable Preferred Security Analysis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Duff &amp; Phelps identified and selected seven publicly traded preferred securities deemed comparable to the Series J Preferred Stock based on issuer and security attributes, including credit quality, issuance size, and issuer industry. These comparable preferred securities were grouped into two groups:</w:t>
      </w:r>
    </w:p>
    <w:p>
      <w:pPr>
        <w:spacing w:after="0" w:line="7" w:lineRule="exact"/>
        <w:rPr>
          <w:sz w:val="20"/>
          <w:szCs w:val="20"/>
          <w:color w:val="auto"/>
        </w:rPr>
      </w:pPr>
    </w:p>
    <w:p>
      <w:pPr>
        <w:ind w:right="3319" w:firstLine="10"/>
        <w:spacing w:after="0" w:line="254" w:lineRule="auto"/>
        <w:tabs>
          <w:tab w:leader="none" w:pos="35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securities with a Standard &amp; Poor's credit rating of BB+ to BB-; and (ii) preferred stock securities with a Standard &amp; Poor's credit rating of BB, the same as that for the Series J Preferred Stock. Yields were then analyzed on a current yield basis as well as various yields to maturity. Based on closing prices on June 27, 2003, current yields for the preferred securities in (i) ranged from 7.570% to 9.002% and current yields for the securities in</w:t>
      </w:r>
    </w:p>
    <w:p>
      <w:pPr>
        <w:spacing w:after="0" w:line="2" w:lineRule="exact"/>
        <w:rPr>
          <w:rFonts w:ascii="Courier New" w:cs="Courier New" w:eastAsia="Courier New" w:hAnsi="Courier New"/>
          <w:sz w:val="14"/>
          <w:szCs w:val="14"/>
          <w:color w:val="auto"/>
        </w:rPr>
      </w:pPr>
    </w:p>
    <w:p>
      <w:pPr>
        <w:jc w:val="both"/>
        <w:ind w:right="3579" w:firstLine="10"/>
        <w:spacing w:after="0" w:line="254" w:lineRule="auto"/>
        <w:tabs>
          <w:tab w:leader="none" w:pos="43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ranged from 8.316% to 9.002%. Based on closing prices on June 27, 2003, yields to maturity for the preferred securities in (i) ranged from 7.489% to</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9.168% and yields to maturity for the securities in (ii) ranged from 8.547% to</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9.168%.</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Discounted Cash Flow Analysis</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Based on the ranges of current yields and yields to maturity from our comparable preferred security analysis, Duff &amp; Phelps utilized a 30 year discounted cash flow analysis on the Series J Preferred Stock to discount, at various discount rates, the anticipated cash flows from the Series J Preferred Stock, including dividends and the $25.00 per share liquidation preference.</w:t>
      </w:r>
    </w:p>
    <w:p>
      <w:pPr>
        <w:spacing w:after="0" w:line="163" w:lineRule="exact"/>
        <w:rPr>
          <w:sz w:val="20"/>
          <w:szCs w:val="20"/>
          <w:color w:val="auto"/>
        </w:rPr>
      </w:pPr>
    </w:p>
    <w:p>
      <w:pPr>
        <w:ind w:left="1320" w:right="3319" w:hanging="523"/>
        <w:spacing w:after="0" w:line="236" w:lineRule="auto"/>
        <w:tabs>
          <w:tab w:leader="none" w:pos="13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current yields ranging from 7.570% to 9.002% as of June 27, 2003 for comparable preferred securities with a Standard &amp; Poor's credit rating of BB+ to BB-, Duff &amp; Phelps determined a range of values for the Series J Preferred Stock of $22.88 to $26.70.</w:t>
      </w:r>
    </w:p>
    <w:p>
      <w:pPr>
        <w:spacing w:after="0" w:line="173" w:lineRule="exact"/>
        <w:rPr>
          <w:rFonts w:ascii="Courier New" w:cs="Courier New" w:eastAsia="Courier New" w:hAnsi="Courier New"/>
          <w:sz w:val="15"/>
          <w:szCs w:val="15"/>
          <w:color w:val="auto"/>
        </w:rPr>
      </w:pPr>
    </w:p>
    <w:p>
      <w:pPr>
        <w:ind w:left="1320" w:right="3239" w:hanging="523"/>
        <w:spacing w:after="0" w:line="236" w:lineRule="auto"/>
        <w:tabs>
          <w:tab w:leader="none" w:pos="13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yields to maturity ranging from 7.489% to 9.168% as of June 27, 2003 for comparable preferred securities with a Standard &amp; Poor's credit rating of BB+ to BB-, Duff &amp; Phelps determined a range of values for the Series J Preferred Stock of $22.50 to $26.95.</w:t>
      </w:r>
    </w:p>
    <w:p>
      <w:pPr>
        <w:spacing w:after="0" w:line="173" w:lineRule="exact"/>
        <w:rPr>
          <w:rFonts w:ascii="Courier New" w:cs="Courier New" w:eastAsia="Courier New" w:hAnsi="Courier New"/>
          <w:sz w:val="15"/>
          <w:szCs w:val="15"/>
          <w:color w:val="auto"/>
        </w:rPr>
      </w:pPr>
    </w:p>
    <w:p>
      <w:pPr>
        <w:ind w:left="1320" w:right="3319" w:hanging="523"/>
        <w:spacing w:after="0" w:line="256" w:lineRule="auto"/>
        <w:tabs>
          <w:tab w:leader="none" w:pos="13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current yields ranging from 8.316% to 9.002% as of June 27, 2003 for comparable preferred securities with a Standard &amp; Poor's credit rating of BB, the same as that for the Series J Preferred Stock, Duff &amp; Phelps determined a range of values for the Series J Preferred Stock of $22.88 to $24.58.</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4" w:name="page45"/>
    <w:bookmarkEnd w:id="44"/>
    <w:p>
      <w:pPr>
        <w:ind w:left="1320" w:right="3239" w:hanging="523"/>
        <w:spacing w:after="0" w:line="236" w:lineRule="auto"/>
        <w:tabs>
          <w:tab w:leader="none" w:pos="13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yields to maturity ranging from 8.547% to 9.168% as of June 27, 2003 for comparable preferred securities with a Standard &amp; Poor's credit rating of BB, the same as that for the Series J Preferred Stock, Duff &amp; Phelps determined a range of values for the Series J Preferred Stock of $22.50 to $23.98.</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Additionally, Duff &amp; Phelps discounted the anticipated cash flows, including dividends and the $25.75 call price, from the call date of December 2005 to the present based on current yields ranging from 8.316% to 9.002% as of June 27, 2003 for comparable preferred securities with a Standard &amp; Poor's credit rating of BB, the same as that for the Series J Preferred Stock, to determine a range of values of $25.16 to $25.53.</w:t>
      </w:r>
    </w:p>
    <w:p>
      <w:pPr>
        <w:spacing w:after="0" w:line="17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Taken together, these analyses derived a range of value for the Series J Preferred Stock of $22.50 to $25.53 per share.</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Given the limited trading volume and lack of analyst coverage for the Series J Preferred Stock compared to the comparable preferred securities analyzed, Duff &amp; Phelps also incorporated an illiquidity premium of 75 basis points in its estimation of the price ranges for the Series J Preferred Stock derived by its discounted cash flow analyses.</w:t>
      </w:r>
    </w:p>
    <w:p>
      <w:pPr>
        <w:spacing w:after="0" w:line="174" w:lineRule="exact"/>
        <w:rPr>
          <w:sz w:val="20"/>
          <w:szCs w:val="20"/>
          <w:color w:val="auto"/>
        </w:rPr>
      </w:pPr>
    </w:p>
    <w:p>
      <w:pPr>
        <w:ind w:left="1320" w:right="3319" w:hanging="523"/>
        <w:spacing w:after="0" w:line="236" w:lineRule="auto"/>
        <w:tabs>
          <w:tab w:leader="none" w:pos="13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Utilizing a discount rate range of 8.320% to 9.752% (based on current yields as of June 27, 2003 for comparable preferred securities with a Standard &amp; Poor's credit rating of BB+ to BB-and an illiquidity premium of 75 basis points), Duff &amp; Phelps determined a range of values for the Series J Preferred Stock of $21.24 to $24.57.</w:t>
      </w:r>
    </w:p>
    <w:p>
      <w:pPr>
        <w:spacing w:after="0" w:line="174" w:lineRule="exact"/>
        <w:rPr>
          <w:rFonts w:ascii="Courier New" w:cs="Courier New" w:eastAsia="Courier New" w:hAnsi="Courier New"/>
          <w:sz w:val="15"/>
          <w:szCs w:val="15"/>
          <w:color w:val="auto"/>
        </w:rPr>
      </w:pPr>
    </w:p>
    <w:p>
      <w:pPr>
        <w:ind w:left="1320" w:right="3319" w:hanging="523"/>
        <w:spacing w:after="0" w:line="236" w:lineRule="auto"/>
        <w:tabs>
          <w:tab w:leader="none" w:pos="13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Utilizing a discount rate range of 8.239% to 9.918% (based on yields to maturity as of June 27, 2003 for comparable preferred securities with a Standard &amp; Poor's credit rating of BB+ to BB-and an illiquidity premium of 75 basis points), Duff &amp; Phelps determined a range of values for the Series J Preferred Stock of $20.91 to $24.79.</w:t>
      </w:r>
    </w:p>
    <w:p>
      <w:pPr>
        <w:spacing w:after="0" w:line="174" w:lineRule="exact"/>
        <w:rPr>
          <w:rFonts w:ascii="Courier New" w:cs="Courier New" w:eastAsia="Courier New" w:hAnsi="Courier New"/>
          <w:sz w:val="15"/>
          <w:szCs w:val="15"/>
          <w:color w:val="auto"/>
        </w:rPr>
      </w:pPr>
    </w:p>
    <w:p>
      <w:pPr>
        <w:ind w:left="1320" w:right="3239" w:hanging="523"/>
        <w:spacing w:after="0" w:line="255" w:lineRule="auto"/>
        <w:tabs>
          <w:tab w:leader="none" w:pos="13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Utilizing a discount rate range of 9.066% to 9.752% (based on current yields as of June 27, 2003 for comparable preferred securities with a Standard &amp; Poor's credit rating of BB, the same as that for the Series J Preferred Stock, and an illiquidity premium of 75 basis points), Duff &amp; Phelps determined a range of values for the Series J Preferred Stock of $21.24 to $22.73.</w:t>
      </w:r>
    </w:p>
    <w:p>
      <w:pPr>
        <w:spacing w:after="0" w:line="166" w:lineRule="exact"/>
        <w:rPr>
          <w:rFonts w:ascii="Courier New" w:cs="Courier New" w:eastAsia="Courier New" w:hAnsi="Courier New"/>
          <w:sz w:val="14"/>
          <w:szCs w:val="14"/>
          <w:color w:val="auto"/>
        </w:rPr>
      </w:pPr>
    </w:p>
    <w:p>
      <w:pPr>
        <w:ind w:left="1320" w:right="3239" w:hanging="523"/>
        <w:spacing w:after="0" w:line="255" w:lineRule="auto"/>
        <w:tabs>
          <w:tab w:leader="none" w:pos="13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Utilizing a discount rate range of 9.297% to 9.918% (based on yields to maturity as of June 27, 2003 for comparable preferred securities with a Standard &amp; Poor's credit rating of BB, the same as that for the Series J Preferred Stock, and an illiquidity premium of 75 basis points), Duff &amp; Phelps determined a range of values for the Series J Preferred Stock of $20.91 to $22.21.</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discounting the anticipated cash flows, including dividends and the $25.75 call price, from the call date of December 2005 to the present utilizing a discount rate range of 9.066% to 9.752% (based on current yields as of June 27, 2003 for comparable preferred securities with a Standard &amp; Poor's credit rating of BB, the same as that for the Series J Preferred Stock, and an illiquidity premium of 75 basis points), Duff &amp; Phelps determined a range of values of $24.76 to $25.13.</w:t>
      </w:r>
    </w:p>
    <w:p>
      <w:pPr>
        <w:spacing w:after="0" w:line="17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Taken together and incorporating an illiquidity premium of 75 basis points, these analyses derived a range of value for the Series J Preferred Stock of $20.91 to $25.13 per share.</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Following is a summary of the analyses performed by Duff &amp; Phelps in connection with the portion of its opinion dealing with the AFG common stock, the consideration to be received by holders of shares of Series J Preferred Stock in the AFC merger:</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45" w:name="page46"/>
    <w:bookmarkEnd w:id="45"/>
    <w:p>
      <w:pPr>
        <w:ind w:left="800"/>
        <w:spacing w:after="0"/>
        <w:rPr>
          <w:sz w:val="20"/>
          <w:szCs w:val="20"/>
          <w:color w:val="auto"/>
        </w:rPr>
      </w:pPr>
      <w:r>
        <w:rPr>
          <w:rFonts w:ascii="Courier New" w:cs="Courier New" w:eastAsia="Courier New" w:hAnsi="Courier New"/>
          <w:sz w:val="15"/>
          <w:szCs w:val="15"/>
          <w:color w:val="auto"/>
        </w:rPr>
        <w:t>Recent Trading Prices And Trading Volume Analysis</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Duff &amp; Phelps analyzed historical daily stock prices and daily trading volume levels for the common stock of AFG, Great American Financial Resources, and Infinity Property and Casualty ("Infinity") for the one-year period from June 27, 2002 to June 27, 2003. During this one year time period:</w:t>
      </w:r>
    </w:p>
    <w:p>
      <w:pPr>
        <w:spacing w:after="0" w:line="164" w:lineRule="exact"/>
        <w:rPr>
          <w:sz w:val="20"/>
          <w:szCs w:val="20"/>
          <w:color w:val="auto"/>
        </w:rPr>
      </w:pPr>
    </w:p>
    <w:p>
      <w:pPr>
        <w:ind w:left="1320" w:right="3239" w:hanging="523"/>
        <w:spacing w:after="0" w:line="236" w:lineRule="auto"/>
        <w:tabs>
          <w:tab w:leader="none" w:pos="13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AFG's common stock traded between its 52-week low of $18.25 on March 10, 2003 and its 52-week high of $26.14 on August 22, 2002, with a closing stock price on June 27, 2003 of $22.65. Average daily trading volume during this time period was 166,545 shares with 69,527,781 shares outstanding. Four Wall Street analysts cover AFG's common stock and institutional ownership of AFG's common stock as of June 27, 2003 was 42.2%.</w:t>
      </w:r>
    </w:p>
    <w:p>
      <w:pPr>
        <w:spacing w:after="0" w:line="175" w:lineRule="exact"/>
        <w:rPr>
          <w:rFonts w:ascii="Courier New" w:cs="Courier New" w:eastAsia="Courier New" w:hAnsi="Courier New"/>
          <w:sz w:val="15"/>
          <w:szCs w:val="15"/>
          <w:color w:val="auto"/>
        </w:rPr>
      </w:pPr>
    </w:p>
    <w:p>
      <w:pPr>
        <w:ind w:left="1320" w:right="3239" w:hanging="523"/>
        <w:spacing w:after="0" w:line="255" w:lineRule="auto"/>
        <w:tabs>
          <w:tab w:leader="none" w:pos="13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 American Financial Resource's common stock traded between its 52-week low of $13.20 on June 23, 2003 and its 52-week high of $19.65 on July 1, 2002, with a closing stock price on June 27, 2003 of $13.65. Average daily trading volume during this time period was 7,142 shares with 42,488,314 shares outstanding. One Wall Street analyst covers Great American Financial Resource's common stock and institutional ownership of Great American Financial Resource's common stock as of June 27, 2003 was 92.4%.</w:t>
      </w:r>
    </w:p>
    <w:p>
      <w:pPr>
        <w:spacing w:after="0" w:line="165" w:lineRule="exact"/>
        <w:rPr>
          <w:rFonts w:ascii="Courier New" w:cs="Courier New" w:eastAsia="Courier New" w:hAnsi="Courier New"/>
          <w:sz w:val="14"/>
          <w:szCs w:val="14"/>
          <w:color w:val="auto"/>
        </w:rPr>
      </w:pPr>
    </w:p>
    <w:p>
      <w:pPr>
        <w:ind w:left="1320" w:right="3319" w:hanging="523"/>
        <w:spacing w:after="0" w:line="254" w:lineRule="auto"/>
        <w:tabs>
          <w:tab w:leader="none" w:pos="13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Infinity's common stock traded between its 52-week low of $15.69 on February 25, 2003 and its 52-week high of $24.24 on June 24, 2003, with a closing stock price on June 27, 2003 of $23.80.</w:t>
      </w:r>
    </w:p>
    <w:p>
      <w:pPr>
        <w:spacing w:after="0" w:line="1" w:lineRule="exact"/>
        <w:rPr>
          <w:rFonts w:ascii="Courier New" w:cs="Courier New" w:eastAsia="Courier New" w:hAnsi="Courier New"/>
          <w:sz w:val="14"/>
          <w:szCs w:val="14"/>
          <w:color w:val="auto"/>
        </w:rPr>
      </w:pPr>
    </w:p>
    <w:p>
      <w:pPr>
        <w:ind w:left="132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Average daily trading volume during this time period was 211,258 shares with 20,481,458 shares outstanding. Four Wall Street analysts cover Infinity's common stock and institutional ownership of Infinity's common stock as of June 27, 2003 was 90.3%.</w:t>
      </w:r>
    </w:p>
    <w:p>
      <w:pPr>
        <w:spacing w:after="0" w:line="174"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Given the moderate trading volume and analyst coverage for the common stock of AFG, Great American Financial Resources, and Infinity, it appears that the market for AFG's common stock is reasonably efficient.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Comparable Company Analysis.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Duff &amp; Phelps selected three sets of publicly traded companies based on comparability to AFG (multi-line insurance providers), and its two publicly traded affiliates, Great American Financial Resources (life insurance and annuity providers) and Infinity (property and casualty insurance providers). Although no single company chosen is identical to AFG, Great American Financial Resources, or Infinity, these companies share many of the same operating characteristics and are affected by many of the same economic forces.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the selection of comparable companies, Duff &amp; Phelps used multiple databases to identify domestic companies with primary Standard Industrial Classification Codes of 6321 (insurance carriers, accident) and 6311 (insurance carriers, life and health), and 6331 (insurance carriers: fire, marine, and casualty). In terms of investment risks and attributes, as well as products/services provided and markets served, Duff &amp; Phelps ultimately identified 7 companies that are considered to be reasonably comparable to AFG, 8 companies that are considered reasonably comparable to Great American Financial Resources, and 7 companies that are considered reasonably comparable to Infinity.</w:t>
      </w:r>
    </w:p>
    <w:p>
      <w:pPr>
        <w:spacing w:after="0" w:line="179"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Using publicly available information, Duff &amp; Phelps analyzed the historical financial performance of the comparable companies for the latest twelve months ("LTM"), as well as projected financial performance using regularly published earnings estimates from securities analysts. In addition, Duff &amp; Phelps compared the trading values of the common stocks of AFG, Great American Financial Resources, and Infinity to common stocks of other comparable companies as a multiple of LTM operating earnings per share, projected</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0"/>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w w:val="98"/>
              </w:rPr>
              <w:t>fiscal year operating earnings per share, and common</w:t>
            </w:r>
          </w:p>
        </w:tc>
        <w:tc>
          <w:tcPr>
            <w:tcW w:w="2940" w:type="dxa"/>
            <w:vAlign w:val="bottom"/>
            <w:gridSpan w:val="4"/>
          </w:tcPr>
          <w:p>
            <w:pPr>
              <w:spacing w:after="0"/>
              <w:rPr>
                <w:sz w:val="20"/>
                <w:szCs w:val="20"/>
                <w:color w:val="auto"/>
              </w:rPr>
            </w:pPr>
            <w:r>
              <w:rPr>
                <w:rFonts w:ascii="Courier New" w:cs="Courier New" w:eastAsia="Courier New" w:hAnsi="Courier New"/>
                <w:sz w:val="15"/>
                <w:szCs w:val="15"/>
                <w:color w:val="auto"/>
              </w:rPr>
              <w:t>book value per share. The</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64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tables below show the comparable companies along with their respective LTM</w:t>
            </w:r>
          </w:p>
        </w:tc>
        <w:tc>
          <w:tcPr>
            <w:tcW w:w="1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revenues and valuation multiples as of June 27, 2003.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AFG Comparable Companies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673"/>
        </w:trPr>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LTM</w:t>
            </w:r>
          </w:p>
        </w:tc>
        <w:tc>
          <w:tcPr>
            <w:tcW w:w="192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99"/>
              </w:rPr>
              <w:t>Price as a Multiple</w:t>
            </w:r>
          </w:p>
        </w:tc>
        <w:tc>
          <w:tcPr>
            <w:tcW w:w="1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Price as a Multiple</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w w:val="95"/>
              </w:rPr>
              <w:t>Price as a Multiple</w:t>
            </w:r>
          </w:p>
        </w:tc>
      </w:tr>
      <w:tr>
        <w:trPr>
          <w:trHeight w:val="168"/>
        </w:trPr>
        <w:tc>
          <w:tcPr>
            <w:tcW w:w="4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of LTM</w:t>
            </w: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of Projected Operating</w:t>
            </w: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Common Book</w:t>
            </w:r>
          </w:p>
        </w:tc>
      </w:tr>
      <w:tr>
        <w:trPr>
          <w:trHeight w:val="168"/>
        </w:trPr>
        <w:tc>
          <w:tcPr>
            <w:tcW w:w="42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Company (Ticker)</w:t>
            </w:r>
          </w:p>
        </w:tc>
        <w:tc>
          <w:tcPr>
            <w:tcW w:w="4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88"/>
              </w:rPr>
              <w:t>(in</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millions)</w:t>
            </w:r>
          </w:p>
        </w:tc>
        <w:tc>
          <w:tcPr>
            <w:tcW w:w="19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Value per Share</w:t>
            </w:r>
          </w:p>
        </w:tc>
      </w:tr>
      <w:tr>
        <w:trPr>
          <w:trHeight w:val="505"/>
        </w:trPr>
        <w:tc>
          <w:tcPr>
            <w:tcW w:w="4260" w:type="dxa"/>
            <w:vAlign w:val="bottom"/>
          </w:tcPr>
          <w:p>
            <w:pPr>
              <w:spacing w:after="0"/>
              <w:rPr>
                <w:sz w:val="20"/>
                <w:szCs w:val="20"/>
                <w:color w:val="auto"/>
              </w:rPr>
            </w:pPr>
            <w:r>
              <w:rPr>
                <w:rFonts w:ascii="Courier New" w:cs="Courier New" w:eastAsia="Courier New" w:hAnsi="Courier New"/>
                <w:sz w:val="15"/>
                <w:szCs w:val="15"/>
                <w:color w:val="auto"/>
              </w:rPr>
              <w:t>AFG COMPARABLE COMPANIES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Allmerica Financial Corporation (AFC)</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3,453.9</w:t>
            </w:r>
          </w:p>
        </w:tc>
        <w:tc>
          <w:tcPr>
            <w:tcW w:w="82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NM</w:t>
            </w:r>
          </w:p>
        </w:tc>
        <w:tc>
          <w:tcPr>
            <w:tcW w:w="1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10.7x</w:t>
            </w:r>
          </w:p>
        </w:tc>
        <w:tc>
          <w:tcPr>
            <w:tcW w:w="17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0.5x</w:t>
            </w:r>
          </w:p>
        </w:tc>
      </w:tr>
      <w:tr>
        <w:trPr>
          <w:trHeight w:val="33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American International Group, Inc. (AIG)</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73,113.0</w:t>
            </w:r>
          </w:p>
        </w:tc>
        <w:tc>
          <w:tcPr>
            <w:tcW w:w="82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17.5x</w:t>
            </w:r>
          </w:p>
        </w:tc>
        <w:tc>
          <w:tcPr>
            <w:tcW w:w="1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14.5x</w:t>
            </w:r>
          </w:p>
        </w:tc>
        <w:tc>
          <w:tcPr>
            <w:tcW w:w="17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2.5x</w:t>
            </w:r>
          </w:p>
        </w:tc>
      </w:tr>
      <w:tr>
        <w:trPr>
          <w:trHeight w:val="33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Hartford Financial Services Group, Inc. (HIG)</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16,784.0</w:t>
            </w:r>
          </w:p>
        </w:tc>
        <w:tc>
          <w:tcPr>
            <w:tcW w:w="82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10.1x</w:t>
            </w:r>
          </w:p>
        </w:tc>
        <w:tc>
          <w:tcPr>
            <w:tcW w:w="1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11.1x</w:t>
            </w:r>
          </w:p>
        </w:tc>
        <w:tc>
          <w:tcPr>
            <w:tcW w:w="17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1.7x</w:t>
            </w:r>
          </w:p>
        </w:tc>
      </w:tr>
      <w:tr>
        <w:trPr>
          <w:trHeight w:val="33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HCC Insurance Holdings, Inc. (HCC)</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728.4</w:t>
            </w:r>
          </w:p>
        </w:tc>
        <w:tc>
          <w:tcPr>
            <w:tcW w:w="82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16.6x</w:t>
            </w:r>
          </w:p>
        </w:tc>
        <w:tc>
          <w:tcPr>
            <w:tcW w:w="1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14.0x</w:t>
            </w:r>
          </w:p>
        </w:tc>
        <w:tc>
          <w:tcPr>
            <w:tcW w:w="17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2.1x</w:t>
            </w:r>
          </w:p>
        </w:tc>
      </w:tr>
      <w:tr>
        <w:trPr>
          <w:trHeight w:val="33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Horace Mann Educators Corporation (HMN)</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821.9</w:t>
            </w:r>
          </w:p>
        </w:tc>
        <w:tc>
          <w:tcPr>
            <w:tcW w:w="82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15.2x</w:t>
            </w:r>
          </w:p>
        </w:tc>
        <w:tc>
          <w:tcPr>
            <w:tcW w:w="1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12.8x</w:t>
            </w:r>
          </w:p>
        </w:tc>
        <w:tc>
          <w:tcPr>
            <w:tcW w:w="17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1.6x</w:t>
            </w:r>
          </w:p>
        </w:tc>
      </w:tr>
      <w:tr>
        <w:trPr>
          <w:trHeight w:val="33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Loews Corporation (LTR)</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16,974.8</w:t>
            </w:r>
          </w:p>
        </w:tc>
        <w:tc>
          <w:tcPr>
            <w:tcW w:w="82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10.1x</w:t>
            </w:r>
          </w:p>
        </w:tc>
        <w:tc>
          <w:tcPr>
            <w:tcW w:w="1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7.9x</w:t>
            </w:r>
          </w:p>
        </w:tc>
        <w:tc>
          <w:tcPr>
            <w:tcW w:w="17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0.8x</w:t>
            </w:r>
          </w:p>
        </w:tc>
      </w:tr>
      <w:tr>
        <w:trPr>
          <w:trHeight w:val="33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Unitrin, Inc. (UTR)</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2,489.6</w:t>
            </w:r>
          </w:p>
        </w:tc>
        <w:tc>
          <w:tcPr>
            <w:tcW w:w="82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NM</w:t>
            </w:r>
          </w:p>
        </w:tc>
        <w:tc>
          <w:tcPr>
            <w:tcW w:w="1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20.6x</w:t>
            </w:r>
          </w:p>
        </w:tc>
        <w:tc>
          <w:tcPr>
            <w:tcW w:w="17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1.2x</w:t>
            </w:r>
          </w:p>
        </w:tc>
      </w:tr>
      <w:tr>
        <w:trPr>
          <w:trHeight w:val="33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Mean</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16,338.0</w:t>
            </w:r>
          </w:p>
        </w:tc>
        <w:tc>
          <w:tcPr>
            <w:tcW w:w="82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13.9x</w:t>
            </w:r>
          </w:p>
        </w:tc>
        <w:tc>
          <w:tcPr>
            <w:tcW w:w="1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13.1x</w:t>
            </w:r>
          </w:p>
        </w:tc>
        <w:tc>
          <w:tcPr>
            <w:tcW w:w="17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1.5x</w:t>
            </w:r>
          </w:p>
        </w:tc>
      </w:tr>
      <w:tr>
        <w:trPr>
          <w:trHeight w:val="33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Median</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3,454.0</w:t>
            </w:r>
          </w:p>
        </w:tc>
        <w:tc>
          <w:tcPr>
            <w:tcW w:w="8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15.2</w:t>
            </w:r>
          </w:p>
        </w:tc>
        <w:tc>
          <w:tcPr>
            <w:tcW w:w="1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12.8x</w:t>
            </w:r>
          </w:p>
        </w:tc>
        <w:tc>
          <w:tcPr>
            <w:tcW w:w="17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1.6x</w:t>
            </w:r>
          </w:p>
        </w:tc>
      </w:tr>
      <w:tr>
        <w:trPr>
          <w:trHeight w:val="33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AFG</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3,713.3</w:t>
            </w:r>
          </w:p>
        </w:tc>
        <w:tc>
          <w:tcPr>
            <w:tcW w:w="82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8.1X</w:t>
            </w:r>
          </w:p>
        </w:tc>
        <w:tc>
          <w:tcPr>
            <w:tcW w:w="1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8.7X</w:t>
            </w:r>
          </w:p>
        </w:tc>
        <w:tc>
          <w:tcPr>
            <w:tcW w:w="17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1.1X</w:t>
            </w:r>
          </w:p>
        </w:tc>
      </w:tr>
      <w:tr>
        <w:trPr>
          <w:trHeight w:val="505"/>
        </w:trPr>
        <w:tc>
          <w:tcPr>
            <w:tcW w:w="6480" w:type="dxa"/>
            <w:vAlign w:val="bottom"/>
            <w:gridSpan w:val="5"/>
          </w:tcPr>
          <w:p>
            <w:pPr>
              <w:ind w:left="800"/>
              <w:spacing w:after="0"/>
              <w:rPr>
                <w:sz w:val="20"/>
                <w:szCs w:val="20"/>
                <w:color w:val="auto"/>
              </w:rPr>
            </w:pPr>
            <w:r>
              <w:rPr>
                <w:rFonts w:ascii="Courier New" w:cs="Courier New" w:eastAsia="Courier New" w:hAnsi="Courier New"/>
                <w:sz w:val="15"/>
                <w:szCs w:val="15"/>
                <w:color w:val="auto"/>
                <w:w w:val="99"/>
              </w:rPr>
              <w:t>As of June 27, 2003, AFG's common stock was trading at 8.1x LTM</w:t>
            </w: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64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operating earnings, 8.7x projected 2003 operating earnings, and 1.1x book</w:t>
            </w: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75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below the AFG comparable group medians of 15.2x, 12.8x, and 1.6x, respectively.</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5660" w:type="dxa"/>
            <w:vAlign w:val="bottom"/>
            <w:gridSpan w:val="4"/>
          </w:tcPr>
          <w:p>
            <w:pPr>
              <w:spacing w:after="0"/>
              <w:rPr>
                <w:sz w:val="20"/>
                <w:szCs w:val="20"/>
                <w:color w:val="auto"/>
              </w:rPr>
            </w:pPr>
            <w:r>
              <w:rPr>
                <w:rFonts w:ascii="Courier New" w:cs="Courier New" w:eastAsia="Courier New" w:hAnsi="Courier New"/>
                <w:sz w:val="15"/>
                <w:szCs w:val="15"/>
                <w:color w:val="auto"/>
              </w:rPr>
              <w:t>Great American Financial Resources Comparable Companies</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56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841"/>
        </w:trPr>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LTM</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Price as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a Multiple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Price as a Multiple</w:t>
            </w:r>
          </w:p>
        </w:tc>
        <w:tc>
          <w:tcPr>
            <w:tcW w:w="17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Price as a Multiple</w:t>
            </w:r>
          </w:p>
        </w:tc>
      </w:tr>
      <w:tr>
        <w:trPr>
          <w:trHeight w:val="168"/>
        </w:trPr>
        <w:tc>
          <w:tcPr>
            <w:tcW w:w="4260" w:type="dxa"/>
            <w:vAlign w:val="bottom"/>
          </w:tcPr>
          <w:p>
            <w:pPr>
              <w:spacing w:after="0"/>
              <w:rPr>
                <w:sz w:val="14"/>
                <w:szCs w:val="14"/>
                <w:color w:val="auto"/>
              </w:rPr>
            </w:pPr>
          </w:p>
        </w:tc>
        <w:tc>
          <w:tcPr>
            <w:tcW w:w="140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Revenues</w:t>
            </w: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of LTM</w:t>
            </w:r>
          </w:p>
        </w:tc>
        <w:tc>
          <w:tcPr>
            <w:tcW w:w="3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of Projected Operating</w:t>
            </w:r>
          </w:p>
        </w:tc>
        <w:tc>
          <w:tcPr>
            <w:tcW w:w="17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of Common Book</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(Ticker)</w:t>
            </w:r>
          </w:p>
        </w:tc>
        <w:tc>
          <w:tcPr>
            <w:tcW w:w="140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(in millions)</w:t>
            </w:r>
          </w:p>
        </w:tc>
        <w:tc>
          <w:tcPr>
            <w:tcW w:w="1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7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Value per Share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GREAT AMERICAN FINANCIAL RESOURCES COMPARABLE</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COMPANIES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AmerUs Group Co. (AMH)</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1,586.7</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7.7x</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7.5x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0.9x</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Delphi Financial Group, Inc. (DFG)</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809.5</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12.2x</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11.1x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1.5x</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Jefferson-Pilot Corporation (JP)</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3,558.0</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12.9x</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11.7x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2.0x</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MONY Group Inc. (MNY)</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2,234.3</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NM</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NM</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0.7x</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Protective Life Corporation (PL)</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1,932.9</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10.7x</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1.2x</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Presidential Life Corporation (PLFE)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347.7</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13.3x</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20.4x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1.1x</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Phoenix Companies, Inc. (PNX)</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2,587.3</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NM</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18.4x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0.5x</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Torchmark Corporation (TMK)</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2,826.2</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10.2x</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9.5x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1.6x</w:t>
            </w: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Mean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1,985.3</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11.2x</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12.7x</w:t>
            </w:r>
          </w:p>
        </w:tc>
        <w:tc>
          <w:tcPr>
            <w:tcW w:w="1000" w:type="dxa"/>
            <w:vAlign w:val="bottom"/>
          </w:tcPr>
          <w:p>
            <w:pPr>
              <w:ind w:left="660"/>
              <w:spacing w:after="0"/>
              <w:rPr>
                <w:sz w:val="20"/>
                <w:szCs w:val="20"/>
                <w:color w:val="auto"/>
              </w:rPr>
            </w:pPr>
            <w:r>
              <w:rPr>
                <w:rFonts w:ascii="Courier New" w:cs="Courier New" w:eastAsia="Courier New" w:hAnsi="Courier New"/>
                <w:sz w:val="15"/>
                <w:szCs w:val="15"/>
                <w:color w:val="auto"/>
                <w:w w:val="88"/>
              </w:rPr>
              <w:t>1.2x</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Median</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2,083.6</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11.5x</w:t>
            </w:r>
          </w:p>
        </w:tc>
        <w:tc>
          <w:tcPr>
            <w:tcW w:w="1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11.1x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1.2x</w:t>
            </w: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GREAT AMERICAN FINANCIAL RESOURCES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929.8</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9.8X</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NA</w:t>
            </w:r>
          </w:p>
        </w:tc>
        <w:tc>
          <w:tcPr>
            <w:tcW w:w="1000" w:type="dxa"/>
            <w:vAlign w:val="bottom"/>
          </w:tcPr>
          <w:p>
            <w:pPr>
              <w:ind w:left="660"/>
              <w:spacing w:after="0"/>
              <w:rPr>
                <w:sz w:val="20"/>
                <w:szCs w:val="20"/>
                <w:color w:val="auto"/>
              </w:rPr>
            </w:pPr>
            <w:r>
              <w:rPr>
                <w:rFonts w:ascii="Courier New" w:cs="Courier New" w:eastAsia="Courier New" w:hAnsi="Courier New"/>
                <w:sz w:val="15"/>
                <w:szCs w:val="15"/>
                <w:color w:val="auto"/>
                <w:w w:val="88"/>
              </w:rPr>
              <w:t>0.9X</w:t>
            </w:r>
          </w:p>
        </w:tc>
      </w:tr>
      <w:tr>
        <w:trPr>
          <w:trHeight w:val="505"/>
        </w:trPr>
        <w:tc>
          <w:tcPr>
            <w:tcW w:w="4300" w:type="dxa"/>
            <w:vAlign w:val="bottom"/>
          </w:tcPr>
          <w:p>
            <w:pPr>
              <w:ind w:left="3340"/>
              <w:spacing w:after="0"/>
              <w:rPr>
                <w:sz w:val="20"/>
                <w:szCs w:val="20"/>
                <w:color w:val="auto"/>
              </w:rPr>
            </w:pPr>
            <w:r>
              <w:rPr>
                <w:rFonts w:ascii="Courier New" w:cs="Courier New" w:eastAsia="Courier New" w:hAnsi="Courier New"/>
                <w:sz w:val="15"/>
                <w:szCs w:val="15"/>
                <w:color w:val="auto"/>
              </w:rPr>
              <w:t>-42-</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47" w:name="page48"/>
    <w:bookmarkEnd w:id="47"/>
    <w:p>
      <w:pPr>
        <w:ind w:right="4540" w:firstLine="787"/>
        <w:spacing w:after="0" w:line="235" w:lineRule="auto"/>
        <w:rPr>
          <w:sz w:val="20"/>
          <w:szCs w:val="20"/>
          <w:color w:val="auto"/>
        </w:rPr>
      </w:pPr>
      <w:r>
        <w:rPr>
          <w:rFonts w:ascii="Courier New" w:cs="Courier New" w:eastAsia="Courier New" w:hAnsi="Courier New"/>
          <w:sz w:val="15"/>
          <w:szCs w:val="15"/>
          <w:color w:val="auto"/>
        </w:rPr>
        <w:t>As of June 27, 2003, Great American Financial Resource's common stock was trading at 9.8x LTM operating earnings and 0.9x book value, in line with the Great American Financial Resources comparable group medians of 11.5x and 1.2x,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COMPARABLE COMPANIES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a Multiple</w:t>
            </w:r>
          </w:p>
        </w:tc>
        <w:tc>
          <w:tcPr>
            <w:tcW w:w="174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2800" w:type="dxa"/>
            <w:vAlign w:val="bottom"/>
          </w:tcPr>
          <w:p>
            <w:pPr>
              <w:jc w:val="center"/>
              <w:ind w:left="1227"/>
              <w:spacing w:after="0" w:line="168" w:lineRule="exact"/>
              <w:rPr>
                <w:sz w:val="20"/>
                <w:szCs w:val="20"/>
                <w:color w:val="auto"/>
              </w:rPr>
            </w:pPr>
            <w:r>
              <w:rPr>
                <w:rFonts w:ascii="Courier New" w:cs="Courier New" w:eastAsia="Courier New" w:hAnsi="Courier New"/>
                <w:sz w:val="15"/>
                <w:szCs w:val="15"/>
                <w:color w:val="auto"/>
                <w:w w:val="96"/>
              </w:rPr>
              <w:t>LTM</w:t>
            </w:r>
          </w:p>
        </w:tc>
        <w:tc>
          <w:tcPr>
            <w:tcW w:w="1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Price as a Multiple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Projected</w:t>
            </w: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Price as a Multiple</w:t>
            </w:r>
          </w:p>
        </w:tc>
      </w:tr>
      <w:tr>
        <w:trPr>
          <w:trHeight w:val="168"/>
        </w:trPr>
        <w:tc>
          <w:tcPr>
            <w:tcW w:w="2900" w:type="dxa"/>
            <w:vAlign w:val="bottom"/>
          </w:tcPr>
          <w:p>
            <w:pPr>
              <w:spacing w:after="0"/>
              <w:rPr>
                <w:sz w:val="14"/>
                <w:szCs w:val="14"/>
                <w:color w:val="auto"/>
              </w:rPr>
            </w:pPr>
          </w:p>
        </w:tc>
        <w:tc>
          <w:tcPr>
            <w:tcW w:w="2800" w:type="dxa"/>
            <w:vAlign w:val="bottom"/>
          </w:tcPr>
          <w:p>
            <w:pPr>
              <w:ind w:left="1740"/>
              <w:spacing w:after="0" w:line="168" w:lineRule="exact"/>
              <w:rPr>
                <w:sz w:val="20"/>
                <w:szCs w:val="20"/>
                <w:color w:val="auto"/>
              </w:rPr>
            </w:pPr>
            <w:r>
              <w:rPr>
                <w:rFonts w:ascii="Courier New" w:cs="Courier New" w:eastAsia="Courier New" w:hAnsi="Courier New"/>
                <w:sz w:val="15"/>
                <w:szCs w:val="15"/>
                <w:color w:val="auto"/>
              </w:rPr>
              <w:t>Revenues</w:t>
            </w: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LTM Operating</w:t>
            </w:r>
          </w:p>
        </w:tc>
        <w:tc>
          <w:tcPr>
            <w:tcW w:w="520" w:type="dxa"/>
            <w:vAlign w:val="bottom"/>
          </w:tcPr>
          <w:p>
            <w:pPr>
              <w:spacing w:after="0"/>
              <w:rPr>
                <w:sz w:val="14"/>
                <w:szCs w:val="14"/>
                <w:color w:val="auto"/>
              </w:rPr>
            </w:pPr>
          </w:p>
        </w:tc>
        <w:tc>
          <w:tcPr>
            <w:tcW w:w="1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1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Common Book</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(Ticker)</w:t>
            </w:r>
          </w:p>
        </w:tc>
        <w:tc>
          <w:tcPr>
            <w:tcW w:w="2800" w:type="dxa"/>
            <w:vAlign w:val="bottom"/>
          </w:tcPr>
          <w:p>
            <w:pPr>
              <w:jc w:val="center"/>
              <w:ind w:left="1227"/>
              <w:spacing w:after="0" w:line="168" w:lineRule="exact"/>
              <w:rPr>
                <w:sz w:val="20"/>
                <w:szCs w:val="20"/>
                <w:color w:val="auto"/>
              </w:rPr>
            </w:pPr>
            <w:r>
              <w:rPr>
                <w:rFonts w:ascii="Courier New" w:cs="Courier New" w:eastAsia="Courier New" w:hAnsi="Courier New"/>
                <w:sz w:val="15"/>
                <w:szCs w:val="15"/>
                <w:color w:val="auto"/>
                <w:w w:val="97"/>
              </w:rPr>
              <w:t>(in millions)</w:t>
            </w:r>
          </w:p>
        </w:tc>
        <w:tc>
          <w:tcPr>
            <w:tcW w:w="1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Earnings</w:t>
            </w:r>
          </w:p>
        </w:tc>
        <w:tc>
          <w:tcPr>
            <w:tcW w:w="1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per Share</w:t>
            </w:r>
          </w:p>
        </w:tc>
        <w:tc>
          <w:tcPr>
            <w:tcW w:w="1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Value per Share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INFINITY COMPARABLE COMPANIES</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Cincinnati Financial Corporation (CINF)</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3,010.9</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19.3x</w:t>
            </w:r>
          </w:p>
        </w:tc>
        <w:tc>
          <w:tcPr>
            <w:tcW w:w="196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18.4x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3.1x</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Harleysville Group, Inc. (HGIC)</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883.2</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16.5x</w:t>
            </w:r>
          </w:p>
        </w:tc>
        <w:tc>
          <w:tcPr>
            <w:tcW w:w="196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15.3x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1.2x</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Ohio Casualty Corporation (OCAS)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1,648.2</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NM</w:t>
            </w:r>
          </w:p>
        </w:tc>
        <w:tc>
          <w:tcPr>
            <w:tcW w:w="196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15.1x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1.0x</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Progressive Corporation (PGR)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10,000.7</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19.9x</w:t>
            </w:r>
          </w:p>
        </w:tc>
        <w:tc>
          <w:tcPr>
            <w:tcW w:w="196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16.4x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4.2x</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Selective Insurance Group, Inc. (SIGI)</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1,213.7</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19.2x</w:t>
            </w:r>
          </w:p>
        </w:tc>
        <w:tc>
          <w:tcPr>
            <w:tcW w:w="196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12.9x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1.2x</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 Auto Financial Corporation (STFC)</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982.4</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22.4x</w:t>
            </w:r>
          </w:p>
        </w:tc>
        <w:tc>
          <w:tcPr>
            <w:tcW w:w="196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15.0x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2.0x</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W.R. Berkley Corporation (BER)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2,755.1</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15.6x</w:t>
            </w:r>
          </w:p>
        </w:tc>
        <w:tc>
          <w:tcPr>
            <w:tcW w:w="196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11.4x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2.2x</w:t>
            </w:r>
          </w:p>
        </w:tc>
      </w:tr>
      <w:tr>
        <w:trPr>
          <w:trHeight w:val="336"/>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Mean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2,927.7</w:t>
            </w:r>
          </w:p>
        </w:tc>
        <w:tc>
          <w:tcPr>
            <w:tcW w:w="18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18.8x</w:t>
            </w:r>
          </w:p>
        </w:tc>
        <w:tc>
          <w:tcPr>
            <w:tcW w:w="1960" w:type="dxa"/>
            <w:vAlign w:val="bottom"/>
          </w:tcPr>
          <w:p>
            <w:pPr>
              <w:ind w:left="860"/>
              <w:spacing w:after="0"/>
              <w:rPr>
                <w:sz w:val="20"/>
                <w:szCs w:val="20"/>
                <w:color w:val="auto"/>
              </w:rPr>
            </w:pPr>
            <w:r>
              <w:rPr>
                <w:rFonts w:ascii="Courier New" w:cs="Courier New" w:eastAsia="Courier New" w:hAnsi="Courier New"/>
                <w:sz w:val="15"/>
                <w:szCs w:val="15"/>
                <w:color w:val="auto"/>
              </w:rPr>
              <w:t>14.9x</w:t>
            </w:r>
          </w:p>
        </w:tc>
        <w:tc>
          <w:tcPr>
            <w:tcW w:w="1000" w:type="dxa"/>
            <w:vAlign w:val="bottom"/>
          </w:tcPr>
          <w:p>
            <w:pPr>
              <w:ind w:left="660"/>
              <w:spacing w:after="0"/>
              <w:rPr>
                <w:sz w:val="20"/>
                <w:szCs w:val="20"/>
                <w:color w:val="auto"/>
              </w:rPr>
            </w:pPr>
            <w:r>
              <w:rPr>
                <w:rFonts w:ascii="Courier New" w:cs="Courier New" w:eastAsia="Courier New" w:hAnsi="Courier New"/>
                <w:sz w:val="15"/>
                <w:szCs w:val="15"/>
                <w:color w:val="auto"/>
                <w:w w:val="88"/>
              </w:rPr>
              <w:t>2.1x</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Median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1,648.2</w:t>
            </w:r>
          </w:p>
        </w:tc>
        <w:tc>
          <w:tcPr>
            <w:tcW w:w="18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19.3x</w:t>
            </w:r>
          </w:p>
        </w:tc>
        <w:tc>
          <w:tcPr>
            <w:tcW w:w="196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15.1x</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2.0x</w:t>
            </w:r>
          </w:p>
        </w:tc>
      </w:tr>
      <w:tr>
        <w:trPr>
          <w:trHeight w:val="336"/>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INFINITY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706.6</w:t>
            </w:r>
          </w:p>
        </w:tc>
        <w:tc>
          <w:tcPr>
            <w:tcW w:w="18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10.9X</w:t>
            </w:r>
          </w:p>
        </w:tc>
        <w:tc>
          <w:tcPr>
            <w:tcW w:w="1960" w:type="dxa"/>
            <w:vAlign w:val="bottom"/>
          </w:tcPr>
          <w:p>
            <w:pPr>
              <w:ind w:left="860"/>
              <w:spacing w:after="0"/>
              <w:rPr>
                <w:sz w:val="20"/>
                <w:szCs w:val="20"/>
                <w:color w:val="auto"/>
              </w:rPr>
            </w:pPr>
            <w:r>
              <w:rPr>
                <w:rFonts w:ascii="Courier New" w:cs="Courier New" w:eastAsia="Courier New" w:hAnsi="Courier New"/>
                <w:sz w:val="15"/>
                <w:szCs w:val="15"/>
                <w:color w:val="auto"/>
              </w:rPr>
              <w:t>10.5X</w:t>
            </w:r>
          </w:p>
        </w:tc>
        <w:tc>
          <w:tcPr>
            <w:tcW w:w="1000" w:type="dxa"/>
            <w:vAlign w:val="bottom"/>
          </w:tcPr>
          <w:p>
            <w:pPr>
              <w:ind w:left="660"/>
              <w:spacing w:after="0"/>
              <w:rPr>
                <w:sz w:val="20"/>
                <w:szCs w:val="20"/>
                <w:color w:val="auto"/>
              </w:rPr>
            </w:pPr>
            <w:r>
              <w:rPr>
                <w:rFonts w:ascii="Courier New" w:cs="Courier New" w:eastAsia="Courier New" w:hAnsi="Courier New"/>
                <w:sz w:val="15"/>
                <w:szCs w:val="15"/>
                <w:color w:val="auto"/>
                <w:w w:val="88"/>
              </w:rPr>
              <w:t>1.3X</w:t>
            </w:r>
          </w:p>
        </w:tc>
      </w:tr>
    </w:tbl>
    <w:p>
      <w:pPr>
        <w:spacing w:after="0" w:line="341" w:lineRule="exact"/>
        <w:rPr>
          <w:sz w:val="20"/>
          <w:szCs w:val="20"/>
          <w:color w:val="auto"/>
        </w:rPr>
      </w:pPr>
    </w:p>
    <w:p>
      <w:pPr>
        <w:ind w:right="4700" w:firstLine="787"/>
        <w:spacing w:after="0" w:line="235" w:lineRule="auto"/>
        <w:rPr>
          <w:sz w:val="20"/>
          <w:szCs w:val="20"/>
          <w:color w:val="auto"/>
        </w:rPr>
      </w:pPr>
      <w:r>
        <w:rPr>
          <w:rFonts w:ascii="Courier New" w:cs="Courier New" w:eastAsia="Courier New" w:hAnsi="Courier New"/>
          <w:sz w:val="15"/>
          <w:szCs w:val="15"/>
          <w:color w:val="auto"/>
        </w:rPr>
        <w:t>As of June 27, 2003, Infinity's common stock was trading at 10.9x LTM operating earnings, 10.5x projected 2003 operating earnings, and 1.3x book value, below the Infinity comparable group medians of 19.3x, 15.1x, and 2.0x, respectively.</w:t>
      </w:r>
    </w:p>
    <w:p>
      <w:pPr>
        <w:spacing w:after="0" w:line="175" w:lineRule="exact"/>
        <w:rPr>
          <w:sz w:val="20"/>
          <w:szCs w:val="20"/>
          <w:color w:val="auto"/>
        </w:rPr>
      </w:pPr>
    </w:p>
    <w:p>
      <w:pPr>
        <w:ind w:right="4700" w:firstLine="787"/>
        <w:spacing w:after="0" w:line="236" w:lineRule="auto"/>
        <w:rPr>
          <w:sz w:val="20"/>
          <w:szCs w:val="20"/>
          <w:color w:val="auto"/>
        </w:rPr>
      </w:pPr>
      <w:r>
        <w:rPr>
          <w:rFonts w:ascii="Courier New" w:cs="Courier New" w:eastAsia="Courier New" w:hAnsi="Courier New"/>
          <w:sz w:val="15"/>
          <w:szCs w:val="15"/>
          <w:color w:val="auto"/>
        </w:rPr>
        <w:t>In each of the above analyses, Duff &amp; Phelps observed that the common stocks of AFG, Great American Financial Resources, and Infinity appeared to be trading at multiples below or in line with their respective comparable companies, and that the price of the AFG common stock does not appear to be unreasonable.</w:t>
      </w:r>
    </w:p>
    <w:p>
      <w:pPr>
        <w:spacing w:after="0" w:line="174" w:lineRule="exact"/>
        <w:rPr>
          <w:sz w:val="20"/>
          <w:szCs w:val="20"/>
          <w:color w:val="auto"/>
        </w:rPr>
      </w:pPr>
    </w:p>
    <w:p>
      <w:pPr>
        <w:ind w:right="4540" w:firstLine="787"/>
        <w:spacing w:after="0" w:line="236" w:lineRule="auto"/>
        <w:rPr>
          <w:sz w:val="20"/>
          <w:szCs w:val="20"/>
          <w:color w:val="auto"/>
        </w:rPr>
      </w:pPr>
      <w:r>
        <w:rPr>
          <w:rFonts w:ascii="Courier New" w:cs="Courier New" w:eastAsia="Courier New" w:hAnsi="Courier New"/>
          <w:sz w:val="15"/>
          <w:szCs w:val="15"/>
          <w:color w:val="auto"/>
        </w:rPr>
        <w:t>Pursuant to an engagement letter dated May 15, 2003, AFC has agreed to pay Duff &amp; Phelps $200,000, payable in full upon notification that Duff &amp; Phelps was prepared to deliver the opinion (whether favorable or unfavorable) to the special committee. AFC has also agreed to reimburse Duff &amp; Phelps for its reasonable out-of-pocket expenses, including the fees and disbursements of its counsel, and to indemnify Duff &amp; Phelps and certain related entities and persons against certain liabilities in connection with its engagement, including certain liabilities under the federal securities laws.</w:t>
      </w:r>
    </w:p>
    <w:p>
      <w:pPr>
        <w:spacing w:after="0" w:line="177" w:lineRule="exact"/>
        <w:rPr>
          <w:sz w:val="20"/>
          <w:szCs w:val="20"/>
          <w:color w:val="auto"/>
        </w:rPr>
      </w:pPr>
    </w:p>
    <w:p>
      <w:pPr>
        <w:ind w:right="4800" w:firstLine="787"/>
        <w:spacing w:after="0" w:line="235" w:lineRule="auto"/>
        <w:rPr>
          <w:sz w:val="20"/>
          <w:szCs w:val="20"/>
          <w:color w:val="auto"/>
        </w:rPr>
      </w:pPr>
      <w:r>
        <w:rPr>
          <w:rFonts w:ascii="Courier New" w:cs="Courier New" w:eastAsia="Courier New" w:hAnsi="Courier New"/>
          <w:sz w:val="15"/>
          <w:szCs w:val="15"/>
          <w:color w:val="auto"/>
        </w:rPr>
        <w:t>Duff &amp; Phelps has provided limited financial advisory and investment banking services to an affiliate of AFG in the past, for which services it received customary fees.</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MERGER AGREEMENT</w:t>
      </w:r>
    </w:p>
    <w:p>
      <w:pPr>
        <w:spacing w:after="0" w:line="173" w:lineRule="exact"/>
        <w:rPr>
          <w:sz w:val="20"/>
          <w:szCs w:val="20"/>
          <w:color w:val="auto"/>
        </w:rPr>
      </w:pPr>
    </w:p>
    <w:p>
      <w:pPr>
        <w:ind w:right="4620" w:firstLine="787"/>
        <w:spacing w:after="0" w:line="235" w:lineRule="auto"/>
        <w:rPr>
          <w:sz w:val="20"/>
          <w:szCs w:val="20"/>
          <w:color w:val="auto"/>
        </w:rPr>
      </w:pPr>
      <w:r>
        <w:rPr>
          <w:rFonts w:ascii="Courier New" w:cs="Courier New" w:eastAsia="Courier New" w:hAnsi="Courier New"/>
          <w:sz w:val="15"/>
          <w:szCs w:val="15"/>
          <w:color w:val="auto"/>
        </w:rPr>
        <w:t>The following description of the merger agreement is not complete. For full information, you should read the merger agreement, a copy of which is attached to this document as Annex A.</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1540"/>
          </w:cols>
          <w:pgMar w:left="220" w:top="960" w:right="139"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TERMS OF THE REORGANIZATION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Reorganization. In the reorganization, AFC will merge with and into AFG. Immediately before the merger of AFC into AFG, AFC Holding will merge with and into AFG. In the AFC merger, all shares of AFC common stock, which are owned by AFG, will be canceled, and all shares of the Series J Preferred Stock of AFC will be converted into AFG common stock and cash in lieu of fractional shares, on the terms discussed below. In the AFC Holding merger, all shares of AFC Holding common stock, which are owned by AFG, will be canceled.</w:t>
      </w:r>
    </w:p>
    <w:p>
      <w:pPr>
        <w:spacing w:after="0" w:line="16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Effective Time. As promptly as practicable after the satisfaction or waiver of the conditions in the merger agreement, the parties will complete the reorganization by filing Certificates of Merger with the Secretary of State of Ohio.</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Conversion of Series J Preferred Stock in the AFC Merger. Each share of Series J Preferred Stock issued and outstanding immediately prior to the AFC merger will be converted, by virtue of the merger and without the need for any further action on the part of the holder thereof, into the right to receive the number of shares of AFG common stock equal to the quotient (rounded to the nearest fourth decimal place) obtained by dividing $25.00 plus all accrued dividends on the Series J Preferred Stock by the lesser of Twenty Seven Dollars ($27.00) and the average of the mean of the daily high sales price and daily low sales price of the AFG common stock on the New York Stock Exchange for the 20 consecutive days in which such shares are trading ending at the close of trading on the trading day that is three business days preceding the date of the special meeting. We refer to this as the average closing price. For purposes of the merger agreement, accrued dividends means, for holders as of the Series J Preferred Stock dividend record date of October 15, 2003, the amount equal to dividends accruing at the rate of $.0055 per share per day from May 1, 2003 through the effective time of the AFC merger, and for holders acquiring Series J Preferred Stock after the record date, the amount equal to dividends accruing at the rate of $.0055 per share per day from October 16, 2003 through the effective time of the AFC merger.</w:t>
      </w:r>
    </w:p>
    <w:p>
      <w:pPr>
        <w:spacing w:after="0" w:line="343"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Fractional Shares. AFC will not issue any fractional shares of AFG common stock. Instead, AFC will pay holders of fractional shares cash in an amount equal to the fraction of a share multiplied by the average closing price.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CERTIFICATES</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Exchange Agent. Securities Transfer Company will act as exchange agent for the exchange of stock certificates pursuant to the reorganization.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Exchange Procedures. Within ten days after the completion of the reorganization, AFG will instruct Securities Transfer Company to mail to each record holder of Series J Preferred Stock at the effective date of the reorganization a letter of transmittal and instructions for exchanging certificates representing Series J Preferred Stock for certificates evidencing AFG common stock. You will have to follow the instructions and surrender your Series J Preferred Stock certificates, together with the properly executed letter of transmittal, and any other required documents, to Securities Transfer Company. You then will be entitled to receive:</w:t>
      </w:r>
    </w:p>
    <w:p>
      <w:pPr>
        <w:spacing w:after="0" w:line="178" w:lineRule="exact"/>
        <w:rPr>
          <w:sz w:val="20"/>
          <w:szCs w:val="20"/>
          <w:color w:val="auto"/>
        </w:rPr>
      </w:pPr>
    </w:p>
    <w:p>
      <w:pPr>
        <w:ind w:left="1320" w:right="3319" w:hanging="523"/>
        <w:spacing w:after="0" w:line="234" w:lineRule="auto"/>
        <w:tabs>
          <w:tab w:leader="none" w:pos="13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for that number of whole shares of AFG common stock which you have the right to receive in the AFC merger,</w:t>
      </w:r>
    </w:p>
    <w:p>
      <w:pPr>
        <w:spacing w:after="0" w:line="173" w:lineRule="exact"/>
        <w:rPr>
          <w:rFonts w:ascii="Courier New" w:cs="Courier New" w:eastAsia="Courier New" w:hAnsi="Courier New"/>
          <w:sz w:val="15"/>
          <w:szCs w:val="15"/>
          <w:color w:val="auto"/>
        </w:rPr>
      </w:pPr>
    </w:p>
    <w:p>
      <w:pPr>
        <w:ind w:left="1320" w:right="3499" w:hanging="523"/>
        <w:spacing w:after="0" w:line="235" w:lineRule="auto"/>
        <w:tabs>
          <w:tab w:leader="none" w:pos="13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dividends or other distributions on the AFG common stock declared or made after the completion of the reorganization to which you may be entitled, and</w:t>
      </w:r>
    </w:p>
    <w:p>
      <w:pPr>
        <w:spacing w:after="0" w:line="167"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for any fractional share of AFG common stock.</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49" w:name="page50"/>
    <w:bookmarkEnd w:id="49"/>
    <w:p>
      <w:pPr>
        <w:ind w:right="3319" w:firstLine="787"/>
        <w:spacing w:after="0" w:line="236" w:lineRule="auto"/>
        <w:rPr>
          <w:sz w:val="20"/>
          <w:szCs w:val="20"/>
          <w:color w:val="auto"/>
        </w:rPr>
      </w:pPr>
      <w:r>
        <w:rPr>
          <w:rFonts w:ascii="Courier New" w:cs="Courier New" w:eastAsia="Courier New" w:hAnsi="Courier New"/>
          <w:sz w:val="15"/>
          <w:szCs w:val="15"/>
          <w:color w:val="auto"/>
        </w:rPr>
        <w:t>Distributions With Respect to Unexchanged Shares. You will not receive any dividends or other distributions on AFG common stock until you surrender your Series J Preferred Stock certificates. When you do surrender your certificates, AFG will pay you, without interest, any dividends or other distributions previously paid to holders of AFG common stock with a record date after the completion of the reorganization.</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Transfers of Ownership. If you want AFG to issue any certificate for shares of AFG common stock in a name other than that in which your Series J Preferred Stock certificate is registered, your Series J Preferred Stock certificate must be properly endorsed and otherwise in proper form for transfer. You also must pay to AFG or its agent any resulting transfer or other tax, or establish to the satisfaction of AFG that such tax has been paid or is not payable.</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Escheat and Withholding. Neither AFG nor AFC will be liable to you for any shares of AFG common stock which were delivered to a public official pursuant to any applicable abandoned property, escheat or similar law. Securities Transfer Company, on behalf of AFG, will deduct from the shares of AFG common stock paid to you any amounts that federal, state, local or foreign tax law require AFG to withhold.</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Lost, Stolen or Destroyed Certificates. Securities Transfer Company will issue AFG common stock in exchange for a lost, stolen or destroyed Series J Preferred Stock certificate upon receipt of an affidavit of that fact by the owner of the certificate. However, AFG will require you to deliver a reasonable indemnity bond against any claim that may be made against AFG or Securities Transfer Company regarding a certificate alleged to have been lost, stolen or destroyed.</w:t>
      </w:r>
    </w:p>
    <w:p>
      <w:pPr>
        <w:spacing w:after="0" w:line="176"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DETAILED INSTRUCTIONS, INCLUDING A TRANSMITTAL LETTER, WILL BE MAILED TO HOLDERS OF SERIES J PREFERRED STOCK WITHIN TEN DAYS FOLLOWING THE COMPLETION OF THE REORGANIZATION, EXPLAINING HOW TO EXCHANGE SERIES J PREFERRED STOCK CERTIFICATES FOR AFG CERTIFICATES. YOU SHOULD NOT SEND IN YOUR SERIES J PREFERRED STOCK CERTIFICATES UNTIL YOU RECEIVE A LETTER OF TRANSMITTAL.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Holders of Series J Preferred Stock may dissent from the AFC merger and have the fair value of their shares paid to them provided that the holders comply with the provisions of Ohio law. For more information on how to exercise these rights, see "Rights of Dissenting Shareholders" and Annex C to this proxy statement/prospectus.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In connection with the AFC merger, AFC and AFG have provided customary representations and warranties relating to, among other things:</w:t>
      </w:r>
    </w:p>
    <w:p>
      <w:pPr>
        <w:spacing w:after="0" w:line="167" w:lineRule="exact"/>
        <w:rPr>
          <w:sz w:val="20"/>
          <w:szCs w:val="20"/>
          <w:color w:val="auto"/>
        </w:rPr>
      </w:pPr>
    </w:p>
    <w:p>
      <w:pPr>
        <w:ind w:left="1320" w:hanging="523"/>
        <w:spacing w:after="0"/>
        <w:tabs>
          <w:tab w:leader="none" w:pos="13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good standing and corporate power;</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and</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AFG has provided additional customary representations and warranties relating to, among other things:</w:t>
      </w:r>
    </w:p>
    <w:p>
      <w:pPr>
        <w:spacing w:after="0" w:line="167" w:lineRule="exact"/>
        <w:rPr>
          <w:sz w:val="20"/>
          <w:szCs w:val="20"/>
          <w:color w:val="auto"/>
        </w:rPr>
      </w:pPr>
    </w:p>
    <w:p>
      <w:pPr>
        <w:ind w:left="1320" w:hanging="523"/>
        <w:spacing w:after="0"/>
        <w:tabs>
          <w:tab w:leader="none" w:pos="13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filings;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50" w:name="page51"/>
    <w:bookmarkEnd w:id="50"/>
    <w:p>
      <w:pPr>
        <w:ind w:left="1320" w:hanging="523"/>
        <w:spacing w:after="0"/>
        <w:tabs>
          <w:tab w:leader="none" w:pos="13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matters;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matters;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applicable law; and</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OF AFC COMMON STOCK</w:t>
      </w:r>
    </w:p>
    <w:p>
      <w:pPr>
        <w:spacing w:after="0" w:line="173" w:lineRule="exact"/>
        <w:rPr>
          <w:sz w:val="20"/>
          <w:szCs w:val="20"/>
          <w:color w:val="auto"/>
        </w:rPr>
      </w:pPr>
    </w:p>
    <w:p>
      <w:pPr>
        <w:jc w:val="both"/>
        <w:ind w:right="3399" w:firstLine="787"/>
        <w:spacing w:after="0" w:line="258" w:lineRule="auto"/>
        <w:rPr>
          <w:sz w:val="20"/>
          <w:szCs w:val="20"/>
          <w:color w:val="auto"/>
        </w:rPr>
      </w:pPr>
      <w:r>
        <w:rPr>
          <w:rFonts w:ascii="Courier New" w:cs="Courier New" w:eastAsia="Courier New" w:hAnsi="Courier New"/>
          <w:sz w:val="14"/>
          <w:szCs w:val="14"/>
          <w:color w:val="auto"/>
        </w:rPr>
        <w:t>AFC Holding, as the record owner of the AFC shares beneficially owned by AFG, has agreed to vote all of its shares of AFC common stock, representing approximately 79% of the voting power of AFC, in favor of the AFC merger.</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REORGANIZATION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Conditions to Obligations of AFC and AFG. The obligations of AFG and AFC to complete the AFC merger are subject to the satisfaction or waiver of the following conditions:</w:t>
      </w:r>
    </w:p>
    <w:p>
      <w:pPr>
        <w:spacing w:after="0" w:line="174" w:lineRule="exact"/>
        <w:rPr>
          <w:sz w:val="20"/>
          <w:szCs w:val="20"/>
          <w:color w:val="auto"/>
        </w:rPr>
      </w:pPr>
    </w:p>
    <w:p>
      <w:pPr>
        <w:ind w:left="1320" w:right="3319" w:hanging="523"/>
        <w:spacing w:after="0" w:line="236" w:lineRule="auto"/>
        <w:tabs>
          <w:tab w:leader="none" w:pos="13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judgment, injunction or decree or other order issued by any court of competent jurisdiction or other legal restraint prohibiting or preventing the consummation of the reorganization or prohibiting or materially restricting the business of AFG after the AFC merger;</w:t>
      </w:r>
    </w:p>
    <w:p>
      <w:pPr>
        <w:spacing w:after="0" w:line="173" w:lineRule="exact"/>
        <w:rPr>
          <w:rFonts w:ascii="Courier New" w:cs="Courier New" w:eastAsia="Courier New" w:hAnsi="Courier New"/>
          <w:sz w:val="15"/>
          <w:szCs w:val="15"/>
          <w:color w:val="auto"/>
        </w:rPr>
      </w:pPr>
    </w:p>
    <w:p>
      <w:pPr>
        <w:ind w:left="1320" w:right="3579" w:hanging="523"/>
        <w:spacing w:after="0" w:line="235" w:lineRule="auto"/>
        <w:tabs>
          <w:tab w:leader="none" w:pos="13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of which this proxy statement/prospectus forms a part, shall have been declared effective under the Securities Act of 1933, and no stop order suspending such effectiveness shall be in effect;</w:t>
      </w:r>
    </w:p>
    <w:p>
      <w:pPr>
        <w:spacing w:after="0" w:line="175" w:lineRule="exact"/>
        <w:rPr>
          <w:rFonts w:ascii="Courier New" w:cs="Courier New" w:eastAsia="Courier New" w:hAnsi="Courier New"/>
          <w:sz w:val="15"/>
          <w:szCs w:val="15"/>
          <w:color w:val="auto"/>
        </w:rPr>
      </w:pPr>
    </w:p>
    <w:p>
      <w:pPr>
        <w:ind w:left="1320" w:right="3239" w:hanging="523"/>
        <w:spacing w:after="0" w:line="236" w:lineRule="auto"/>
        <w:tabs>
          <w:tab w:leader="none" w:pos="13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reorganization shall have been approved by a majority of the voting power of AFC, a majority of the outstanding shares of Series J Preferred Stock and a majority of the outstanding shares of Series J Preferred Stock voting on the AFC merger, excluding shares beneficially owned by AFG, any director or executive officer of AFG, the spouses and unemancipated children of any AFG director or executive officer, Carl H. Lindner, Jr., the siblings or children of Carl H. Lindner, Jr. or the spouses and unemancipated children of Carl H. Lindner, Jr. or of any of his siblings or children;</w:t>
      </w:r>
    </w:p>
    <w:p>
      <w:pPr>
        <w:spacing w:after="0" w:line="179" w:lineRule="exact"/>
        <w:rPr>
          <w:rFonts w:ascii="Courier New" w:cs="Courier New" w:eastAsia="Courier New" w:hAnsi="Courier New"/>
          <w:sz w:val="15"/>
          <w:szCs w:val="15"/>
          <w:color w:val="auto"/>
        </w:rPr>
      </w:pPr>
    </w:p>
    <w:p>
      <w:pPr>
        <w:ind w:left="1320" w:right="3679" w:hanging="523"/>
        <w:spacing w:after="0" w:line="258" w:lineRule="auto"/>
        <w:tabs>
          <w:tab w:leader="none" w:pos="13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lenders under the AFG and AFC credit facility shall have consented to the reorganization or shall have permitted the reorganization through a revision to the credit facility;</w:t>
      </w:r>
    </w:p>
    <w:p>
      <w:pPr>
        <w:spacing w:after="0" w:line="154" w:lineRule="exact"/>
        <w:rPr>
          <w:rFonts w:ascii="Courier New" w:cs="Courier New" w:eastAsia="Courier New" w:hAnsi="Courier New"/>
          <w:sz w:val="14"/>
          <w:szCs w:val="14"/>
          <w:color w:val="auto"/>
        </w:rPr>
      </w:pPr>
    </w:p>
    <w:p>
      <w:pPr>
        <w:ind w:left="1320" w:hanging="523"/>
        <w:spacing w:after="0"/>
        <w:tabs>
          <w:tab w:leader="none" w:pos="13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AFC Holding merger shall have been completed; and</w:t>
      </w:r>
    </w:p>
    <w:p>
      <w:pPr>
        <w:spacing w:after="0" w:line="172" w:lineRule="exact"/>
        <w:rPr>
          <w:rFonts w:ascii="Courier New" w:cs="Courier New" w:eastAsia="Courier New" w:hAnsi="Courier New"/>
          <w:sz w:val="15"/>
          <w:szCs w:val="15"/>
          <w:color w:val="auto"/>
        </w:rPr>
      </w:pPr>
    </w:p>
    <w:p>
      <w:pPr>
        <w:ind w:left="1320" w:right="3579" w:hanging="523"/>
        <w:spacing w:after="0" w:line="235" w:lineRule="auto"/>
        <w:tabs>
          <w:tab w:leader="none" w:pos="13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AFG and AFC's special committee shall have received the legal opinion of Akin, Gump, Strauss, Hauer &amp; Feld LLP as to tax matters.</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Additional Conditions to Obligations of AFC. The obligations of AFC to complete the AFC merger shall be subject to the satisfaction or waiver of the following additional conditions:</w:t>
      </w:r>
    </w:p>
    <w:p>
      <w:pPr>
        <w:spacing w:after="0" w:line="174" w:lineRule="exact"/>
        <w:rPr>
          <w:sz w:val="20"/>
          <w:szCs w:val="20"/>
          <w:color w:val="auto"/>
        </w:rPr>
      </w:pPr>
    </w:p>
    <w:p>
      <w:pPr>
        <w:ind w:left="1320" w:right="3679" w:hanging="523"/>
        <w:spacing w:after="0" w:line="234" w:lineRule="auto"/>
        <w:tabs>
          <w:tab w:leader="none" w:pos="13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AFG in the merger agreement shall be true and correct;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51" w:name="page52"/>
    <w:bookmarkEnd w:id="51"/>
    <w:p>
      <w:pPr>
        <w:jc w:val="both"/>
        <w:ind w:left="1320" w:right="3499" w:hanging="523"/>
        <w:spacing w:after="0" w:line="235" w:lineRule="auto"/>
        <w:tabs>
          <w:tab w:leader="none" w:pos="13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AFG shall have performed and complied in all material respects with all of its obligations required to be performed under the merger agreement;</w:t>
      </w:r>
    </w:p>
    <w:p>
      <w:pPr>
        <w:spacing w:after="0" w:line="173" w:lineRule="exact"/>
        <w:rPr>
          <w:rFonts w:ascii="Courier New" w:cs="Courier New" w:eastAsia="Courier New" w:hAnsi="Courier New"/>
          <w:sz w:val="15"/>
          <w:szCs w:val="15"/>
          <w:color w:val="auto"/>
        </w:rPr>
      </w:pPr>
    </w:p>
    <w:p>
      <w:pPr>
        <w:ind w:left="1320" w:right="3399" w:hanging="523"/>
        <w:spacing w:after="0" w:line="234" w:lineRule="auto"/>
        <w:tabs>
          <w:tab w:leader="none" w:pos="13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all documents required by the merger agreement to be received from AFG;</w:t>
      </w:r>
    </w:p>
    <w:p>
      <w:pPr>
        <w:spacing w:after="0" w:line="173" w:lineRule="exact"/>
        <w:rPr>
          <w:rFonts w:ascii="Courier New" w:cs="Courier New" w:eastAsia="Courier New" w:hAnsi="Courier New"/>
          <w:sz w:val="15"/>
          <w:szCs w:val="15"/>
          <w:color w:val="auto"/>
        </w:rPr>
      </w:pPr>
    </w:p>
    <w:p>
      <w:pPr>
        <w:ind w:left="1320" w:right="3319" w:hanging="523"/>
        <w:spacing w:after="0" w:line="234" w:lineRule="auto"/>
        <w:tabs>
          <w:tab w:leader="none" w:pos="13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necessary regulatory approvals, consents, authorizations and other approvals shall have been obtained;</w:t>
      </w:r>
    </w:p>
    <w:p>
      <w:pPr>
        <w:spacing w:after="0" w:line="173" w:lineRule="exact"/>
        <w:rPr>
          <w:rFonts w:ascii="Courier New" w:cs="Courier New" w:eastAsia="Courier New" w:hAnsi="Courier New"/>
          <w:sz w:val="15"/>
          <w:szCs w:val="15"/>
          <w:color w:val="auto"/>
        </w:rPr>
      </w:pPr>
    </w:p>
    <w:p>
      <w:pPr>
        <w:ind w:left="1320" w:right="3239" w:hanging="523"/>
        <w:spacing w:after="0" w:line="235" w:lineRule="auto"/>
        <w:tabs>
          <w:tab w:leader="none" w:pos="13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AFC shall have received the opinion of Duff &amp; Phelps, acceptable to the AFC special committee, as to the fairness of the reorganization, from a financial point of view, to the holders of Series J Preferred Stock; and</w:t>
      </w:r>
    </w:p>
    <w:p>
      <w:pPr>
        <w:spacing w:after="0" w:line="175" w:lineRule="exact"/>
        <w:rPr>
          <w:rFonts w:ascii="Courier New" w:cs="Courier New" w:eastAsia="Courier New" w:hAnsi="Courier New"/>
          <w:sz w:val="15"/>
          <w:szCs w:val="15"/>
          <w:color w:val="auto"/>
        </w:rPr>
      </w:pPr>
    </w:p>
    <w:p>
      <w:pPr>
        <w:ind w:left="1320" w:right="3319" w:hanging="523"/>
        <w:spacing w:after="0" w:line="235" w:lineRule="auto"/>
        <w:tabs>
          <w:tab w:leader="none" w:pos="13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AFG common stock to be issued to holders of Series J Preferred Stock shall have been listed on the New York Stock Exchange.</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Additional Conditions to Obligations of AFG. The obligations of AFG to complete the AFC merger shall be subject to the satisfaction or waiver of the following additional conditions:</w:t>
      </w:r>
    </w:p>
    <w:p>
      <w:pPr>
        <w:spacing w:after="0" w:line="174" w:lineRule="exact"/>
        <w:rPr>
          <w:sz w:val="20"/>
          <w:szCs w:val="20"/>
          <w:color w:val="auto"/>
        </w:rPr>
      </w:pPr>
    </w:p>
    <w:p>
      <w:pPr>
        <w:ind w:left="1320" w:right="3679" w:hanging="523"/>
        <w:spacing w:after="0" w:line="234" w:lineRule="auto"/>
        <w:tabs>
          <w:tab w:leader="none" w:pos="13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AFC in the merger agreement shall be true and correct;</w:t>
      </w:r>
    </w:p>
    <w:p>
      <w:pPr>
        <w:spacing w:after="0" w:line="173" w:lineRule="exact"/>
        <w:rPr>
          <w:rFonts w:ascii="Courier New" w:cs="Courier New" w:eastAsia="Courier New" w:hAnsi="Courier New"/>
          <w:sz w:val="15"/>
          <w:szCs w:val="15"/>
          <w:color w:val="auto"/>
        </w:rPr>
      </w:pPr>
    </w:p>
    <w:p>
      <w:pPr>
        <w:jc w:val="both"/>
        <w:ind w:left="1320" w:right="3499" w:hanging="523"/>
        <w:spacing w:after="0" w:line="235" w:lineRule="auto"/>
        <w:tabs>
          <w:tab w:leader="none" w:pos="13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AFC shall have performed and complied in all material respects with all of its obligations required to be performed under the merger agreement;</w:t>
      </w:r>
    </w:p>
    <w:p>
      <w:pPr>
        <w:spacing w:after="0" w:line="173" w:lineRule="exact"/>
        <w:rPr>
          <w:rFonts w:ascii="Courier New" w:cs="Courier New" w:eastAsia="Courier New" w:hAnsi="Courier New"/>
          <w:sz w:val="15"/>
          <w:szCs w:val="15"/>
          <w:color w:val="auto"/>
        </w:rPr>
      </w:pPr>
    </w:p>
    <w:p>
      <w:pPr>
        <w:ind w:left="1320" w:right="3399" w:hanging="523"/>
        <w:spacing w:after="0" w:line="234" w:lineRule="auto"/>
        <w:tabs>
          <w:tab w:leader="none" w:pos="13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all documents required by the merger agreement to be received from AFC;</w:t>
      </w:r>
    </w:p>
    <w:p>
      <w:pPr>
        <w:spacing w:after="0" w:line="173" w:lineRule="exact"/>
        <w:rPr>
          <w:rFonts w:ascii="Courier New" w:cs="Courier New" w:eastAsia="Courier New" w:hAnsi="Courier New"/>
          <w:sz w:val="15"/>
          <w:szCs w:val="15"/>
          <w:color w:val="auto"/>
        </w:rPr>
      </w:pPr>
    </w:p>
    <w:p>
      <w:pPr>
        <w:ind w:left="1320" w:right="3319" w:hanging="523"/>
        <w:spacing w:after="0" w:line="234" w:lineRule="auto"/>
        <w:tabs>
          <w:tab w:leader="none" w:pos="13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necessary regulatory approvals, consents, authorizations and other approvals shall have been obtained.</w:t>
      </w:r>
    </w:p>
    <w:p>
      <w:pPr>
        <w:spacing w:after="0" w:line="167"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Termination.</w:t>
        <w:tab/>
        <w:t>The merger agreement may be terminated:</w:t>
      </w:r>
    </w:p>
    <w:p>
      <w:pPr>
        <w:spacing w:after="0" w:line="173" w:lineRule="exact"/>
        <w:rPr>
          <w:sz w:val="20"/>
          <w:szCs w:val="20"/>
          <w:color w:val="auto"/>
        </w:rPr>
      </w:pPr>
    </w:p>
    <w:p>
      <w:pPr>
        <w:ind w:left="1320" w:right="4199" w:hanging="523"/>
        <w:spacing w:after="0" w:line="234" w:lineRule="auto"/>
        <w:tabs>
          <w:tab w:leader="none" w:pos="13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agreement of AFC (acting through the special committee), AFG and AFC Holding;</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closing date is later than October 31, 2003;</w:t>
      </w:r>
    </w:p>
    <w:p>
      <w:pPr>
        <w:spacing w:after="0" w:line="172" w:lineRule="exact"/>
        <w:rPr>
          <w:rFonts w:ascii="Courier New" w:cs="Courier New" w:eastAsia="Courier New" w:hAnsi="Courier New"/>
          <w:sz w:val="15"/>
          <w:szCs w:val="15"/>
          <w:color w:val="auto"/>
        </w:rPr>
      </w:pPr>
    </w:p>
    <w:p>
      <w:pPr>
        <w:ind w:left="1320" w:right="3319" w:hanging="523"/>
        <w:spacing w:after="0" w:line="235" w:lineRule="auto"/>
        <w:tabs>
          <w:tab w:leader="none" w:pos="13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AFG or AFC (acting through the special committee) if a court issues a permanent, non-appealable ruling permanently prohibiting the reorganization;</w:t>
      </w:r>
    </w:p>
    <w:p>
      <w:pPr>
        <w:spacing w:after="0" w:line="173" w:lineRule="exact"/>
        <w:rPr>
          <w:rFonts w:ascii="Courier New" w:cs="Courier New" w:eastAsia="Courier New" w:hAnsi="Courier New"/>
          <w:sz w:val="15"/>
          <w:szCs w:val="15"/>
          <w:color w:val="auto"/>
        </w:rPr>
      </w:pPr>
    </w:p>
    <w:p>
      <w:pPr>
        <w:ind w:left="1320" w:right="3499" w:hanging="523"/>
        <w:spacing w:after="0" w:line="261" w:lineRule="auto"/>
        <w:tabs>
          <w:tab w:leader="none" w:pos="132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AFG or AFC (acting through the special committee) if the merger agreement is not approved by the required votes;</w:t>
      </w:r>
    </w:p>
    <w:p>
      <w:pPr>
        <w:spacing w:after="0" w:line="159" w:lineRule="exact"/>
        <w:rPr>
          <w:rFonts w:ascii="Courier New" w:cs="Courier New" w:eastAsia="Courier New" w:hAnsi="Courier New"/>
          <w:sz w:val="14"/>
          <w:szCs w:val="14"/>
          <w:color w:val="auto"/>
        </w:rPr>
      </w:pPr>
    </w:p>
    <w:p>
      <w:pPr>
        <w:ind w:left="1320" w:right="3319" w:hanging="523"/>
        <w:spacing w:after="0" w:line="261" w:lineRule="auto"/>
        <w:tabs>
          <w:tab w:leader="none" w:pos="132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AFG or AFC (acting through the special committee) upon the breach of a representation or warranty of the other; or</w:t>
      </w:r>
    </w:p>
    <w:p>
      <w:pPr>
        <w:spacing w:after="0" w:line="159" w:lineRule="exact"/>
        <w:rPr>
          <w:rFonts w:ascii="Courier New" w:cs="Courier New" w:eastAsia="Courier New" w:hAnsi="Courier New"/>
          <w:sz w:val="14"/>
          <w:szCs w:val="14"/>
          <w:color w:val="auto"/>
        </w:rPr>
      </w:pPr>
    </w:p>
    <w:p>
      <w:pPr>
        <w:ind w:left="1320" w:right="3239" w:hanging="523"/>
        <w:spacing w:after="0" w:line="236" w:lineRule="auto"/>
        <w:tabs>
          <w:tab w:leader="none" w:pos="13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AFC (acting through the special committee) if any events, changes or developments have occurred (other than any information specifically provided by AFC (acting through the special committee) to be included in this document being or becoming false or materially misleading) which, individually or in the aggregate, have materially adversely affected, or are reasonably likely to materially adversely affect, the financial condition of AFG and its subsidiaries, taken as a whole;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52" w:name="page53"/>
    <w:bookmarkEnd w:id="52"/>
    <w:p>
      <w:pPr>
        <w:ind w:left="1320" w:right="3239" w:hanging="523"/>
        <w:spacing w:after="0" w:line="255" w:lineRule="auto"/>
        <w:tabs>
          <w:tab w:leader="none" w:pos="132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AFC if the special committee determines, after consultation with and based on the written legal advice of its legal counsel, that as a result of an event or condition which existed before the date of the merger agreement and should have been disclosed by AFG in its filings under the Securities Exchange Act of 1934 but was not so disclosed or which occurs after the date of the merger agreement (other than any information specifically provided by AFC (acting through the special committee) to be included in this document being or becoming false or materially misleading), the special committee would violate its fiduciary duties in accordance with applicable law if AFC (acting through the special committee) did not terminate the merger agreement; or</w:t>
      </w:r>
    </w:p>
    <w:p>
      <w:pPr>
        <w:spacing w:after="0" w:line="164" w:lineRule="exact"/>
        <w:rPr>
          <w:rFonts w:ascii="Courier New" w:cs="Courier New" w:eastAsia="Courier New" w:hAnsi="Courier New"/>
          <w:sz w:val="14"/>
          <w:szCs w:val="14"/>
          <w:color w:val="auto"/>
        </w:rPr>
      </w:pPr>
    </w:p>
    <w:p>
      <w:pPr>
        <w:ind w:left="1320" w:right="3499" w:hanging="523"/>
        <w:spacing w:after="0" w:line="234"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AFG if the average closing price of the AFG common stock is less than $19.00 per share.</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RIGHTS OF DISSENTING SHAREHOLDERS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AFG describes below the steps which holders of Series J Preferred Stock must take if they wish to exercise dissenters' rights with respect to the AFC merger. The description is not complete. You should read Section 1701.85 of the Ohio General Corporation Law. This section is attached as Annex C to this document. FAILURE TO TAKE ANY ONE OF THE REQUIRED STEPS MAY RESULT IN TERMINATION OF THE SHAREHOLDER'S DISSENTERS' RIGHTS UNDER THE OHIO GENERAL CORPORATION LAW. If you are a holder of AFC Series J Preferred Stock considering dissenting, you should consult your own legal advisor.</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To exercise dissenters' rights, you must satisfy five conditions:</w:t>
      </w:r>
    </w:p>
    <w:p>
      <w:pPr>
        <w:spacing w:after="0" w:line="166" w:lineRule="exact"/>
        <w:rPr>
          <w:sz w:val="20"/>
          <w:szCs w:val="20"/>
          <w:color w:val="auto"/>
        </w:rPr>
      </w:pPr>
    </w:p>
    <w:p>
      <w:pPr>
        <w:ind w:left="1320" w:hanging="523"/>
        <w:spacing w:after="0"/>
        <w:tabs>
          <w:tab w:leader="none" w:pos="13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must be a shareholder of record on __________;</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must not vote dissenting shares in favor of the AFC merger;</w:t>
      </w:r>
    </w:p>
    <w:p>
      <w:pPr>
        <w:spacing w:after="0" w:line="172" w:lineRule="exact"/>
        <w:rPr>
          <w:rFonts w:ascii="Courier New" w:cs="Courier New" w:eastAsia="Courier New" w:hAnsi="Courier New"/>
          <w:sz w:val="15"/>
          <w:szCs w:val="15"/>
          <w:color w:val="auto"/>
        </w:rPr>
      </w:pPr>
    </w:p>
    <w:p>
      <w:pPr>
        <w:ind w:left="1320" w:right="3499" w:hanging="523"/>
        <w:spacing w:after="0" w:line="235" w:lineRule="auto"/>
        <w:tabs>
          <w:tab w:leader="none" w:pos="13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must deliver a written demand for "fair cash value" of the dissenting shares within 10 days of the vote on the merger agreement;</w:t>
      </w:r>
    </w:p>
    <w:p>
      <w:pPr>
        <w:spacing w:after="0" w:line="173" w:lineRule="exact"/>
        <w:rPr>
          <w:rFonts w:ascii="Courier New" w:cs="Courier New" w:eastAsia="Courier New" w:hAnsi="Courier New"/>
          <w:sz w:val="15"/>
          <w:szCs w:val="15"/>
          <w:color w:val="auto"/>
        </w:rPr>
      </w:pPr>
    </w:p>
    <w:p>
      <w:pPr>
        <w:ind w:left="1320" w:right="3319" w:hanging="523"/>
        <w:spacing w:after="0" w:line="235" w:lineRule="auto"/>
        <w:tabs>
          <w:tab w:leader="none" w:pos="13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AFC (or AFG as the successor to the AFC merger) requests, you must send within 15 days of its request, your stock certificates so that a legend may be added stating that a demand for "fair cash value" has been made; and</w:t>
      </w:r>
    </w:p>
    <w:p>
      <w:pPr>
        <w:spacing w:after="0" w:line="175" w:lineRule="exact"/>
        <w:rPr>
          <w:rFonts w:ascii="Courier New" w:cs="Courier New" w:eastAsia="Courier New" w:hAnsi="Courier New"/>
          <w:sz w:val="15"/>
          <w:szCs w:val="15"/>
          <w:color w:val="auto"/>
        </w:rPr>
      </w:pPr>
    </w:p>
    <w:p>
      <w:pPr>
        <w:ind w:left="1320" w:right="3239" w:hanging="523"/>
        <w:spacing w:after="0" w:line="256" w:lineRule="auto"/>
        <w:tabs>
          <w:tab w:leader="none" w:pos="13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three months of your written demand to receive "fair cash value," you must file a complaint in court for a determination of the "fair cash value" or you and AFC (or AFG, if after the AFC merger) must have agreed on the "fair cash value."</w:t>
      </w:r>
    </w:p>
    <w:p>
      <w:pPr>
        <w:spacing w:after="0" w:line="16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All demands, deliveries and other correspondence should be sent to AFC (or AFG if such correspondence follows the AFC merger) at the address on page __.</w:t>
      </w:r>
    </w:p>
    <w:p>
      <w:pPr>
        <w:spacing w:after="0" w:line="17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The following is a more detailed description of the conditions you must satisfy to perfect dissenters' rights:</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MUST BE A SHAREHOLDER OF RECORD. To be entitled to dissenters' rights, you must be the record holder of the dissenting shares as of _____________. If</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you have a beneficial interest in shares of AFC Series J Preferred Stock that are held of record in the name of another person, you must act promptly to cause the shareholder of record to follow the required procedures.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53" w:name="page54"/>
    <w:bookmarkEnd w:id="53"/>
    <w:p>
      <w:pPr>
        <w:ind w:right="3239" w:firstLine="787"/>
        <w:spacing w:after="0" w:line="258" w:lineRule="auto"/>
        <w:rPr>
          <w:sz w:val="20"/>
          <w:szCs w:val="20"/>
          <w:color w:val="auto"/>
        </w:rPr>
      </w:pPr>
      <w:r>
        <w:rPr>
          <w:rFonts w:ascii="Courier New" w:cs="Courier New" w:eastAsia="Courier New" w:hAnsi="Courier New"/>
          <w:sz w:val="14"/>
          <w:szCs w:val="14"/>
          <w:color w:val="auto"/>
        </w:rPr>
        <w:t>NOT VOTE IN FAVOR OF THE REORGANIZATION. You must not vote shares as to which you seek "fair cash value" in favor of the approval and adoption of the merger agreement at the special meeting. This requirement will be satisfied:</w:t>
      </w:r>
    </w:p>
    <w:p>
      <w:pPr>
        <w:spacing w:after="0" w:line="161" w:lineRule="exact"/>
        <w:rPr>
          <w:sz w:val="20"/>
          <w:szCs w:val="20"/>
          <w:color w:val="auto"/>
        </w:rPr>
      </w:pPr>
    </w:p>
    <w:p>
      <w:pPr>
        <w:ind w:left="1320" w:right="3239" w:hanging="523"/>
        <w:spacing w:after="0" w:line="235" w:lineRule="auto"/>
        <w:tabs>
          <w:tab w:leader="none" w:pos="13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submit a properly executed proxy with instructions to vote "against" the adoption of the merger agreement or to "abstain" from this vote,</w:t>
      </w:r>
    </w:p>
    <w:p>
      <w:pPr>
        <w:spacing w:after="0" w:line="173" w:lineRule="exact"/>
        <w:rPr>
          <w:rFonts w:ascii="Courier New" w:cs="Courier New" w:eastAsia="Courier New" w:hAnsi="Courier New"/>
          <w:sz w:val="15"/>
          <w:szCs w:val="15"/>
          <w:color w:val="auto"/>
        </w:rPr>
      </w:pPr>
    </w:p>
    <w:p>
      <w:pPr>
        <w:ind w:left="1320" w:right="3399" w:hanging="523"/>
        <w:spacing w:after="0" w:line="261" w:lineRule="auto"/>
        <w:tabs>
          <w:tab w:leader="none" w:pos="132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do not return a proxy and no vote is cast at the special meeting in favor of the adoption of the merger agreement, or</w:t>
      </w:r>
    </w:p>
    <w:p>
      <w:pPr>
        <w:spacing w:after="0" w:line="159" w:lineRule="exact"/>
        <w:rPr>
          <w:rFonts w:ascii="Courier New" w:cs="Courier New" w:eastAsia="Courier New" w:hAnsi="Courier New"/>
          <w:sz w:val="14"/>
          <w:szCs w:val="14"/>
          <w:color w:val="auto"/>
        </w:rPr>
      </w:pPr>
    </w:p>
    <w:p>
      <w:pPr>
        <w:ind w:left="1320" w:right="3319" w:hanging="523"/>
        <w:spacing w:after="0" w:line="234" w:lineRule="auto"/>
        <w:tabs>
          <w:tab w:leader="none" w:pos="13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revoke a proxy and later "abstain" from or vote "against" the adoption of the merger agreement.</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 VOTE FOR THE MERGER AGREEMENT IS A WAIVER OF DISSENTERS' RIGHTS. A proxy that is returned signed but on which no voting preference is indicated will be voted in favor of the adoption of the merger agreement and will constitute a waiver of dissenters' rights. Voting "against" or not voting does not constitute a waiver of dissenters' rights.</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FILING A WRITTEN DEMAND. You must serve a written demand for the "fair cash value" of dissenting shares upon AFC (or AFG, if after the AFC merger) on or before __________, the tenth day after the shareholder vote approving the AFC</w:t>
      </w:r>
    </w:p>
    <w:p>
      <w:pPr>
        <w:spacing w:after="0" w:line="1"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merger. Neither AFC nor AFG will inform shareholders of the expiration of the ten-day period and each advises you to retain this document. The required written demand must specify your name and address, the number of dissenting shares held of record on ___________ and the amount claimed as the "fair cash</w:t>
      </w:r>
    </w:p>
    <w:p>
      <w:pPr>
        <w:spacing w:after="0" w:line="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value" of the dissenting shares. Voting against the reorganization is not a written demand as required by Section 1701.85 of the Ohio General Corporation Law.</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DELIVERY OF CERTIFICATES FOR LEGENDING. If requested, you must submit your certificates for dissenting shares to AFC (or AFG, if after the AFC merger) within fifteen days after AFG sends its request for endorsement on the certificates of a legend that demand for fair cash value has been made. The certificates will be returned promptly to you.</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PETITIONS TO BE FILED IN COURT. If you and AFC (or AFG, if after the AFC merger) cannot agree on the "fair cash value" of the dissenting shares, you must, within three months after service of your demand for "fair cash value," file a complaint in the Court of Common Pleas of Hamilton County, Ohio, for a determination of the "fair cash value" of the dissenting shares. The court, if it determines that you are entitled to be paid the "fair cash value" of the dissenting shares, may determine the value of those shares. The court will determine the "fair cash value" per share. The costs of the proceeding, including reasonable compensation to the appraisers, will be assessed as the court considers equitable. "Fair cash value" is the amount that a willing seller, under no compulsion to sell, would be willing to accept, and that a willing buyer, under no compulsion to purchase, would be willing to pay. In no event will the "fair cash value" be in excess of _________, the amount specified in the dissenting shareholder's demand. Fair cash value is determined as of</w:t>
      </w:r>
    </w:p>
    <w:p>
      <w:pPr>
        <w:spacing w:after="0" w:line="237" w:lineRule="auto"/>
        <w:rPr>
          <w:sz w:val="20"/>
          <w:szCs w:val="20"/>
          <w:color w:val="auto"/>
        </w:rPr>
      </w:pPr>
      <w:r>
        <w:rPr>
          <w:rFonts w:ascii="Courier New" w:cs="Courier New" w:eastAsia="Courier New" w:hAnsi="Courier New"/>
          <w:sz w:val="15"/>
          <w:szCs w:val="15"/>
          <w:color w:val="auto"/>
        </w:rPr>
        <w:t>_________, the day before the special meeting. The amount of the "fair cash</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value" excludes any appreciation or depreciation in market value of your shares resulting from the reorganization. The "fair cash value" of your shares may be higher, the same, or lower than the market value of the Series J Preferred Stock on the date of the reorganization.</w:t>
      </w:r>
    </w:p>
    <w:p>
      <w:pPr>
        <w:spacing w:after="0" w:line="175"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Your right to be paid the "fair cash value" of the dissenting shares will terminate if:</w:t>
      </w:r>
    </w:p>
    <w:p>
      <w:pPr>
        <w:spacing w:after="0" w:line="167" w:lineRule="exact"/>
        <w:rPr>
          <w:sz w:val="20"/>
          <w:szCs w:val="20"/>
          <w:color w:val="auto"/>
        </w:rPr>
      </w:pPr>
    </w:p>
    <w:p>
      <w:pPr>
        <w:ind w:left="1320" w:hanging="523"/>
        <w:spacing w:after="0"/>
        <w:tabs>
          <w:tab w:leader="none" w:pos="13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reason the reorganization does not become effective,</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fail to make a timely written demand,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54" w:name="page55"/>
    <w:bookmarkEnd w:id="54"/>
    <w:p>
      <w:pPr>
        <w:ind w:left="1320" w:right="3239" w:hanging="523"/>
        <w:spacing w:after="0" w:line="235" w:lineRule="auto"/>
        <w:tabs>
          <w:tab w:leader="none" w:pos="13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do not, upon request of AFC (or AFG, if after the AFC merger) timely surrender your Series J Preferred Stock certificates for an endorsement of a legend that demand for the "fair cash value" of the dissenting shares has been made,</w:t>
      </w:r>
    </w:p>
    <w:p>
      <w:pPr>
        <w:spacing w:after="0" w:line="175" w:lineRule="exact"/>
        <w:rPr>
          <w:rFonts w:ascii="Courier New" w:cs="Courier New" w:eastAsia="Courier New" w:hAnsi="Courier New"/>
          <w:sz w:val="15"/>
          <w:szCs w:val="15"/>
          <w:color w:val="auto"/>
        </w:rPr>
      </w:pPr>
    </w:p>
    <w:p>
      <w:pPr>
        <w:ind w:left="1320" w:right="3579" w:hanging="523"/>
        <w:spacing w:after="0" w:line="234" w:lineRule="auto"/>
        <w:tabs>
          <w:tab w:leader="none" w:pos="13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withdraw your demand, with the consent of AFC (or AFG, if after the AFC merger), or</w:t>
      </w:r>
    </w:p>
    <w:p>
      <w:pPr>
        <w:spacing w:after="0" w:line="173" w:lineRule="exact"/>
        <w:rPr>
          <w:rFonts w:ascii="Courier New" w:cs="Courier New" w:eastAsia="Courier New" w:hAnsi="Courier New"/>
          <w:sz w:val="15"/>
          <w:szCs w:val="15"/>
          <w:color w:val="auto"/>
        </w:rPr>
      </w:pPr>
    </w:p>
    <w:p>
      <w:pPr>
        <w:ind w:left="1320" w:right="3239" w:hanging="523"/>
        <w:spacing w:after="0" w:line="235" w:lineRule="auto"/>
        <w:tabs>
          <w:tab w:leader="none" w:pos="13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AFC (or AFG, if after the AFC merger) and you have not come to an agreement as to the fair cash value of the dissenting shares and you have not filed a complaint.</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AMERICAN FINANCIAL GROUP, INC.</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AFG is a holding company which, through subsidiaries, is engaged primarily in property and casualty insurance, focusing on specialized commercial products for businesses, and in the sale of retirement annuities, life, and supplemental health insurance products. AFG was incorporated as an Ohio corporation in 1997 for the purpose of merging predecessor holding companies. Its insurance subsidiaries have been operating as far back as the 1800's. AFG's address is One East Fourth Street, Cincinnati, Ohio 45202; its phone number is</w:t>
      </w:r>
    </w:p>
    <w:p>
      <w:pPr>
        <w:spacing w:after="0" w:line="2" w:lineRule="exact"/>
        <w:rPr>
          <w:sz w:val="20"/>
          <w:szCs w:val="20"/>
          <w:color w:val="auto"/>
        </w:rPr>
      </w:pPr>
    </w:p>
    <w:p>
      <w:pPr>
        <w:ind w:right="3239" w:firstLine="10"/>
        <w:spacing w:after="0" w:line="234" w:lineRule="auto"/>
        <w:tabs>
          <w:tab w:leader="none" w:pos="52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579-2121. SEC filings, news releases and other information may be accessed free of charge through AFG's Internet site at: "www.amfnl.com."</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AFG's predecessor had been formed in 1994 for the purpose of acquiring AFC and American Premier in merger transactions completed in 1995.</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Over the years, AFG and its predecessors have owned, operated, and invested in businesses in a variety of industries and geographic areas, culminating in today's group of insurance companies. Generally, AFG's interests have been in the following areas: insurance, savings and loan, leasing, banking, real estate, communications/entertainment and food distribution. A small number of opportunistic investments have been made in troubled and other undervalued assets.</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AMERICAN FINANCIAL CORPORATION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AFC is a holding company which, through subsidiaries, is engaged primarily in property and casualty insurance, focusing on specialized commercial products for businesses, and in the sale of retirement annuities, life, and supplemental health insurance products. AFC was incorporated as an Ohio corporation in 1955. Its insurance subsidiaries have been operating as far back as the 1800's. AFC's address is One East Fourth Street, Cincinnati, Ohio 45202; its phone number is (513) 579-2121. At March 31, 2003, all of the outstanding common stock of AFC was owned by AFG.</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AFC HOLDING COMPANY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AFC Holding Company is a wholly-owned, intermediate-level holding company of AFG. AFC Holding directly owns all outstanding shares of common stock of AFC and approximately 19% of the outstanding shares of common stock of American Premier. Its address is One East Fourth Street, Cincinnati, Ohio 45202; its phone number is (513) 579-2121.</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DESCRIPTION OF AFG CAPITAL STOCK</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following is a summary of the provisions of Ohio General Corporation Law and AFG's Articles of Incorporation and Regulations which govern the terms of AFG's common stock.</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AFG is incorporated under the laws of the State of Ohio. The total number of authorized shares of AFG common stock is 200,000,000. Holders of AFG common stock are entitled to one vote for each share held of record on all matters submitted to a vote of shareholders. Holders of AFG common stock have the right to cumulate their votes in the election of directors but are not entitled to any preemptive rights.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Subject to preferences which may be granted to holders of preferred stock, holders of AFG common stock are entitled to the share of such dividends as board of directors, in its discretion, may validly declare from funds legally available. In the event of liquidation, each outstanding share of AFG common stock entitles its holder to participate ratably in the assets remaining after the payment of liabilities and any preferred stock liquidation preferences.</w:t>
      </w:r>
    </w:p>
    <w:p>
      <w:pPr>
        <w:spacing w:after="0" w:line="166"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The affirmative vote of the holders of a majority of the outstanding shares of Common Stock is required to amend the Articles of Incorporation and to approve mergers, reorganizations, share exchanges and similar transactions.</w:t>
      </w:r>
    </w:p>
    <w:p>
      <w:pPr>
        <w:spacing w:after="0" w:line="15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AFG acts as its own transfer agent and registrar.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AFG's Articles of Incorporation authorize 12,500,000 shares of voting preferred stock and 12,500,000 of nonvoting preferred stock which may be issued from time to time in series that have been designated preferences, rights, qualifications and limitations that the board of directors, in its sole discretion, may determine no shares hereby issued. The board of directors can give preferred stock both voting and conversion rights which would affect the voting power and equity of holders of AFG common stock. Preferred stock could also have preference to AFG common stock with respect to dividend and liquidation rights. The preferred stock could have the effect of acting as an anti-takeover device to prevent a change of control of AFG.</w:t>
      </w:r>
    </w:p>
    <w:p>
      <w:pPr>
        <w:spacing w:after="0" w:line="1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COMPARISON OF SHAREHOLDER RIGHTS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Each share of Series J Preferred Stock has a fixed annual dividend rate of $2.00 per share, payable in semi-annual installments. The right to payment of dividends is cumulative to the extent that the dividends not paid must be paid in full before dividends can be paid on common stock.</w:t>
      </w:r>
    </w:p>
    <w:p>
      <w:pPr>
        <w:spacing w:after="0" w:line="175"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Holders of AFG common stock are entitled to share in the dividends that the board of directors validly declares from legally available funds. Currently, AFG pays an annual dividend of $0.50, payable quarterly.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PREFERENCE</w:t>
      </w:r>
    </w:p>
    <w:p>
      <w:pPr>
        <w:spacing w:after="0" w:line="173"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On liquidation, the holder of each share of Series J Preferred Stock would be entitled to $25.00 plus accrued dividends in preference to distributions to AFG, as holder of all outstanding shares of AFC common stock.</w:t>
      </w:r>
    </w:p>
    <w:p>
      <w:pPr>
        <w:spacing w:after="0" w:line="161"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If AFG liquidates, holders of AFG common stock also are entitled to participate ratably in the assets remaining after AFG pays its liabilities and preferred stock liquidation preferences.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1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VOTING RIGHTS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Each share of Series J Preferred Stock is entitled to one vote on all matters voted upon by shareholders, and the preferred shares vote with AFC common shareholders on all matters presented to shareholders. As a class, the Series J Preferred Stock possess approximately 21% of the voting power of AFC, voting one vote per share. In addition, in the event of an arrearage in the payment of dividends for each of four or more consecutive semi-annual payments, the number of directors of AFC shall be increased by two and the holders of the Series J Preferred Stock shall have the right, voting as a class, to elect directors to fill the newly created directorships. Holders of Series J Preferred Stock have no rights to vote cumulatively in the election of directors.</w:t>
      </w:r>
    </w:p>
    <w:p>
      <w:pPr>
        <w:spacing w:after="0" w:line="16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Holders of AFG common stock are entitled to one vote for each share held of record on all matters submitted to a vote of shareholders. Shareholders may cumulate their votes when electing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 CASH-OUT MERGER AT AFC'S OPTION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AFC may, at its option, call for redemption all or part of the Series J Preferred Stock at specified times and on specified terms. In addition, the terms of the Series J Preferred Stock contained in AFC's Articles of Incorporation permit AFC, at any time, to engage in a merger with another party, including an affiliate of AFC, pursuant to which each share of Series J Preferred Stock would receive in cash $25.00 plus accrued dividends. AFG common stock has no redemption provisions.</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SECURITY OWNERSHIP OF</w:t>
      </w:r>
    </w:p>
    <w:p>
      <w:pPr>
        <w:ind w:left="2100"/>
        <w:spacing w:after="0" w:line="237" w:lineRule="auto"/>
        <w:rPr>
          <w:sz w:val="20"/>
          <w:szCs w:val="20"/>
          <w:color w:val="auto"/>
        </w:rPr>
      </w:pPr>
      <w:r>
        <w:rPr>
          <w:rFonts w:ascii="Courier New" w:cs="Courier New" w:eastAsia="Courier New" w:hAnsi="Courier New"/>
          <w:sz w:val="15"/>
          <w:szCs w:val="15"/>
          <w:color w:val="auto"/>
        </w:rPr>
        <w:t>BENEFICIAL OWNERS AND MANAGEMENT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following table sets forth, as of June 30, 2003, information with respect to the beneficial ownership of AFG common stock by each person known by AFG to be the beneficial owner of more than five percent of the common stock, by each present director of AFG, by executive officers of AFG and by all directors and executive officers of AFG as a group. Unless otherwise indicated in the notes to this table, the shareholders listed in the table have sole voting and investment power with respect to shares beneficially owned by them.</w:t>
      </w:r>
    </w:p>
    <w:p>
      <w:pPr>
        <w:spacing w:after="0" w:line="200" w:lineRule="exact"/>
        <w:rPr>
          <w:sz w:val="20"/>
          <w:szCs w:val="20"/>
          <w:color w:val="auto"/>
        </w:rPr>
      </w:pPr>
    </w:p>
    <w:p>
      <w:pPr>
        <w:spacing w:after="0" w:line="296"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460" w:type="dxa"/>
            <w:vAlign w:val="bottom"/>
          </w:tcPr>
          <w:p>
            <w:pPr>
              <w:ind w:left="1040"/>
              <w:spacing w:after="0"/>
              <w:rPr>
                <w:sz w:val="20"/>
                <w:szCs w:val="20"/>
                <w:color w:val="auto"/>
              </w:rPr>
            </w:pPr>
            <w:r>
              <w:rPr>
                <w:rFonts w:ascii="Courier New" w:cs="Courier New" w:eastAsia="Courier New" w:hAnsi="Courier New"/>
                <w:sz w:val="15"/>
                <w:szCs w:val="15"/>
                <w:color w:val="auto"/>
              </w:rPr>
              <w:t>NAME OF BENEFICIAL OWNER</w:t>
            </w:r>
          </w:p>
        </w:tc>
        <w:tc>
          <w:tcPr>
            <w:tcW w:w="1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 OF SHARES</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PERCENT OF CLASS</w:t>
            </w:r>
          </w:p>
        </w:tc>
      </w:tr>
      <w:tr>
        <w:trPr>
          <w:trHeight w:val="168"/>
        </w:trPr>
        <w:tc>
          <w:tcPr>
            <w:tcW w:w="446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Carl H. Lindner (a)</w:t>
            </w:r>
          </w:p>
        </w:tc>
        <w:tc>
          <w:tcPr>
            <w:tcW w:w="1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8,661,754(b)</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12.7%</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Carl H. Lindner III (a)</w:t>
            </w:r>
          </w:p>
        </w:tc>
        <w:tc>
          <w:tcPr>
            <w:tcW w:w="1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6,462,181(c)</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S. Craig Lindner (a)</w:t>
            </w:r>
          </w:p>
        </w:tc>
        <w:tc>
          <w:tcPr>
            <w:tcW w:w="1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6,483,956(d)</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Keith E. Lindner (a)</w:t>
            </w:r>
          </w:p>
        </w:tc>
        <w:tc>
          <w:tcPr>
            <w:tcW w:w="1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6,483,956(e)</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Theodore H. Emmerich</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32,189</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E. Evans</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430,674</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R. Martin</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59,951</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W. Verity</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9,008</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A. Shutzer</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5,098</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Terry S. Jacobs</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6,098</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Keith A. Jensen</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139,093</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E. Mischell</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279,556</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Fred J. Runk</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427,755</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nominees and executive officers</w:t>
            </w:r>
          </w:p>
        </w:tc>
        <w:tc>
          <w:tcPr>
            <w:tcW w:w="19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as a group (13 persons)</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29,481,269</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43.2%</w:t>
            </w:r>
          </w:p>
        </w:tc>
      </w:tr>
      <w:tr>
        <w:trPr>
          <w:trHeight w:val="673"/>
        </w:trPr>
        <w:tc>
          <w:tcPr>
            <w:tcW w:w="446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-52-</w:t>
            </w: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7" w:name="page58"/>
    <w:bookmarkEnd w:id="57"/>
    <w:p>
      <w:pPr>
        <w:ind w:left="180" w:hanging="170"/>
        <w:spacing w:after="0"/>
        <w:tabs>
          <w:tab w:leader="none" w:pos="1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3" w:lineRule="exact"/>
        <w:rPr>
          <w:sz w:val="20"/>
          <w:szCs w:val="20"/>
          <w:color w:val="auto"/>
        </w:rPr>
      </w:pPr>
    </w:p>
    <w:p>
      <w:pPr>
        <w:ind w:left="800" w:right="3319" w:hanging="790"/>
        <w:spacing w:after="0" w:line="235" w:lineRule="auto"/>
        <w:tabs>
          <w:tab w:leader="none" w:pos="8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set forth for Carl H. Lindner, Carl H. Lindner III, S.C. Lindner and Keith E. Lindner and all directors and officers as a group constituted 12.7%, 9.5%, 9.5%, 9.5% and 43.2%, respectively, of the common stock outstanding at June 30, 2003.</w:t>
      </w:r>
    </w:p>
    <w:p>
      <w:pPr>
        <w:spacing w:after="0" w:line="175"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4,398,540 shares held by his spouse and 252,378 shares held in a charitable foundation over which Mr. Lindner has sole voting and dispositive power but no pecuniary interest. Excludes 2,407,264 shares held in a trust for the benefit of his family for which a third party acts as trustee with voting and dispositive power.</w:t>
      </w:r>
    </w:p>
    <w:p>
      <w:pPr>
        <w:spacing w:after="0" w:line="173"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19,826 shares held by his spouse individually or in a trust over which she has voting and dispositive power, 19,847 held by one of his children, 1,000,000 shares held by a limited liability company over which shares he holds dispositive but not voting power, and 650,633 shares which are held in various trusts for the benefit of his minor children for which Keith E. Lindner acts as trustee with voting and dispositive power.</w:t>
      </w:r>
    </w:p>
    <w:p>
      <w:pPr>
        <w:spacing w:after="0" w:line="175" w:lineRule="exact"/>
        <w:rPr>
          <w:rFonts w:ascii="Courier New" w:cs="Courier New" w:eastAsia="Courier New" w:hAnsi="Courier New"/>
          <w:sz w:val="15"/>
          <w:szCs w:val="15"/>
          <w:color w:val="auto"/>
        </w:rPr>
      </w:pPr>
    </w:p>
    <w:p>
      <w:pPr>
        <w:ind w:left="800" w:right="3239" w:hanging="790"/>
        <w:spacing w:after="0" w:line="255" w:lineRule="auto"/>
        <w:tabs>
          <w:tab w:leader="none" w:pos="8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76,144 shares held by his spouse as custodian for their minor children or in a trust over which she has voting and dispositive power, 26,144 shares held by two of his children, 1,000,000 shares held by a limited liability company over which shares he holds dispositive but not voting power, 1,248,730 shares held in a trust for the benefit of his children over which shares his spouse has dispositive but not voting power, and 776,910 shares which are held in various trusts for the benefit of his minor children for which Keith E. Lindner acts as trustee with voting and dispositive power.</w:t>
      </w:r>
    </w:p>
    <w:p>
      <w:pPr>
        <w:spacing w:after="0" w:line="165" w:lineRule="exact"/>
        <w:rPr>
          <w:rFonts w:ascii="Courier New" w:cs="Courier New" w:eastAsia="Courier New" w:hAnsi="Courier New"/>
          <w:sz w:val="14"/>
          <w:szCs w:val="14"/>
          <w:color w:val="auto"/>
        </w:rPr>
      </w:pPr>
    </w:p>
    <w:p>
      <w:pPr>
        <w:ind w:left="800" w:right="3239" w:hanging="790"/>
        <w:spacing w:after="0" w:line="255" w:lineRule="auto"/>
        <w:tabs>
          <w:tab w:leader="none" w:pos="8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341 shares held in a trust over which his spouse shares voting and dispositive power with an individual not affiliated with AFG, 2,226 shares held in a trust over which he shares voting and dispositive power with an individual not affiliated with AFG, 1,500,000 shares held by a limited liability company over which shares he holds dispositive but not voting power, and 2,473,709 shares held in a trust for the benefit of his children over which shares his spouse has dispositive but not voting power, but excludes 1,427,543 shares (described in footnotes (c) and (d) above) which are held in various trusts for the benefit of the minor children of his brothers, Carl H. Lindner III and S. Craig Lindner, over which Keith E. Lindner has sole voting and dispositive power but no pecuniary interest.</w:t>
      </w:r>
    </w:p>
    <w:p>
      <w:pPr>
        <w:spacing w:after="0" w:line="16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following table sets forth, as of June 30, 2003, information with respect to the beneficial ownership of AFC common stock and Series J Preferred Stock by each person known by AFC to be the beneficial owner of more than five percent of the common stock, by each present director of AFC, by executive officers of AFC and by all directors and executive officers of AFC as a group. Unless otherwise indicated in the notes to this table, the shareholders listed in the table have sole voting and investment power with respect to shares beneficially owned by them.</w:t>
      </w:r>
    </w:p>
    <w:p>
      <w:pPr>
        <w:spacing w:after="0" w:line="200" w:lineRule="exact"/>
        <w:rPr>
          <w:sz w:val="20"/>
          <w:szCs w:val="20"/>
          <w:color w:val="auto"/>
        </w:rPr>
      </w:pPr>
    </w:p>
    <w:p>
      <w:pPr>
        <w:spacing w:after="0" w:line="307"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840" w:type="dxa"/>
            <w:vAlign w:val="bottom"/>
          </w:tcPr>
          <w:p>
            <w:pPr>
              <w:ind w:left="1040"/>
              <w:spacing w:after="0"/>
              <w:rPr>
                <w:sz w:val="20"/>
                <w:szCs w:val="20"/>
                <w:color w:val="auto"/>
              </w:rPr>
            </w:pPr>
            <w:r>
              <w:rPr>
                <w:rFonts w:ascii="Courier New" w:cs="Courier New" w:eastAsia="Courier New" w:hAnsi="Courier New"/>
                <w:sz w:val="15"/>
                <w:szCs w:val="15"/>
                <w:color w:val="auto"/>
              </w:rPr>
              <w:t>NAME OF BENEFICIAL OWNER</w:t>
            </w:r>
          </w:p>
        </w:tc>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NO OF SHARES(1)</w:t>
            </w:r>
          </w:p>
        </w:tc>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rPr>
              <w:t>PERCENT OF CLASS(1)</w:t>
            </w:r>
          </w:p>
        </w:tc>
      </w:tr>
      <w:tr>
        <w:trPr>
          <w:trHeight w:val="168"/>
        </w:trPr>
        <w:tc>
          <w:tcPr>
            <w:tcW w:w="38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40" w:type="dxa"/>
            <w:vAlign w:val="bottom"/>
          </w:tcPr>
          <w:p>
            <w:pPr>
              <w:spacing w:after="0"/>
              <w:rPr>
                <w:sz w:val="20"/>
                <w:szCs w:val="20"/>
                <w:color w:val="auto"/>
              </w:rPr>
            </w:pPr>
            <w:r>
              <w:rPr>
                <w:rFonts w:ascii="Courier New" w:cs="Courier New" w:eastAsia="Courier New" w:hAnsi="Courier New"/>
                <w:sz w:val="15"/>
                <w:szCs w:val="15"/>
                <w:color w:val="auto"/>
              </w:rPr>
              <w:t>American Financial Group, Inc.(2)</w:t>
            </w:r>
          </w:p>
        </w:tc>
        <w:tc>
          <w:tcPr>
            <w:tcW w:w="2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10,593,000</w:t>
            </w:r>
          </w:p>
        </w:tc>
        <w:tc>
          <w:tcPr>
            <w:tcW w:w="2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R. Martin</w:t>
            </w:r>
          </w:p>
        </w:tc>
        <w:tc>
          <w:tcPr>
            <w:tcW w:w="2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40,126</w:t>
            </w:r>
          </w:p>
        </w:tc>
        <w:tc>
          <w:tcPr>
            <w:tcW w:w="21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6"/>
              </w:rPr>
              <w:t>1.4</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Fred J. Runk</w:t>
            </w:r>
          </w:p>
        </w:tc>
        <w:tc>
          <w:tcPr>
            <w:tcW w:w="2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7,817</w:t>
            </w:r>
          </w:p>
        </w:tc>
        <w:tc>
          <w:tcPr>
            <w:tcW w:w="21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E. Mischell</w:t>
            </w:r>
          </w:p>
        </w:tc>
        <w:tc>
          <w:tcPr>
            <w:tcW w:w="2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15,551</w:t>
            </w:r>
          </w:p>
        </w:tc>
        <w:tc>
          <w:tcPr>
            <w:tcW w:w="21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w:t>
            </w:r>
          </w:p>
        </w:tc>
        <w:tc>
          <w:tcPr>
            <w:tcW w:w="24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officers as a group</w:t>
            </w:r>
          </w:p>
        </w:tc>
        <w:tc>
          <w:tcPr>
            <w:tcW w:w="2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63,494</w:t>
            </w:r>
          </w:p>
        </w:tc>
        <w:tc>
          <w:tcPr>
            <w:tcW w:w="21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6"/>
              </w:rPr>
              <w:t>2.2</w:t>
            </w:r>
          </w:p>
        </w:tc>
      </w:tr>
    </w:tbl>
    <w:p>
      <w:pPr>
        <w:spacing w:after="0" w:line="341" w:lineRule="exact"/>
        <w:rPr>
          <w:sz w:val="20"/>
          <w:szCs w:val="20"/>
          <w:color w:val="auto"/>
        </w:rPr>
      </w:pPr>
    </w:p>
    <w:p>
      <w:pPr>
        <w:ind w:left="800" w:right="3839" w:hanging="790"/>
        <w:spacing w:after="0" w:line="256" w:lineRule="auto"/>
        <w:tabs>
          <w:tab w:leader="none" w:pos="8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Refers to the common stock of AFC beneficially owned by American Financial Group, Inc. Refers to the Series J Preferred Stock beneficially owned by William R. Martin, Fred J. Runk, Thomas E. Mischell and all directors and executive officers as a group.</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17" w:right="1440" w:bottom="1440" w:gutter="0" w:footer="0" w:header="0"/>
        </w:sectPr>
      </w:pPr>
    </w:p>
    <w:bookmarkStart w:id="58" w:name="page59"/>
    <w:bookmarkEnd w:id="58"/>
    <w:p>
      <w:pPr>
        <w:ind w:left="800" w:right="3499" w:hanging="790"/>
        <w:spacing w:after="0" w:line="234" w:lineRule="auto"/>
        <w:tabs>
          <w:tab w:leader="none" w:pos="8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Lindner Family may be deemed to be the beneficial owner of these shares of AFC common stock.</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The legality of the AFG common stock offered hereby will be passed upon for AFG by Keating, Muething &amp; Klekamp, P.L.L., Cincinnati, Ohio.</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Ernst &amp; Young LLP, independent auditors, have audited AFG's and AFC's consolidated financial statements and schedules included in their respective Annual Reports on Form 10-K for the year ended December 31, 2002, as set forth in its reports, which are incorporated by reference or presented in this proxy statement/prospectus. AFG's and AFC's financial statements and schedules are incorporated by reference or presented in reliance on Ernst &amp; Young LLP's report, given on their authority as experts in accounting and auditing.</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SHAREHOLDER PROPOSALS FOR 2003 ANNUAL MEETING</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accordance with AFC's Regulations, the only candidates eligible for election at a meeting of shareholders are candidates nominated by or at the direction of the board of directors and candidates nominated at the meeting by a shareholder who has complied with the procedures set forth in the Regulations. Shareholders will be afforded a reasonable opportunity at the meeting to nominate candidates for the office of director. However, the Regulations require that a shareholder wishing to nominate a director candidate must have first given the Secretary of AFC at least five and not more than thirty days prior written notice setting forth or accompanied by (1) the name and residence of the shareholder and of each nominee specified in the notice, (2) a representation that the shareholder was a holder of record of AFC's voting stock and intended to appear, in person or by proxy, at the meeting to nominate the persons specified in the notice and (3) the consent of each such nominee to serve as director if so elected.</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AFC has not held its 2003 annual meeting of shareholders and will not hold the annual meeting if the AFC merger is completed. If the AFC merger is not completed, AFC will hold its 2003 annual meeting of shareholders as soon as practicable after the special meeting. The proxy form used by AFC for its annual meeting typically grants authority to management's proxies to vote in their discretion on any matters that come before the meeting as to which adequate notice has not been received. In order for a notice to be deemed adequate for the 2003 annual meeting, it must have been received by March 16, 2003. In order for a proposal to be considered for inclusion in AFC's proxy statement for that meeting, it must have been received by December 31, 2002.</w:t>
      </w:r>
    </w:p>
    <w:p>
      <w:pPr>
        <w:spacing w:after="0" w:line="17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AFG and AFC each file reports, proxy statements and other information with the SEC. You may read and copy any reports, statements or other information that AFG and AFC file at the SEC's public reference rooms in Washington, D.C., New York, New York and Chicago, Illinois. (The address of the public reference room in Washington, D.C. is 450 Fifth Street, N.W., Washington, D.C. 20549). Please call the SEC at 1-800-SEC-0330 for further information on the public reference rooms. AFG's and AFC's public filings are also available to the public from commercial document retrieval services and at the Internet World Wide Web site maintained by the SEC at "http://www.sec.gov." Reports, proxy statements and other information regarding AFG may be inspected at the offices of the New York Stock Exchange, 20 Broad Street, New York, New York 10005. Also, AFG's reports, proxy statements and other information is available on its Internet World Wide Web site located at www.amfnl.com.</w:t>
      </w:r>
    </w:p>
    <w:p>
      <w:pPr>
        <w:spacing w:after="0" w:line="164"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AFG has filed a Registration Statement with the SEC to register the shares of AFG common stock to be issued to holders of AFC Series J Preferred Stock in the reorganization. This document is a part of the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4" w:right="1440" w:bottom="1440" w:gutter="0" w:footer="0" w:header="0"/>
        </w:sectPr>
      </w:pPr>
    </w:p>
    <w:bookmarkStart w:id="59" w:name="page60"/>
    <w:bookmarkEnd w:id="59"/>
    <w:p>
      <w:pPr>
        <w:ind w:right="3499"/>
        <w:spacing w:after="0" w:line="234" w:lineRule="auto"/>
        <w:rPr>
          <w:sz w:val="20"/>
          <w:szCs w:val="20"/>
          <w:color w:val="auto"/>
        </w:rPr>
      </w:pPr>
      <w:r>
        <w:rPr>
          <w:rFonts w:ascii="Courier New" w:cs="Courier New" w:eastAsia="Courier New" w:hAnsi="Courier New"/>
          <w:sz w:val="15"/>
          <w:szCs w:val="15"/>
          <w:color w:val="auto"/>
        </w:rPr>
        <w:t>Registration Statement and constitutes a prospectus of AFG as well as a proxy statement of AFC for the special meeting.</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As allowed by SEC rules, this document does not contain all information that shareholders can find in the Registration Statement or the exhibits to the Registration Statement.</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SEC allows AFG and AFC to "incorporate by reference" information into this document, which means that AFG and AFC can disclose important information to you by referring you to another document filed separately with the SEC. The information incorporated by reference is deemed to be part of this document, except for any information superseded by information contained directly in the document. This document incorporates by reference the documents set forth below that AFG and AFC have previously filed with the SEC. These documents contain important information about AFG and AFC and their respective financial condition.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AFG SEC FILINGS:</w:t>
      </w:r>
    </w:p>
    <w:p>
      <w:pPr>
        <w:spacing w:after="0" w:line="173" w:lineRule="exact"/>
        <w:rPr>
          <w:sz w:val="20"/>
          <w:szCs w:val="20"/>
          <w:color w:val="auto"/>
        </w:rPr>
      </w:pPr>
    </w:p>
    <w:p>
      <w:pPr>
        <w:ind w:left="1320" w:right="3239" w:hanging="523"/>
        <w:spacing w:after="0" w:line="234" w:lineRule="auto"/>
        <w:tabs>
          <w:tab w:leader="none" w:pos="13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as amended, for the fiscal year ended December 31, 2002</w:t>
      </w:r>
    </w:p>
    <w:p>
      <w:pPr>
        <w:spacing w:after="0" w:line="173" w:lineRule="exact"/>
        <w:rPr>
          <w:rFonts w:ascii="Courier New" w:cs="Courier New" w:eastAsia="Courier New" w:hAnsi="Courier New"/>
          <w:sz w:val="15"/>
          <w:szCs w:val="15"/>
          <w:color w:val="auto"/>
        </w:rPr>
      </w:pPr>
    </w:p>
    <w:p>
      <w:pPr>
        <w:ind w:left="1320" w:right="3239" w:hanging="523"/>
        <w:spacing w:after="0" w:line="234" w:lineRule="auto"/>
        <w:tabs>
          <w:tab w:leader="none" w:pos="13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as amended, for the fiscal quarter ended March 31, 2003</w:t>
      </w:r>
    </w:p>
    <w:p>
      <w:pPr>
        <w:spacing w:after="0" w:line="173" w:lineRule="exact"/>
        <w:rPr>
          <w:rFonts w:ascii="Courier New" w:cs="Courier New" w:eastAsia="Courier New" w:hAnsi="Courier New"/>
          <w:sz w:val="15"/>
          <w:szCs w:val="15"/>
          <w:color w:val="auto"/>
        </w:rPr>
      </w:pPr>
    </w:p>
    <w:p>
      <w:pPr>
        <w:ind w:left="1320" w:right="3239" w:hanging="523"/>
        <w:spacing w:after="0" w:line="234" w:lineRule="auto"/>
        <w:tabs>
          <w:tab w:leader="none" w:pos="13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Reports on Form 8-K dated February 19, 2003, May 1, 2003, May 27, 2003 and July 7, 2003</w:t>
      </w:r>
    </w:p>
    <w:p>
      <w:pPr>
        <w:spacing w:after="0" w:line="173" w:lineRule="exact"/>
        <w:rPr>
          <w:rFonts w:ascii="Courier New" w:cs="Courier New" w:eastAsia="Courier New" w:hAnsi="Courier New"/>
          <w:sz w:val="15"/>
          <w:szCs w:val="15"/>
          <w:color w:val="auto"/>
        </w:rPr>
      </w:pPr>
    </w:p>
    <w:p>
      <w:pPr>
        <w:ind w:left="1320" w:right="3579" w:hanging="523"/>
        <w:spacing w:after="0" w:line="234" w:lineRule="auto"/>
        <w:tabs>
          <w:tab w:leader="none" w:pos="13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the Form 8-A filed with the SEC on November 23,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AFC SEC FILINGS:</w:t>
      </w:r>
    </w:p>
    <w:p>
      <w:pPr>
        <w:spacing w:after="0" w:line="173" w:lineRule="exact"/>
        <w:rPr>
          <w:sz w:val="20"/>
          <w:szCs w:val="20"/>
          <w:color w:val="auto"/>
        </w:rPr>
      </w:pPr>
    </w:p>
    <w:p>
      <w:pPr>
        <w:ind w:left="1320" w:right="3239" w:hanging="523"/>
        <w:spacing w:after="0" w:line="234" w:lineRule="auto"/>
        <w:tabs>
          <w:tab w:leader="none" w:pos="13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as amended, for the fiscal year ended December 31, 2002</w:t>
      </w:r>
    </w:p>
    <w:p>
      <w:pPr>
        <w:spacing w:after="0" w:line="173" w:lineRule="exact"/>
        <w:rPr>
          <w:rFonts w:ascii="Courier New" w:cs="Courier New" w:eastAsia="Courier New" w:hAnsi="Courier New"/>
          <w:sz w:val="15"/>
          <w:szCs w:val="15"/>
          <w:color w:val="auto"/>
        </w:rPr>
      </w:pPr>
    </w:p>
    <w:p>
      <w:pPr>
        <w:ind w:left="1320" w:right="3239" w:hanging="523"/>
        <w:spacing w:after="0" w:line="234" w:lineRule="auto"/>
        <w:tabs>
          <w:tab w:leader="none" w:pos="13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as amended, for the fiscal quarter ended March 31, 2003</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dated July 7, 2003</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AFG is also incorporating by reference additional documents that it may file with the SEC between the date of this document and the date of the special meeting. These include periodic reports, such as an Annual Report on Form 10-K, Quarterly Report on Form 10-Q and Current Reports on Form 8-K, and any amendments to these reports, as well as proxy statements.</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If you are a shareholder of AFG or AFC, you can obtain any of the documents incorporated by reference through AFG and AFC, respectively, or from the SEC or the SEC's Internet World Wide Web site described above. Documents incorporated by reference are available from AFG and AFC without charge, excluding all exhibits. Shareholders may obtain documents incorporated by reference in this document by requesting them in writing or by telephone from AFG and AFC at the following address: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James C. Kennedy</w:t>
      </w:r>
    </w:p>
    <w:p>
      <w:pPr>
        <w:ind w:left="1580"/>
        <w:spacing w:after="0" w:line="237" w:lineRule="auto"/>
        <w:rPr>
          <w:sz w:val="20"/>
          <w:szCs w:val="20"/>
          <w:color w:val="auto"/>
        </w:rPr>
      </w:pPr>
      <w:r>
        <w:rPr>
          <w:rFonts w:ascii="Courier New" w:cs="Courier New" w:eastAsia="Courier New" w:hAnsi="Courier New"/>
          <w:sz w:val="15"/>
          <w:szCs w:val="15"/>
          <w:color w:val="auto"/>
        </w:rPr>
        <w:t>Vice President, Deputy General Counsel and Secretary</w:t>
      </w:r>
    </w:p>
    <w:p>
      <w:pPr>
        <w:ind w:left="1580"/>
        <w:spacing w:after="0" w:line="238" w:lineRule="auto"/>
        <w:rPr>
          <w:sz w:val="20"/>
          <w:szCs w:val="20"/>
          <w:color w:val="auto"/>
        </w:rPr>
      </w:pPr>
      <w:r>
        <w:rPr>
          <w:rFonts w:ascii="Courier New" w:cs="Courier New" w:eastAsia="Courier New" w:hAnsi="Courier New"/>
          <w:sz w:val="15"/>
          <w:szCs w:val="15"/>
          <w:color w:val="auto"/>
        </w:rPr>
        <w:t>American Financial Corporation</w:t>
      </w:r>
    </w:p>
    <w:p>
      <w:pPr>
        <w:ind w:left="1580"/>
        <w:spacing w:after="0" w:line="237" w:lineRule="auto"/>
        <w:rPr>
          <w:sz w:val="20"/>
          <w:szCs w:val="20"/>
          <w:color w:val="auto"/>
        </w:rPr>
      </w:pPr>
      <w:r>
        <w:rPr>
          <w:rFonts w:ascii="Courier New" w:cs="Courier New" w:eastAsia="Courier New" w:hAnsi="Courier New"/>
          <w:sz w:val="15"/>
          <w:szCs w:val="15"/>
          <w:color w:val="auto"/>
        </w:rPr>
        <w:t>American Financial Group, Inc.</w:t>
      </w:r>
    </w:p>
    <w:p>
      <w:pPr>
        <w:ind w:left="1580"/>
        <w:spacing w:after="0" w:line="238" w:lineRule="auto"/>
        <w:rPr>
          <w:sz w:val="20"/>
          <w:szCs w:val="20"/>
          <w:color w:val="auto"/>
        </w:rPr>
      </w:pPr>
      <w:r>
        <w:rPr>
          <w:rFonts w:ascii="Courier New" w:cs="Courier New" w:eastAsia="Courier New" w:hAnsi="Courier New"/>
          <w:sz w:val="15"/>
          <w:szCs w:val="15"/>
          <w:color w:val="auto"/>
        </w:rPr>
        <w:t>One East Fourth Street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24" w:right="1440" w:bottom="1440" w:gutter="0" w:footer="0" w:header="0"/>
        </w:sectPr>
      </w:pPr>
    </w:p>
    <w:bookmarkStart w:id="60" w:name="page61"/>
    <w:bookmarkEnd w:id="60"/>
    <w:p>
      <w:pPr>
        <w:ind w:left="1580"/>
        <w:spacing w:after="0"/>
        <w:tabs>
          <w:tab w:leader="none" w:pos="314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ind w:left="1580"/>
        <w:spacing w:after="0" w:line="237" w:lineRule="auto"/>
        <w:rPr>
          <w:sz w:val="20"/>
          <w:szCs w:val="20"/>
          <w:color w:val="auto"/>
        </w:rPr>
      </w:pPr>
      <w:r>
        <w:rPr>
          <w:rFonts w:ascii="Courier New" w:cs="Courier New" w:eastAsia="Courier New" w:hAnsi="Courier New"/>
          <w:sz w:val="15"/>
          <w:szCs w:val="15"/>
          <w:color w:val="auto"/>
        </w:rPr>
        <w:t>(513) 579-2538</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If you would like to request documents from AFG or AFC, please do so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 2003 to receive them before the special meeting. If you</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request any such documents, the companies will mail them to you by first-class mail, or other equally prompt means, within one business day of receipt of your request.</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YOU SHOULD RELY ONLY ON THE INFORMATION CONTAINED OR INCORPORATED BY REFERENCE IN THIS DOCUMENT TO VOTE YOUR SHARES AT THE SPECIAL MEETING. AFG AND AFC HAVE NOT AUTHORIZED ANYONE TO PROVIDE YOU WITH INFORMATION THAT IS DIFFERENT FROM WHAT IS CONTAINED IN THIS DOCUMENT. YOU SHOULD NOT ASSUME THAT THE INFORMATION CONTAINED IN THE DOCUMENT IS ACCURATE AS OF ANY DATE OTHER THAN THE DATE OF THIS DOCUMENT, AND NEITHER THE MAILING OF THIS DOCUMENT TO SHAREHOLDERS NOR THE ISSUANCE OF AFC'S SECURITIES IN THE REORGANIZATION SHALL CREATE ANY IMPLICATION TO THE CONTRARY.</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17" w:right="1440" w:bottom="1440" w:gutter="0" w:footer="0" w:header="0"/>
        </w:sectPr>
      </w:pPr>
    </w:p>
    <w:bookmarkStart w:id="61" w:name="page62"/>
    <w:bookmarkEnd w:id="61"/>
    <w:p>
      <w:pPr>
        <w:ind w:left="2280"/>
        <w:spacing w:after="0"/>
        <w:rPr>
          <w:sz w:val="20"/>
          <w:szCs w:val="20"/>
          <w:color w:val="auto"/>
        </w:rPr>
      </w:pPr>
      <w:r>
        <w:rPr>
          <w:rFonts w:ascii="Courier New" w:cs="Courier New" w:eastAsia="Courier New" w:hAnsi="Courier New"/>
          <w:sz w:val="15"/>
          <w:szCs w:val="15"/>
          <w:color w:val="auto"/>
        </w:rPr>
        <w:t>FINANCIAL INFORMATION FOR AFC</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following financial information has been excerpted from AFC's March 31, 2003, Form 10-Q and December 31, 2002, Form 10-K, as amended, which are incorporated herein be reference.</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MANAGEMENT'S DISCUSSION AND ANALYSIS</w:t>
      </w:r>
    </w:p>
    <w:p>
      <w:pPr>
        <w:ind w:left="1400"/>
        <w:spacing w:after="0" w:line="237" w:lineRule="auto"/>
        <w:rPr>
          <w:sz w:val="20"/>
          <w:szCs w:val="20"/>
          <w:color w:val="auto"/>
        </w:rPr>
      </w:pPr>
      <w:r>
        <w:rPr>
          <w:rFonts w:ascii="Courier New" w:cs="Courier New" w:eastAsia="Courier New" w:hAnsi="Courier New"/>
          <w:sz w:val="15"/>
          <w:szCs w:val="15"/>
          <w:color w:val="auto"/>
        </w:rPr>
        <w:t>OF FINANCIAL CONDITION AND RESULTS OF OPERATIONS</w:t>
      </w:r>
    </w:p>
    <w:p>
      <w:pPr>
        <w:ind w:left="2100"/>
        <w:spacing w:after="0" w:line="238" w:lineRule="auto"/>
        <w:rPr>
          <w:sz w:val="20"/>
          <w:szCs w:val="20"/>
          <w:color w:val="auto"/>
        </w:rPr>
      </w:pPr>
      <w:r>
        <w:rPr>
          <w:rFonts w:ascii="Courier New" w:cs="Courier New" w:eastAsia="Courier New" w:hAnsi="Courier New"/>
          <w:sz w:val="15"/>
          <w:szCs w:val="15"/>
          <w:color w:val="auto"/>
        </w:rPr>
        <w:t>THREE MONTHS ENDED MARCH 31, 2003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AFC and American Premier are organized as holding companies with almost all of their operations being conducted by subsidiaries. These parent corporations, however, have continuing cash needs for administrative expenses, the payment of principal and interest on borrowings, shareholder dividends, and taxes. Therefore, certain analyses are best done on a parent only basis while others are best done on a total enterprise basis. In addition, since most of its businesses are financial in nature, AFC does not prepare its consolidated financial statements using a current-noncurrent format. Consequently, certain traditional ratios and financial analysis tests are not meaningful.</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FORWARD-LOOKING STATEMENTS The Private Securities Litigation Reform Act of 1995 provides a safe harbor for forward-looking statements. Some of the forward-looking statements can be identified by the use of forward-looking words such as "anticipates", "believes", "expects", "estimates", "intends", "plans", "seeks", "could", "may", "should", "will" or the negative version of those words or other comparable terminology. Examples of such forward-looking statements include statements relating to: expectations concerning market and other conditions and their effect on future premiums, revenues, earnings and investment activities; recoverability of asset values; expected losses and the adequacy of reserves for asbestos, environmental pollution and mass tort claims; rate increases, improved loss experience and expected expense savings resulting from recent initiatives.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Actual results could differ materially from those contained in or implied by such forward-looking statements for a variety of factors including:</w:t>
      </w:r>
    </w:p>
    <w:p>
      <w:pPr>
        <w:spacing w:after="0" w:line="173" w:lineRule="exact"/>
        <w:rPr>
          <w:sz w:val="20"/>
          <w:szCs w:val="20"/>
          <w:color w:val="auto"/>
        </w:rPr>
      </w:pPr>
    </w:p>
    <w:p>
      <w:pPr>
        <w:ind w:left="880" w:right="331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economic conditions, including interest rates, performance of securities markets, and the availability of capital;</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actions;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legal environment;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law changes;</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levels of natural catastrophes, terrorist events, incidents of war and other major losses;</w:t>
      </w:r>
    </w:p>
    <w:p>
      <w:pPr>
        <w:spacing w:after="0" w:line="173"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ultimate amount of liabilities associated with certain asbestos and environmental-related claims;</w:t>
      </w:r>
    </w:p>
    <w:p>
      <w:pPr>
        <w:spacing w:after="0" w:line="173" w:lineRule="exact"/>
        <w:rPr>
          <w:rFonts w:ascii="Courier New" w:cs="Courier New" w:eastAsia="Courier New" w:hAnsi="Courier New"/>
          <w:sz w:val="15"/>
          <w:szCs w:val="15"/>
          <w:color w:val="auto"/>
        </w:rPr>
      </w:pPr>
    </w:p>
    <w:p>
      <w:pPr>
        <w:ind w:left="880" w:right="401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unpredictability of possible future litigation if certain settlements do not become effective;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adequacy of insurance reserves;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mortality and morbidity;</w:t>
      </w:r>
    </w:p>
    <w:p>
      <w:pPr>
        <w:spacing w:after="0" w:line="172"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reinsurance and ability of reinsurers to pay their obligations;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pressures, including the ability to obtain rate increases;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debt and claims paying ratings.</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forward-looking statements herein are made only as of the date of this report. AFC assumes no obligation to publicly update any forward-looking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449"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Significant accounting policies are summarized in Note A to the financial statements. The preparation of financial statements requires management to make estimates and assumptions that can have a significant effect on amounts reported in the financial statements. As more information becomes known, these estimates and assumptions could change and thus impact amounts reported in the future. Management believes that the establishment of insurance reserves, especially asbestos and environmental-related reserves, and the determination of "other than temporary" impairment on investments are the two areas where the degree of judgment required to determine amounts recorded in the financial statements make the accounting policies critical. For further discussion of these policies, see "Liquidity and Capital Resources - Investments" and "Liquidity and Capital Resources - Uncertainties."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RATIOS AFC's debt to total capital ratio at the parent holding company level (excluding amounts due AFG) was approximately 6% at March 31, 2003, and 13% at December 31, 2002. Including amounts due AFG, the ratio was 19% at March 31, 2003, and 25% at December 31, 2002.</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SOURCES OF FUNDS Management believes the parent holding companies have sufficient resources to meet their liquidity requirements, primarily through funds generated by their subsidiaries' operations. If funds provided by subsidiaries through dividends and tax payments are insufficient to meet fixed charges in any period, the holding companies would be required to generate cash through borrowings, sales of securities or other assets, or similar transactions.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AFC may borrow up to $280 million under the bank credit line; the line may be expanded to $300 million through the end of 2003. The line consists of two facilities: a 364-day revolving facility, extendable annually, for one-third of the total line and a three-year revolving facility for the remaining two-thirds. Amounts borrowed bear interest at rates ranging from 1.25% to 2.25% over LIBOR based on AFG's credit rating. This credit agreement provides ample liquidity and can be used to obtain funds for operating subsidiaries or, if necessary, for the parent companies. At March 31, 2003, there was $95 million borrowed under the line.</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INVESTMENTS AFC's investment portfolio at March 31, 2003, contained $11.4 billion in "Fixed maturities" and $251.2 million in "Other stocks", all carried at market value with unrealized gains and losses reported as a separate component of shareholders' equity on an after-tax basis. At March 31, 2003, AFC had pretax net unrealized gains of $454.6 million on fixed maturities and $90.2 million on other stocks.</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Approximately 93% of the fixed maturities held by AFC at March 31, 2003, were rated "investment grade" (credit rating of AAA to BBB) by nationally recognized rating agencies. Investment grade securities generally bear lower yields and lower degrees of risk than those that are unrated and noninvestment grade. Management believes that a high quality investment portfolio is more likely to generate a stable and predictable investment return.</w:t>
      </w:r>
    </w:p>
    <w:p>
      <w:pPr>
        <w:spacing w:after="0" w:line="16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Individual portfolio securities are sold creating gains or losses as market opportunities exist. Since all of these securities are carried at market value in the balance sheet, there is virtually no effect on liquidity or financial condition upon the sale and ultimate realization of unrealized gains and losses.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1122"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w w:val="98"/>
              </w:rPr>
              <w:t>Summarized information for the unrealized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gains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and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7"/>
              </w:rPr>
              <w:t>losses recorded</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in AFC's</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sheet at March 31, 2003,</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is shown</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in the</w:t>
            </w:r>
          </w:p>
        </w:tc>
        <w:tc>
          <w:tcPr>
            <w:tcW w:w="26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following table (dollars in</w:t>
            </w:r>
          </w:p>
        </w:tc>
      </w:tr>
      <w:tr>
        <w:trPr>
          <w:trHeight w:val="168"/>
        </w:trPr>
        <w:tc>
          <w:tcPr>
            <w:tcW w:w="4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millions). Approximately $133 million of "Fixed</w:t>
            </w:r>
          </w:p>
        </w:tc>
        <w:tc>
          <w:tcPr>
            <w:tcW w:w="1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maturities" and $16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million of</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stocks" had no unrealized</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gains or</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losses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March 31, 2003.</w:t>
            </w:r>
          </w:p>
        </w:tc>
        <w:tc>
          <w:tcPr>
            <w:tcW w:w="9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2920" w:type="dxa"/>
            <w:vAlign w:val="bottom"/>
            <w:gridSpan w:val="2"/>
          </w:tcPr>
          <w:p>
            <w:pPr>
              <w:jc w:val="center"/>
              <w:ind w:left="1007"/>
              <w:spacing w:after="0"/>
              <w:rPr>
                <w:sz w:val="20"/>
                <w:szCs w:val="20"/>
                <w:color w:val="auto"/>
              </w:rPr>
            </w:pPr>
            <w:r>
              <w:rPr>
                <w:rFonts w:ascii="Courier New" w:cs="Courier New" w:eastAsia="Courier New" w:hAnsi="Courier New"/>
                <w:sz w:val="15"/>
                <w:szCs w:val="15"/>
                <w:color w:val="auto"/>
                <w:w w:val="97"/>
              </w:rPr>
              <w:t>Securities</w:t>
            </w:r>
          </w:p>
        </w:tc>
        <w:tc>
          <w:tcPr>
            <w:tcW w:w="1360" w:type="dxa"/>
            <w:vAlign w:val="bottom"/>
            <w:gridSpan w:val="2"/>
          </w:tcPr>
          <w:p>
            <w:pPr>
              <w:jc w:val="center"/>
              <w:ind w:left="407"/>
              <w:spacing w:after="0"/>
              <w:rPr>
                <w:sz w:val="20"/>
                <w:szCs w:val="20"/>
                <w:color w:val="auto"/>
              </w:rPr>
            </w:pPr>
            <w:r>
              <w:rPr>
                <w:rFonts w:ascii="Courier New" w:cs="Courier New" w:eastAsia="Courier New" w:hAnsi="Courier New"/>
                <w:sz w:val="15"/>
                <w:szCs w:val="15"/>
                <w:color w:val="auto"/>
                <w:w w:val="97"/>
              </w:rPr>
              <w:t>Securities</w:t>
            </w:r>
          </w:p>
        </w:tc>
      </w:tr>
      <w:tr>
        <w:trPr>
          <w:trHeight w:val="168"/>
        </w:trPr>
        <w:tc>
          <w:tcPr>
            <w:tcW w:w="6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00" w:type="dxa"/>
            <w:vAlign w:val="bottom"/>
          </w:tcPr>
          <w:p>
            <w:pPr>
              <w:jc w:val="center"/>
              <w:ind w:right="667"/>
              <w:spacing w:after="0" w:line="168" w:lineRule="exact"/>
              <w:rPr>
                <w:sz w:val="20"/>
                <w:szCs w:val="20"/>
                <w:color w:val="auto"/>
              </w:rPr>
            </w:pPr>
            <w:r>
              <w:rPr>
                <w:rFonts w:ascii="Courier New" w:cs="Courier New" w:eastAsia="Courier New" w:hAnsi="Courier New"/>
                <w:sz w:val="15"/>
                <w:szCs w:val="15"/>
                <w:color w:val="auto"/>
                <w:w w:val="99"/>
              </w:rPr>
              <w:t>With</w:t>
            </w:r>
          </w:p>
        </w:tc>
        <w:tc>
          <w:tcPr>
            <w:tcW w:w="1360" w:type="dxa"/>
            <w:vAlign w:val="bottom"/>
            <w:gridSpan w:val="2"/>
          </w:tcPr>
          <w:p>
            <w:pPr>
              <w:jc w:val="center"/>
              <w:ind w:left="407"/>
              <w:spacing w:after="0" w:line="168" w:lineRule="exact"/>
              <w:rPr>
                <w:sz w:val="20"/>
                <w:szCs w:val="20"/>
                <w:color w:val="auto"/>
              </w:rPr>
            </w:pPr>
            <w:r>
              <w:rPr>
                <w:rFonts w:ascii="Courier New" w:cs="Courier New" w:eastAsia="Courier New" w:hAnsi="Courier New"/>
                <w:sz w:val="15"/>
                <w:szCs w:val="15"/>
                <w:color w:val="auto"/>
                <w:w w:val="99"/>
              </w:rPr>
              <w:t>With</w:t>
            </w:r>
          </w:p>
        </w:tc>
      </w:tr>
      <w:tr>
        <w:trPr>
          <w:trHeight w:val="168"/>
        </w:trPr>
        <w:tc>
          <w:tcPr>
            <w:tcW w:w="6040" w:type="dxa"/>
            <w:vAlign w:val="bottom"/>
          </w:tcPr>
          <w:p>
            <w:pPr>
              <w:spacing w:after="0"/>
              <w:rPr>
                <w:sz w:val="14"/>
                <w:szCs w:val="14"/>
                <w:color w:val="auto"/>
              </w:rPr>
            </w:pPr>
          </w:p>
        </w:tc>
        <w:tc>
          <w:tcPr>
            <w:tcW w:w="2920" w:type="dxa"/>
            <w:vAlign w:val="bottom"/>
            <w:gridSpan w:val="2"/>
          </w:tcPr>
          <w:p>
            <w:pPr>
              <w:jc w:val="center"/>
              <w:ind w:left="1007"/>
              <w:spacing w:after="0" w:line="168" w:lineRule="exact"/>
              <w:rPr>
                <w:sz w:val="20"/>
                <w:szCs w:val="20"/>
                <w:color w:val="auto"/>
              </w:rPr>
            </w:pPr>
            <w:r>
              <w:rPr>
                <w:rFonts w:ascii="Courier New" w:cs="Courier New" w:eastAsia="Courier New" w:hAnsi="Courier New"/>
                <w:sz w:val="15"/>
                <w:szCs w:val="15"/>
                <w:color w:val="auto"/>
                <w:w w:val="97"/>
              </w:rPr>
              <w:t>Unrealized</w:t>
            </w:r>
          </w:p>
        </w:tc>
        <w:tc>
          <w:tcPr>
            <w:tcW w:w="1360" w:type="dxa"/>
            <w:vAlign w:val="bottom"/>
            <w:gridSpan w:val="2"/>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Unrealized</w:t>
            </w:r>
          </w:p>
        </w:tc>
      </w:tr>
      <w:tr>
        <w:trPr>
          <w:trHeight w:val="168"/>
        </w:trPr>
        <w:tc>
          <w:tcPr>
            <w:tcW w:w="6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3"/>
              </w:rPr>
              <w:t>Gains</w:t>
            </w:r>
          </w:p>
        </w:tc>
        <w:tc>
          <w:tcPr>
            <w:tcW w:w="1360" w:type="dxa"/>
            <w:vAlign w:val="bottom"/>
            <w:gridSpan w:val="2"/>
          </w:tcPr>
          <w:p>
            <w:pPr>
              <w:jc w:val="center"/>
              <w:ind w:left="407"/>
              <w:spacing w:after="0" w:line="168" w:lineRule="exact"/>
              <w:rPr>
                <w:sz w:val="20"/>
                <w:szCs w:val="20"/>
                <w:color w:val="auto"/>
              </w:rPr>
            </w:pPr>
            <w:r>
              <w:rPr>
                <w:rFonts w:ascii="Courier New" w:cs="Courier New" w:eastAsia="Courier New" w:hAnsi="Courier New"/>
                <w:sz w:val="15"/>
                <w:szCs w:val="15"/>
                <w:color w:val="auto"/>
                <w:w w:val="96"/>
              </w:rPr>
              <w:t>Losses</w:t>
            </w:r>
          </w:p>
        </w:tc>
      </w:tr>
      <w:tr>
        <w:trPr>
          <w:trHeight w:val="168"/>
        </w:trPr>
        <w:tc>
          <w:tcPr>
            <w:tcW w:w="6040" w:type="dxa"/>
            <w:vAlign w:val="bottom"/>
          </w:tcPr>
          <w:p>
            <w:pPr>
              <w:spacing w:after="0"/>
              <w:rPr>
                <w:sz w:val="14"/>
                <w:szCs w:val="14"/>
                <w:color w:val="auto"/>
              </w:rPr>
            </w:pPr>
          </w:p>
        </w:tc>
        <w:tc>
          <w:tcPr>
            <w:tcW w:w="2920" w:type="dxa"/>
            <w:vAlign w:val="bottom"/>
            <w:gridSpan w:val="2"/>
          </w:tcPr>
          <w:p>
            <w:pPr>
              <w:jc w:val="center"/>
              <w:ind w:left="1007"/>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rPr>
              <w:t>Fixed Maturities</w:t>
            </w: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 value of securities</w:t>
            </w:r>
          </w:p>
        </w:tc>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10,232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1,080</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Amortized cost of securities</w:t>
            </w:r>
          </w:p>
        </w:tc>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9,692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1,165</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unrealized gain (loss)</w:t>
            </w:r>
          </w:p>
        </w:tc>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540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 value as % of amortized cost</w:t>
            </w:r>
          </w:p>
        </w:tc>
        <w:tc>
          <w:tcPr>
            <w:tcW w:w="18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w:t>
            </w:r>
          </w:p>
        </w:tc>
        <w:tc>
          <w:tcPr>
            <w:tcW w:w="8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of security positions</w:t>
            </w:r>
          </w:p>
        </w:tc>
        <w:tc>
          <w:tcPr>
            <w:tcW w:w="182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1,742</w:t>
            </w:r>
          </w:p>
        </w:tc>
        <w:tc>
          <w:tcPr>
            <w:tcW w:w="8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individually exceeding</w:t>
            </w: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 million gain or loss</w:t>
            </w:r>
          </w:p>
        </w:tc>
        <w:tc>
          <w:tcPr>
            <w:tcW w:w="182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w:t>
            </w:r>
          </w:p>
        </w:tc>
        <w:tc>
          <w:tcPr>
            <w:tcW w:w="8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Concentration of gains (losses) by</w:t>
            </w: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type or industry (exceeding 5% of</w:t>
            </w: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unrealized):</w:t>
            </w: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0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120.7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60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Banks and savings institutions</w:t>
            </w:r>
          </w:p>
        </w:tc>
        <w:tc>
          <w:tcPr>
            <w:tcW w:w="182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43.9</w:t>
            </w:r>
          </w:p>
        </w:tc>
        <w:tc>
          <w:tcPr>
            <w:tcW w:w="8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60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U.S. government and government agencies</w:t>
            </w:r>
          </w:p>
        </w:tc>
        <w:tc>
          <w:tcPr>
            <w:tcW w:w="182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41.2</w:t>
            </w:r>
          </w:p>
        </w:tc>
        <w:tc>
          <w:tcPr>
            <w:tcW w:w="84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Electric services</w:t>
            </w:r>
          </w:p>
        </w:tc>
        <w:tc>
          <w:tcPr>
            <w:tcW w:w="182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38.8</w:t>
            </w:r>
          </w:p>
        </w:tc>
        <w:tc>
          <w:tcPr>
            <w:tcW w:w="8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60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State and municipal</w:t>
            </w:r>
          </w:p>
        </w:tc>
        <w:tc>
          <w:tcPr>
            <w:tcW w:w="182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33.6</w:t>
            </w:r>
          </w:p>
        </w:tc>
        <w:tc>
          <w:tcPr>
            <w:tcW w:w="8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60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Asset-backed securities</w:t>
            </w:r>
          </w:p>
        </w:tc>
        <w:tc>
          <w:tcPr>
            <w:tcW w:w="182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15.0</w:t>
            </w:r>
          </w:p>
        </w:tc>
        <w:tc>
          <w:tcPr>
            <w:tcW w:w="8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60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Air transportation (generally collateralized)</w:t>
            </w:r>
          </w:p>
        </w:tc>
        <w:tc>
          <w:tcPr>
            <w:tcW w:w="182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4.3</w:t>
            </w:r>
          </w:p>
        </w:tc>
        <w:tc>
          <w:tcPr>
            <w:tcW w:w="8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(34.0)</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Percentage rated investment grade</w:t>
            </w:r>
          </w:p>
        </w:tc>
        <w:tc>
          <w:tcPr>
            <w:tcW w:w="18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96%</w:t>
            </w:r>
          </w:p>
        </w:tc>
        <w:tc>
          <w:tcPr>
            <w:tcW w:w="8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rPr>
              <w:t>Other Stocks</w:t>
            </w: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 value of securities</w:t>
            </w:r>
          </w:p>
        </w:tc>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securities</w:t>
            </w:r>
          </w:p>
        </w:tc>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unrealized gain (loss)</w:t>
            </w:r>
          </w:p>
        </w:tc>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 value as % of cost</w:t>
            </w:r>
          </w:p>
        </w:tc>
        <w:tc>
          <w:tcPr>
            <w:tcW w:w="18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181%</w:t>
            </w:r>
          </w:p>
        </w:tc>
        <w:tc>
          <w:tcPr>
            <w:tcW w:w="8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individually exceeding</w:t>
            </w: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 million gain or loss</w:t>
            </w:r>
          </w:p>
        </w:tc>
        <w:tc>
          <w:tcPr>
            <w:tcW w:w="182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w:t>
            </w:r>
          </w:p>
        </w:tc>
        <w:tc>
          <w:tcPr>
            <w:tcW w:w="84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200"/>
        <w:spacing w:after="0" w:line="235" w:lineRule="auto"/>
        <w:rPr>
          <w:sz w:val="20"/>
          <w:szCs w:val="20"/>
          <w:color w:val="auto"/>
        </w:rPr>
      </w:pPr>
      <w:r>
        <w:rPr>
          <w:rFonts w:ascii="Courier New" w:cs="Courier New" w:eastAsia="Courier New" w:hAnsi="Courier New"/>
          <w:sz w:val="15"/>
          <w:szCs w:val="15"/>
          <w:color w:val="auto"/>
        </w:rPr>
        <w:t>AFC's investment in equity securities of Provident Financial Group, a Cincinnati-based commercial banking and financial services company, represents $83 million of the $93 million in unrealized gains on other stocks at March 31, 2003.</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120"/>
          </w:cols>
          <w:pgMar w:left="220" w:top="1122" w:right="559" w:bottom="1440" w:gutter="0" w:footer="0" w:header="0"/>
        </w:sectPr>
      </w:pPr>
    </w:p>
    <w:bookmarkStart w:id="64" w:name="page65"/>
    <w:bookmarkEnd w:id="64"/>
    <w:p>
      <w:pPr>
        <w:ind w:right="3239"/>
        <w:spacing w:after="0" w:line="236" w:lineRule="auto"/>
        <w:rPr>
          <w:sz w:val="20"/>
          <w:szCs w:val="20"/>
          <w:color w:val="auto"/>
        </w:rPr>
      </w:pPr>
      <w:r>
        <w:rPr>
          <w:rFonts w:ascii="Courier New" w:cs="Courier New" w:eastAsia="Courier New" w:hAnsi="Courier New"/>
          <w:sz w:val="15"/>
          <w:szCs w:val="15"/>
          <w:color w:val="auto"/>
        </w:rPr>
        <w:t>The table below sets forth the scheduled maturities of fixed maturity securities at March 31, 2003, based on their market values. Asset backed securities and other securities with sinking funds are reported at average maturity. Actual maturities may differ from contractual maturities because certain securities may be called or prepaid by the issuers.</w:t>
      </w:r>
    </w:p>
    <w:p>
      <w:pPr>
        <w:spacing w:after="0" w:line="200" w:lineRule="exact"/>
        <w:rPr>
          <w:sz w:val="20"/>
          <w:szCs w:val="20"/>
          <w:color w:val="auto"/>
        </w:rPr>
      </w:pPr>
    </w:p>
    <w:p>
      <w:pPr>
        <w:spacing w:after="0" w:line="304"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284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7"/>
              </w:rPr>
              <w:t>Securities</w:t>
            </w:r>
          </w:p>
        </w:tc>
        <w:tc>
          <w:tcPr>
            <w:tcW w:w="144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5"/>
              </w:rPr>
              <w:t>Securities</w:t>
            </w:r>
          </w:p>
        </w:tc>
      </w:tr>
      <w:tr>
        <w:trPr>
          <w:trHeight w:val="168"/>
        </w:trPr>
        <w:tc>
          <w:tcPr>
            <w:tcW w:w="4540" w:type="dxa"/>
            <w:vAlign w:val="bottom"/>
          </w:tcPr>
          <w:p>
            <w:pPr>
              <w:spacing w:after="0"/>
              <w:rPr>
                <w:sz w:val="14"/>
                <w:szCs w:val="14"/>
                <w:color w:val="auto"/>
              </w:rPr>
            </w:pPr>
          </w:p>
        </w:tc>
        <w:tc>
          <w:tcPr>
            <w:tcW w:w="284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9"/>
              </w:rPr>
              <w:t>With</w:t>
            </w:r>
          </w:p>
        </w:tc>
        <w:tc>
          <w:tcPr>
            <w:tcW w:w="1440" w:type="dxa"/>
            <w:vAlign w:val="bottom"/>
          </w:tcPr>
          <w:p>
            <w:pPr>
              <w:jc w:val="center"/>
              <w:ind w:left="507"/>
              <w:spacing w:after="0" w:line="168" w:lineRule="exact"/>
              <w:rPr>
                <w:sz w:val="20"/>
                <w:szCs w:val="20"/>
                <w:color w:val="auto"/>
              </w:rPr>
            </w:pPr>
            <w:r>
              <w:rPr>
                <w:rFonts w:ascii="Courier New" w:cs="Courier New" w:eastAsia="Courier New" w:hAnsi="Courier New"/>
                <w:sz w:val="15"/>
                <w:szCs w:val="15"/>
                <w:color w:val="auto"/>
                <w:w w:val="94"/>
              </w:rPr>
              <w:t>With</w:t>
            </w:r>
          </w:p>
        </w:tc>
      </w:tr>
      <w:tr>
        <w:trPr>
          <w:trHeight w:val="168"/>
        </w:trPr>
        <w:tc>
          <w:tcPr>
            <w:tcW w:w="4540" w:type="dxa"/>
            <w:vAlign w:val="bottom"/>
          </w:tcPr>
          <w:p>
            <w:pPr>
              <w:spacing w:after="0"/>
              <w:rPr>
                <w:sz w:val="14"/>
                <w:szCs w:val="14"/>
                <w:color w:val="auto"/>
              </w:rPr>
            </w:pPr>
          </w:p>
        </w:tc>
        <w:tc>
          <w:tcPr>
            <w:tcW w:w="284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7"/>
              </w:rPr>
              <w:t>Unrealized</w:t>
            </w:r>
          </w:p>
        </w:tc>
        <w:tc>
          <w:tcPr>
            <w:tcW w:w="1440" w:type="dxa"/>
            <w:vAlign w:val="bottom"/>
          </w:tcPr>
          <w:p>
            <w:pPr>
              <w:jc w:val="center"/>
              <w:ind w:left="507"/>
              <w:spacing w:after="0" w:line="168" w:lineRule="exact"/>
              <w:rPr>
                <w:sz w:val="20"/>
                <w:szCs w:val="20"/>
                <w:color w:val="auto"/>
              </w:rPr>
            </w:pPr>
            <w:r>
              <w:rPr>
                <w:rFonts w:ascii="Courier New" w:cs="Courier New" w:eastAsia="Courier New" w:hAnsi="Courier New"/>
                <w:sz w:val="15"/>
                <w:szCs w:val="15"/>
                <w:color w:val="auto"/>
                <w:w w:val="95"/>
              </w:rPr>
              <w:t>Unrealized</w:t>
            </w:r>
          </w:p>
        </w:tc>
      </w:tr>
      <w:tr>
        <w:trPr>
          <w:trHeight w:val="168"/>
        </w:trPr>
        <w:tc>
          <w:tcPr>
            <w:tcW w:w="454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Maturity</w:t>
            </w:r>
          </w:p>
        </w:tc>
        <w:tc>
          <w:tcPr>
            <w:tcW w:w="28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Gains</w:t>
            </w:r>
          </w:p>
        </w:tc>
        <w:tc>
          <w:tcPr>
            <w:tcW w:w="1440" w:type="dxa"/>
            <w:vAlign w:val="bottom"/>
          </w:tcPr>
          <w:p>
            <w:pPr>
              <w:jc w:val="center"/>
              <w:ind w:left="507"/>
              <w:spacing w:after="0" w:line="168" w:lineRule="exact"/>
              <w:rPr>
                <w:sz w:val="20"/>
                <w:szCs w:val="20"/>
                <w:color w:val="auto"/>
              </w:rPr>
            </w:pPr>
            <w:r>
              <w:rPr>
                <w:rFonts w:ascii="Courier New" w:cs="Courier New" w:eastAsia="Courier New" w:hAnsi="Courier New"/>
                <w:sz w:val="15"/>
                <w:szCs w:val="15"/>
                <w:color w:val="auto"/>
                <w:w w:val="99"/>
              </w:rPr>
              <w:t>Losses</w:t>
            </w:r>
          </w:p>
        </w:tc>
      </w:tr>
      <w:tr>
        <w:trPr>
          <w:trHeight w:val="168"/>
        </w:trPr>
        <w:tc>
          <w:tcPr>
            <w:tcW w:w="4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84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tcPr>
          <w:p>
            <w:pPr>
              <w:jc w:val="center"/>
              <w:ind w:left="5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540" w:type="dxa"/>
            <w:vAlign w:val="bottom"/>
          </w:tcPr>
          <w:p>
            <w:pPr>
              <w:ind w:left="160"/>
              <w:spacing w:after="0"/>
              <w:rPr>
                <w:sz w:val="20"/>
                <w:szCs w:val="20"/>
                <w:color w:val="auto"/>
              </w:rPr>
            </w:pPr>
            <w:r>
              <w:rPr>
                <w:rFonts w:ascii="Courier New" w:cs="Courier New" w:eastAsia="Courier New" w:hAnsi="Courier New"/>
                <w:sz w:val="15"/>
                <w:szCs w:val="15"/>
                <w:color w:val="auto"/>
              </w:rPr>
              <w:t>One year or less</w:t>
            </w:r>
          </w:p>
        </w:tc>
        <w:tc>
          <w:tcPr>
            <w:tcW w:w="28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4%</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168"/>
        </w:trPr>
        <w:tc>
          <w:tcPr>
            <w:tcW w:w="4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After one year through five years</w:t>
            </w:r>
          </w:p>
        </w:tc>
        <w:tc>
          <w:tcPr>
            <w:tcW w:w="2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21</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After five years through ten years</w:t>
            </w:r>
          </w:p>
        </w:tc>
        <w:tc>
          <w:tcPr>
            <w:tcW w:w="2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33</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4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After ten years</w:t>
            </w:r>
          </w:p>
        </w:tc>
        <w:tc>
          <w:tcPr>
            <w:tcW w:w="2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9</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540" w:type="dxa"/>
            <w:vAlign w:val="bottom"/>
          </w:tcPr>
          <w:p>
            <w:pPr>
              <w:spacing w:after="0"/>
              <w:rPr>
                <w:sz w:val="14"/>
                <w:szCs w:val="14"/>
                <w:color w:val="auto"/>
              </w:rPr>
            </w:pPr>
          </w:p>
        </w:tc>
        <w:tc>
          <w:tcPr>
            <w:tcW w:w="2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40" w:type="dxa"/>
            <w:vAlign w:val="bottom"/>
          </w:tcPr>
          <w:p>
            <w:pPr>
              <w:spacing w:after="0"/>
              <w:rPr>
                <w:sz w:val="14"/>
                <w:szCs w:val="14"/>
                <w:color w:val="auto"/>
              </w:rPr>
            </w:pPr>
          </w:p>
        </w:tc>
        <w:tc>
          <w:tcPr>
            <w:tcW w:w="2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67</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4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2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33</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540" w:type="dxa"/>
            <w:vAlign w:val="bottom"/>
          </w:tcPr>
          <w:p>
            <w:pPr>
              <w:spacing w:after="0"/>
              <w:rPr>
                <w:sz w:val="14"/>
                <w:szCs w:val="14"/>
                <w:color w:val="auto"/>
              </w:rPr>
            </w:pPr>
          </w:p>
        </w:tc>
        <w:tc>
          <w:tcPr>
            <w:tcW w:w="2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40" w:type="dxa"/>
            <w:vAlign w:val="bottom"/>
          </w:tcPr>
          <w:p>
            <w:pPr>
              <w:spacing w:after="0"/>
              <w:rPr>
                <w:sz w:val="14"/>
                <w:szCs w:val="14"/>
                <w:color w:val="auto"/>
              </w:rPr>
            </w:pPr>
          </w:p>
        </w:tc>
        <w:tc>
          <w:tcPr>
            <w:tcW w:w="28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100%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40" w:type="dxa"/>
            <w:vAlign w:val="bottom"/>
          </w:tcPr>
          <w:p>
            <w:pPr>
              <w:spacing w:after="0"/>
              <w:rPr>
                <w:sz w:val="14"/>
                <w:szCs w:val="14"/>
                <w:color w:val="auto"/>
              </w:rPr>
            </w:pPr>
          </w:p>
        </w:tc>
        <w:tc>
          <w:tcPr>
            <w:tcW w:w="2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AFC realized aggregate losses of $1.9 million during the first quarter of 2003 on $12.7 million in sales of fixed maturity securities (3 issues/issuers) that had individual unrealized losses greater than $500,000 at December 31, 2002.</w:t>
      </w:r>
    </w:p>
    <w:p>
      <w:pPr>
        <w:spacing w:after="0" w:line="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Market values of two of the issues increased an aggregate of $3 million from December 31 to date of sale. The market value of the remaining security decreased $263,000 from December 31 to the sale date.</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Although AFC had the ability to continue holding these investments, its intent to hold them changed due primarily to deterioration in the issuers' creditworthiness, decisions to lessen exposure to a particular credit or industry, or to modify asset allocation within the portfolio.</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792" w:right="1440" w:bottom="1440" w:gutter="0" w:footer="0" w:header="0"/>
        </w:sectPr>
      </w:pPr>
    </w:p>
    <w:bookmarkStart w:id="65" w:name="page66"/>
    <w:bookmarkEnd w:id="65"/>
    <w:p>
      <w:pPr>
        <w:ind w:right="4020"/>
        <w:spacing w:after="0" w:line="261" w:lineRule="auto"/>
        <w:rPr>
          <w:sz w:val="20"/>
          <w:szCs w:val="20"/>
          <w:color w:val="auto"/>
        </w:rPr>
      </w:pPr>
      <w:r>
        <w:rPr>
          <w:rFonts w:ascii="Courier New" w:cs="Courier New" w:eastAsia="Courier New" w:hAnsi="Courier New"/>
          <w:sz w:val="14"/>
          <w:szCs w:val="14"/>
          <w:color w:val="auto"/>
        </w:rPr>
        <w:t>The table below (dollars in millions) summarizes the length of time securities have been in an unrealized gain or loss position at March 31, 2003.</w:t>
      </w:r>
    </w:p>
    <w:p>
      <w:pPr>
        <w:spacing w:after="0" w:line="32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Market</w:t>
            </w:r>
          </w:p>
        </w:tc>
      </w:tr>
      <w:tr>
        <w:trPr>
          <w:trHeight w:val="168"/>
        </w:trPr>
        <w:tc>
          <w:tcPr>
            <w:tcW w:w="556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Aggregate</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Aggregate</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Value as</w:t>
            </w:r>
          </w:p>
        </w:tc>
      </w:tr>
      <w:tr>
        <w:trPr>
          <w:trHeight w:val="168"/>
        </w:trPr>
        <w:tc>
          <w:tcPr>
            <w:tcW w:w="5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Market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Unrealized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of Cost</w:t>
            </w:r>
          </w:p>
        </w:tc>
      </w:tr>
      <w:tr>
        <w:trPr>
          <w:trHeight w:val="168"/>
        </w:trPr>
        <w:tc>
          <w:tcPr>
            <w:tcW w:w="5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Value</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Gain (Loss)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Basis</w:t>
            </w:r>
          </w:p>
        </w:tc>
      </w:tr>
      <w:tr>
        <w:trPr>
          <w:trHeight w:val="168"/>
        </w:trPr>
        <w:tc>
          <w:tcPr>
            <w:tcW w:w="556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Fixed Maturities</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SECURITIES WITH UNREALIZED GAINS:</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Exceeding $500,000 at 3/31/03 and for:</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than one year (333 issues)</w:t>
            </w: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$ 4,770</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$305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106.8%</w:t>
            </w:r>
          </w:p>
        </w:tc>
      </w:tr>
      <w:tr>
        <w:trPr>
          <w:trHeight w:val="168"/>
        </w:trPr>
        <w:tc>
          <w:tcPr>
            <w:tcW w:w="5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More than one year (48 issues)</w:t>
            </w:r>
          </w:p>
        </w:tc>
        <w:tc>
          <w:tcPr>
            <w:tcW w:w="1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563</w:t>
            </w:r>
          </w:p>
        </w:tc>
        <w:tc>
          <w:tcPr>
            <w:tcW w:w="10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111.3</w:t>
            </w:r>
          </w:p>
        </w:tc>
      </w:tr>
      <w:tr>
        <w:trPr>
          <w:trHeight w:val="168"/>
        </w:trPr>
        <w:tc>
          <w:tcPr>
            <w:tcW w:w="5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than $500,000 at 3/31/03 (1,361 issues)</w:t>
            </w:r>
          </w:p>
        </w:tc>
        <w:tc>
          <w:tcPr>
            <w:tcW w:w="1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4,899</w:t>
            </w:r>
          </w:p>
        </w:tc>
        <w:tc>
          <w:tcPr>
            <w:tcW w:w="10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178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103.8</w:t>
            </w:r>
          </w:p>
        </w:tc>
      </w:tr>
      <w:tr>
        <w:trPr>
          <w:trHeight w:val="168"/>
        </w:trPr>
        <w:tc>
          <w:tcPr>
            <w:tcW w:w="556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$10,232</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$540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105.6%</w:t>
            </w:r>
          </w:p>
        </w:tc>
      </w:tr>
      <w:tr>
        <w:trPr>
          <w:trHeight w:val="168"/>
        </w:trPr>
        <w:tc>
          <w:tcPr>
            <w:tcW w:w="556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WITH UNREALIZED LOSSES:</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Exceeding $500,000 at 3/31/03 and for:</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than one year (30 issues)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190</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84.1%</w:t>
            </w:r>
          </w:p>
        </w:tc>
      </w:tr>
      <w:tr>
        <w:trPr>
          <w:trHeight w:val="168"/>
        </w:trPr>
        <w:tc>
          <w:tcPr>
            <w:tcW w:w="5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More than one year (17 issues)</w:t>
            </w:r>
          </w:p>
        </w:tc>
        <w:tc>
          <w:tcPr>
            <w:tcW w:w="1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w:t>
            </w:r>
          </w:p>
        </w:tc>
        <w:tc>
          <w:tcPr>
            <w:tcW w:w="100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(31)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76.7</w:t>
            </w:r>
          </w:p>
        </w:tc>
      </w:tr>
      <w:tr>
        <w:trPr>
          <w:trHeight w:val="168"/>
        </w:trPr>
        <w:tc>
          <w:tcPr>
            <w:tcW w:w="5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than $500,000 at 3/31/03 (269 issues)</w:t>
            </w:r>
          </w:p>
        </w:tc>
        <w:tc>
          <w:tcPr>
            <w:tcW w:w="1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788</w:t>
            </w:r>
          </w:p>
        </w:tc>
        <w:tc>
          <w:tcPr>
            <w:tcW w:w="100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97.8</w:t>
            </w:r>
          </w:p>
        </w:tc>
      </w:tr>
      <w:tr>
        <w:trPr>
          <w:trHeight w:val="168"/>
        </w:trPr>
        <w:tc>
          <w:tcPr>
            <w:tcW w:w="556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$ 1,080</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($ 85)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92.7%</w:t>
            </w:r>
          </w:p>
        </w:tc>
      </w:tr>
      <w:tr>
        <w:trPr>
          <w:trHeight w:val="168"/>
        </w:trPr>
        <w:tc>
          <w:tcPr>
            <w:tcW w:w="556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Stocks</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SECURITIES WITH UNREALIZED GAINS:</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Exceeding $500,000 at 3/31/03 and for:</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than one year (3 issues)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141.7%</w:t>
            </w:r>
          </w:p>
        </w:tc>
      </w:tr>
      <w:tr>
        <w:trPr>
          <w:trHeight w:val="168"/>
        </w:trPr>
        <w:tc>
          <w:tcPr>
            <w:tcW w:w="5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More than one year (3 issues)</w:t>
            </w:r>
          </w:p>
        </w:tc>
        <w:tc>
          <w:tcPr>
            <w:tcW w:w="1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159</w:t>
            </w:r>
          </w:p>
        </w:tc>
        <w:tc>
          <w:tcPr>
            <w:tcW w:w="10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214.9</w:t>
            </w:r>
          </w:p>
        </w:tc>
      </w:tr>
      <w:tr>
        <w:trPr>
          <w:trHeight w:val="168"/>
        </w:trPr>
        <w:tc>
          <w:tcPr>
            <w:tcW w:w="5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than $500,000 at 3/31/03 (71 issues)</w:t>
            </w:r>
          </w:p>
        </w:tc>
        <w:tc>
          <w:tcPr>
            <w:tcW w:w="1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w:t>
            </w:r>
          </w:p>
        </w:tc>
        <w:tc>
          <w:tcPr>
            <w:tcW w:w="10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110.3</w:t>
            </w:r>
          </w:p>
        </w:tc>
      </w:tr>
      <w:tr>
        <w:trPr>
          <w:trHeight w:val="168"/>
        </w:trPr>
        <w:tc>
          <w:tcPr>
            <w:tcW w:w="556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208</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$ 93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180.9%</w:t>
            </w:r>
          </w:p>
        </w:tc>
      </w:tr>
      <w:tr>
        <w:trPr>
          <w:trHeight w:val="168"/>
        </w:trPr>
        <w:tc>
          <w:tcPr>
            <w:tcW w:w="556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WITH UNREALIZED LOSSES:</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Exceeding $500,000 at 3/31/03 and for:</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than one year (none)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88"/>
              </w:rPr>
              <w:t>- %</w:t>
            </w:r>
          </w:p>
        </w:tc>
      </w:tr>
      <w:tr>
        <w:trPr>
          <w:trHeight w:val="168"/>
        </w:trPr>
        <w:tc>
          <w:tcPr>
            <w:tcW w:w="5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More than one year (none)</w:t>
            </w:r>
          </w:p>
        </w:tc>
        <w:tc>
          <w:tcPr>
            <w:tcW w:w="11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than $500,000 at 3/31/03 (75 issues)</w:t>
            </w:r>
          </w:p>
        </w:tc>
        <w:tc>
          <w:tcPr>
            <w:tcW w:w="1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w:t>
            </w:r>
          </w:p>
        </w:tc>
        <w:tc>
          <w:tcPr>
            <w:tcW w:w="100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90.3</w:t>
            </w:r>
          </w:p>
        </w:tc>
      </w:tr>
      <w:tr>
        <w:trPr>
          <w:trHeight w:val="168"/>
        </w:trPr>
        <w:tc>
          <w:tcPr>
            <w:tcW w:w="556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90.3%</w:t>
            </w:r>
          </w:p>
        </w:tc>
      </w:tr>
      <w:tr>
        <w:trPr>
          <w:trHeight w:val="168"/>
        </w:trPr>
        <w:tc>
          <w:tcPr>
            <w:tcW w:w="556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bl>
    <w:p>
      <w:pPr>
        <w:spacing w:after="0" w:line="341" w:lineRule="exact"/>
        <w:rPr>
          <w:sz w:val="20"/>
          <w:szCs w:val="20"/>
          <w:color w:val="auto"/>
        </w:rPr>
      </w:pPr>
    </w:p>
    <w:p>
      <w:pPr>
        <w:ind w:right="3940"/>
        <w:spacing w:after="0" w:line="255" w:lineRule="auto"/>
        <w:rPr>
          <w:sz w:val="20"/>
          <w:szCs w:val="20"/>
          <w:color w:val="auto"/>
        </w:rPr>
      </w:pPr>
      <w:r>
        <w:rPr>
          <w:rFonts w:ascii="Courier New" w:cs="Courier New" w:eastAsia="Courier New" w:hAnsi="Courier New"/>
          <w:sz w:val="14"/>
          <w:szCs w:val="14"/>
          <w:color w:val="auto"/>
        </w:rPr>
        <w:t>When a decline in the value of a specific investment is considered to be "other than temporary," a provision for impairment is charged to earnings (accounted for as a realized loss) and the cost basis of that investment is reduced. The determination of whether unrealized losses are "other than temporary" requires judgment based on subjective as well as objective factors. A listing of factors considered and resources used is contained in the discussion of "Investments" under Management's Discussion and Analysis in AFC's 2002 Form 10-K.</w:t>
      </w:r>
    </w:p>
    <w:p>
      <w:pPr>
        <w:spacing w:after="0" w:line="166" w:lineRule="exact"/>
        <w:rPr>
          <w:sz w:val="20"/>
          <w:szCs w:val="20"/>
          <w:color w:val="auto"/>
        </w:rPr>
      </w:pPr>
    </w:p>
    <w:p>
      <w:pPr>
        <w:ind w:right="3860"/>
        <w:spacing w:after="0" w:line="255" w:lineRule="auto"/>
        <w:rPr>
          <w:sz w:val="20"/>
          <w:szCs w:val="20"/>
          <w:color w:val="auto"/>
        </w:rPr>
      </w:pPr>
      <w:r>
        <w:rPr>
          <w:rFonts w:ascii="Courier New" w:cs="Courier New" w:eastAsia="Courier New" w:hAnsi="Courier New"/>
          <w:sz w:val="14"/>
          <w:szCs w:val="14"/>
          <w:color w:val="auto"/>
        </w:rPr>
        <w:t>Based on its analysis, management believes (i) AFC will recover its cost basis in the securities with unrealized losses and (ii) that AFC has the ability and intent to hold the securities until they mature or recover in value. Should either of these beliefs change with regard to a particular security, a charge for impairment would likely be required. While it is not possible to accurately predict if or when a specific security will become impaired, charges for other than temporary impairment could be material to results of operations in a future period. Management believes it is not likely that future impairment charges will have a significant effect on AFC's liquidity.</w:t>
      </w:r>
    </w:p>
    <w:p>
      <w:pPr>
        <w:spacing w:after="0" w:line="165" w:lineRule="exact"/>
        <w:rPr>
          <w:sz w:val="20"/>
          <w:szCs w:val="20"/>
          <w:color w:val="auto"/>
        </w:rPr>
      </w:pPr>
    </w:p>
    <w:p>
      <w:pPr>
        <w:ind w:right="3940"/>
        <w:spacing w:after="0" w:line="235" w:lineRule="auto"/>
        <w:rPr>
          <w:sz w:val="20"/>
          <w:szCs w:val="20"/>
          <w:color w:val="auto"/>
        </w:rPr>
      </w:pPr>
      <w:r>
        <w:rPr>
          <w:rFonts w:ascii="Courier New" w:cs="Courier New" w:eastAsia="Courier New" w:hAnsi="Courier New"/>
          <w:sz w:val="15"/>
          <w:szCs w:val="15"/>
          <w:color w:val="auto"/>
        </w:rPr>
        <w:t>UNCERTAINTIES As more fully explained in the following paragraphs, management believes that the areas posing the greatest risk of material loss are the adequacy of its insurance reserves and American Premier's contingencies arising out of its former operations.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860"/>
          </w:cols>
          <w:pgMar w:left="220" w:top="1128" w:right="819" w:bottom="1440" w:gutter="0" w:footer="0" w:header="0"/>
        </w:sectPr>
      </w:pPr>
    </w:p>
    <w:bookmarkStart w:id="66" w:name="page67"/>
    <w:bookmarkEnd w:id="66"/>
    <w:p>
      <w:pPr>
        <w:ind w:right="3399"/>
        <w:spacing w:after="0" w:line="254" w:lineRule="auto"/>
        <w:rPr>
          <w:sz w:val="20"/>
          <w:szCs w:val="20"/>
          <w:color w:val="auto"/>
        </w:rPr>
      </w:pPr>
      <w:r>
        <w:rPr>
          <w:rFonts w:ascii="Courier New" w:cs="Courier New" w:eastAsia="Courier New" w:hAnsi="Courier New"/>
          <w:sz w:val="14"/>
          <w:szCs w:val="14"/>
          <w:color w:val="auto"/>
        </w:rPr>
        <w:t>PROPERTY AND CASUALTY INSURANCE RESERVES The liabilities for unpaid claims and for expenses of investigation and adjustment of unpaid claims are based upon:</w:t>
      </w:r>
    </w:p>
    <w:p>
      <w:pPr>
        <w:spacing w:after="0" w:line="1" w:lineRule="exact"/>
        <w:rPr>
          <w:sz w:val="20"/>
          <w:szCs w:val="20"/>
          <w:color w:val="auto"/>
        </w:rPr>
      </w:pPr>
    </w:p>
    <w:p>
      <w:pPr>
        <w:ind w:right="3239" w:firstLine="10"/>
        <w:spacing w:after="0" w:line="255" w:lineRule="auto"/>
        <w:tabs>
          <w:tab w:leader="none" w:pos="35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accumulation of case estimates for losses reported prior to the close of the accounting periods on direct business written; (b) estimates received from ceding reinsurers and insurance pools and associations; (c) estimates of unreported losses based on past experience; (d) estimates based on experience of expense for investigating and adjusting claims; and (e) the current state of law and coverage litigation. Using these items as well as historical trends adjusted for changes in underwriting standards, policy provisions, product mix and other factors, company actuaries determine a single or "point" estimate which management utilizes in recording its best estimate of the liabilities. Ranges of loss reserves are not developed by company actuaries.</w:t>
      </w:r>
    </w:p>
    <w:p>
      <w:pPr>
        <w:spacing w:after="0" w:line="16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Estimating the liability for unpaid losses and LAE is inherently judgmental and is influenced by factors which are subject to significant variation. Through the use of analytical reserve development techniques, management utilizes items such as the effect of inflation on medical, hospitalization, material, repair and replacement costs, general economic trends and the legal environment.</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Quarterly reviews of unpaid loss and LAE reserves are prepared using standard actuarial techniques. These may include: Case Incurred Development Method; Paid Development Method; Bornhuetter-Ferguson Method; and Incremental Paid LAE to Paid Loss Methods. Generally, data is segmented by major product or coverage within product using countrywide data; however, in some situations data may be reviewed by state for large volume states.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ASBESTOS AND ENVIRONMENTAL-RELATED ("A&amp;E") RESERVES Establishing reserves for A&amp;E claims relating to policies and participations in reinsurance treaties and former operations is subject to uncertainties that are significantly greater than those presented by other types of claims. For this group of claims, traditional actuarial techniques that rely on historical loss development trends cannot be used. Case reserves and expense reserves are established by the claims department as specific policies are identified. In addition to the case reserves established for known claims, management establishes additional reserves for claims not yet known or reported and for possible development on known claims. These additional reserves are management's best estimate based on its review of industry trends and other industry information about such claims, with due consideration to individual claim situations like the A.P. Green case discussed below. Estimating ultimate liability for asbestos claims presents a unique and difficult challenge to the insurance industry due to, among other things, inconsistent court decisions, an increase in bankruptcy filings as a result of asbestos-related liabilities, novel theories of coverage, and judicial interpretations that often expand theories of recovery and broaden the scope of coverage. The casualty insurance industry is engaged in extensive litigation over these coverage and liability issues as the volume and severity of claims against asbestos defendants continue to increase.</w:t>
      </w:r>
    </w:p>
    <w:p>
      <w:pPr>
        <w:spacing w:after="0" w:line="34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While management believes that AFC's reserves for A&amp;E claims are a reasonable estimate of ultimate liability for such claims, actual results may vary materially from the amounts currently recorded due to the difficulty in predicting the number of future claims and the impact of recent bankruptcy filings, and unresolved issues such as whether coverage exists, whether policies are subject to aggregate limits on coverage, whether claims are to be allocated among triggered policies and implicated years, and whether claimants who exhibit no signs of illness will be successful in pursuing their claims.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1128" w:right="1440" w:bottom="1440" w:gutter="0" w:footer="0" w:header="0"/>
        </w:sectPr>
      </w:pPr>
    </w:p>
    <w:bookmarkStart w:id="67" w:name="page68"/>
    <w:bookmarkEnd w:id="67"/>
    <w:p>
      <w:pPr>
        <w:ind w:right="3239"/>
        <w:spacing w:after="0" w:line="236" w:lineRule="auto"/>
        <w:rPr>
          <w:sz w:val="20"/>
          <w:szCs w:val="20"/>
          <w:color w:val="auto"/>
        </w:rPr>
      </w:pPr>
      <w:r>
        <w:rPr>
          <w:rFonts w:ascii="Courier New" w:cs="Courier New" w:eastAsia="Courier New" w:hAnsi="Courier New"/>
          <w:sz w:val="15"/>
          <w:szCs w:val="15"/>
          <w:color w:val="auto"/>
        </w:rPr>
        <w:t>In February 2003, Great American Insurance Company entered into an agreement for the settlement of asbestos related coverage litigation under insurance polices issued during the 1970's and 1980's to Bigelow-Liptak Corporation and related companies, subsequently known as A.P. Green Industries, Inc. ("A.P. Green"). Management believes that this settlement will enhance financial certainty and provides resolution to litigation that represents AFC's largest known asbestos-related claim and the only such claim that management believes to be material.</w:t>
      </w:r>
    </w:p>
    <w:p>
      <w:pPr>
        <w:spacing w:after="0" w:line="177"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settlement is for $123.5 million (Great American has the option to pay in cash or over time with 5.25% interest), all of which is covered by reserves established prior to 2003, and anticipated reinsurance recoverables for this matter. The agreement allows up to 10% of the settlement to be paid in AFG common stock.</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settlement is subject to a number of contingencies, including the approval of the bankruptcy court supervising the reorganization of A.P. Green and subsequent confirmation of a plan of reorganization that includes an injunction prohibiting the assertion against Great American of any present or future asbestos personal injury claims under policies issued to A.P. Green and related companies. This process could take a year or more and no assurance can be made that all of these consents and approvals will be obtained; no payments are required until completion of the process. If not obtained, the outcome of this litigation will again be subject to the complexities and uncertainties associated with a Chapter 11 proceeding and asbestos coverage litigation.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GENERAL Results of operations as shown in the accompanying financial statements are prepared in accordance with generally accepted accounting principles. Many investors and analysts focus on "core earnings" of companies, setting aside certain items included in net earnings such as realized gains and losses, the cumulative effect of accounting changes and certain other unusual items. Realized gains and losses are excluded from "core earnings" because they are unpredictable and not necessarily indicative of current operating fundamentals. Other items, such as the tax resolution benefits, are excluded to assist investors in analyzing their impact on the trend in operating results. Nonetheless, these items are significant components of AFC's overall financial results.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1128" w:right="1440" w:bottom="1440" w:gutter="0" w:footer="0" w:header="0"/>
        </w:sectPr>
      </w:pPr>
    </w:p>
    <w:bookmarkStart w:id="68" w:name="page69"/>
    <w:bookmarkEnd w:id="68"/>
    <w:p>
      <w:pPr>
        <w:ind w:right="3239"/>
        <w:spacing w:after="0" w:line="258" w:lineRule="auto"/>
        <w:rPr>
          <w:sz w:val="20"/>
          <w:szCs w:val="20"/>
          <w:color w:val="auto"/>
        </w:rPr>
      </w:pPr>
      <w:r>
        <w:rPr>
          <w:rFonts w:ascii="Courier New" w:cs="Courier New" w:eastAsia="Courier New" w:hAnsi="Courier New"/>
          <w:sz w:val="14"/>
          <w:szCs w:val="14"/>
          <w:color w:val="auto"/>
        </w:rPr>
        <w:t>The following table shows AFC's net earnings as stated in the Statement of Earnings as well as the after-tax effect of certain items included in these GAAP measures that are typically excluded in deriving "core earnings" (in millions):</w:t>
      </w:r>
    </w:p>
    <w:p>
      <w:pPr>
        <w:spacing w:after="0" w:line="200" w:lineRule="exact"/>
        <w:rPr>
          <w:sz w:val="20"/>
          <w:szCs w:val="20"/>
          <w:color w:val="auto"/>
        </w:rPr>
      </w:pPr>
    </w:p>
    <w:p>
      <w:pPr>
        <w:spacing w:after="0" w:line="29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3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5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600" w:type="dxa"/>
            <w:vAlign w:val="bottom"/>
          </w:tcPr>
          <w:p>
            <w:pPr>
              <w:spacing w:after="0"/>
              <w:rPr>
                <w:sz w:val="14"/>
                <w:szCs w:val="14"/>
                <w:color w:val="auto"/>
              </w:rPr>
            </w:pPr>
          </w:p>
        </w:tc>
        <w:tc>
          <w:tcPr>
            <w:tcW w:w="36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2003</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600" w:type="dxa"/>
            <w:vAlign w:val="bottom"/>
          </w:tcPr>
          <w:p>
            <w:pPr>
              <w:spacing w:after="0"/>
              <w:rPr>
                <w:sz w:val="14"/>
                <w:szCs w:val="14"/>
                <w:color w:val="auto"/>
              </w:rPr>
            </w:pPr>
          </w:p>
        </w:tc>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2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$33.5</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$ 5.7</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 tax income (expense) items included in</w:t>
            </w:r>
          </w:p>
        </w:tc>
        <w:tc>
          <w:tcPr>
            <w:tcW w:w="2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w:t>
            </w:r>
          </w:p>
        </w:tc>
        <w:tc>
          <w:tcPr>
            <w:tcW w:w="2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Special tax benefits</w:t>
            </w:r>
          </w:p>
        </w:tc>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losses from non-insurance investees</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Realized investment losses</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accounting changes</w:t>
            </w:r>
          </w:p>
        </w:tc>
        <w:tc>
          <w:tcPr>
            <w:tcW w:w="2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w:t>
            </w:r>
          </w:p>
        </w:tc>
      </w:tr>
    </w:tbl>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addition to the effects of items shown in the table above, net earnings increased in 2003 primarily due to significantly improved underwriting results in the property and casualty operations, partially offset by lower investment income.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PROPERTY AND CASUALTY INSURANCE - UNDERWRITING AFC's property and casualty group has consisted of two major business groups: Specialty and Personal. See Note B, "Acquisitions and Sales of Subsidiaries," to the Financial Statements for a discussion of the sale of nearly all of the Personal group.</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Specialty group includes a highly diversified group of business lines. Some of the more significant areas are inland and ocean marine, California workers' compensation, agricultural-related coverages, executive and professional liability, fidelity and surety bonds, collateral protection, and umbrella and excess coverages.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Personal group wrote nonstandard and preferred/standard private passenger auto insurance and, to a lesser extent, homeowners' insurance. Nonstandard automobile insurance covers risk not typically accepted for standard automobile coverage because of an applicant's driving record, type of vehicle, age or other criteria.</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Underwriting profitability is measured by the combined ratio which is a sum of the ratios of underwriting losses, loss adjustment expenses, underwriting expenses and policyholder dividends to premiums. When the combined ratio is under 100%, underwriting results are generally considered profitable; when the ratio is over 100%, underwriting results are generally considered unprofitable. The combined ratio does not reflect investment income, other income or federal income taxes.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1128" w:right="1440" w:bottom="1440" w:gutter="0" w:footer="0" w:header="0"/>
        </w:sectPr>
      </w:pPr>
    </w:p>
    <w:bookmarkStart w:id="69" w:name="page70"/>
    <w:bookmarkEnd w:id="69"/>
    <w:p>
      <w:pPr>
        <w:ind w:right="860"/>
        <w:spacing w:after="0" w:line="234" w:lineRule="auto"/>
        <w:rPr>
          <w:sz w:val="20"/>
          <w:szCs w:val="20"/>
          <w:color w:val="auto"/>
        </w:rPr>
      </w:pPr>
      <w:r>
        <w:rPr>
          <w:rFonts w:ascii="Courier New" w:cs="Courier New" w:eastAsia="Courier New" w:hAnsi="Courier New"/>
          <w:sz w:val="15"/>
          <w:szCs w:val="15"/>
          <w:color w:val="auto"/>
        </w:rPr>
        <w:t>Premiums and combined ratios for AFC's property and casualty insurance subsidiaries were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Gross Written Premiums (GAAP)</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line="238" w:lineRule="auto"/>
        <w:rPr>
          <w:sz w:val="20"/>
          <w:szCs w:val="20"/>
          <w:color w:val="auto"/>
        </w:rPr>
      </w:pPr>
      <w:r>
        <w:rPr>
          <w:rFonts w:ascii="Courier New" w:cs="Courier New" w:eastAsia="Courier New" w:hAnsi="Courier New"/>
          <w:sz w:val="15"/>
          <w:szCs w:val="15"/>
          <w:color w:val="auto"/>
        </w:rPr>
        <w:t>Specialty</w:t>
      </w:r>
    </w:p>
    <w:p>
      <w:pPr>
        <w:ind w:left="1760"/>
        <w:spacing w:after="0" w:line="237" w:lineRule="auto"/>
        <w:rPr>
          <w:sz w:val="20"/>
          <w:szCs w:val="20"/>
          <w:color w:val="auto"/>
        </w:rPr>
      </w:pPr>
      <w:r>
        <w:rPr>
          <w:rFonts w:ascii="Courier New" w:cs="Courier New" w:eastAsia="Courier New" w:hAnsi="Courier New"/>
          <w:sz w:val="15"/>
          <w:szCs w:val="15"/>
          <w:color w:val="auto"/>
        </w:rPr>
        <w:t>Personal (a)</w:t>
      </w:r>
    </w:p>
    <w:p>
      <w:pPr>
        <w:ind w:left="1760"/>
        <w:spacing w:after="0" w:line="238" w:lineRule="auto"/>
        <w:rPr>
          <w:sz w:val="20"/>
          <w:szCs w:val="20"/>
          <w:color w:val="auto"/>
        </w:rPr>
      </w:pPr>
      <w:r>
        <w:rPr>
          <w:rFonts w:ascii="Courier New" w:cs="Courier New" w:eastAsia="Courier New" w:hAnsi="Courier New"/>
          <w:sz w:val="15"/>
          <w:szCs w:val="15"/>
          <w:color w:val="auto"/>
        </w:rPr>
        <w:t>Other lines</w:t>
      </w:r>
    </w:p>
    <w:p>
      <w:pPr>
        <w:spacing w:after="0" w:line="200" w:lineRule="exact"/>
        <w:rPr>
          <w:sz w:val="20"/>
          <w:szCs w:val="20"/>
          <w:color w:val="auto"/>
        </w:rPr>
      </w:pPr>
    </w:p>
    <w:p>
      <w:pPr>
        <w:spacing w:after="0" w:line="30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Net Written Premiums (GAAP)</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line="238" w:lineRule="auto"/>
        <w:rPr>
          <w:sz w:val="20"/>
          <w:szCs w:val="20"/>
          <w:color w:val="auto"/>
        </w:rPr>
      </w:pPr>
      <w:r>
        <w:rPr>
          <w:rFonts w:ascii="Courier New" w:cs="Courier New" w:eastAsia="Courier New" w:hAnsi="Courier New"/>
          <w:sz w:val="15"/>
          <w:szCs w:val="15"/>
          <w:color w:val="auto"/>
        </w:rPr>
        <w:t>Specialty</w:t>
      </w:r>
    </w:p>
    <w:p>
      <w:pPr>
        <w:ind w:left="1760"/>
        <w:spacing w:after="0" w:line="237" w:lineRule="auto"/>
        <w:rPr>
          <w:sz w:val="20"/>
          <w:szCs w:val="20"/>
          <w:color w:val="auto"/>
        </w:rPr>
      </w:pPr>
      <w:r>
        <w:rPr>
          <w:rFonts w:ascii="Courier New" w:cs="Courier New" w:eastAsia="Courier New" w:hAnsi="Courier New"/>
          <w:sz w:val="15"/>
          <w:szCs w:val="15"/>
          <w:color w:val="auto"/>
        </w:rPr>
        <w:t>Personal (a)</w:t>
      </w:r>
    </w:p>
    <w:p>
      <w:pPr>
        <w:ind w:left="1760"/>
        <w:spacing w:after="0" w:line="238" w:lineRule="auto"/>
        <w:rPr>
          <w:sz w:val="20"/>
          <w:szCs w:val="20"/>
          <w:color w:val="auto"/>
        </w:rPr>
      </w:pPr>
      <w:r>
        <w:rPr>
          <w:rFonts w:ascii="Courier New" w:cs="Courier New" w:eastAsia="Courier New" w:hAnsi="Courier New"/>
          <w:sz w:val="15"/>
          <w:szCs w:val="15"/>
          <w:color w:val="auto"/>
        </w:rPr>
        <w:t>Other lines</w:t>
      </w:r>
    </w:p>
    <w:p>
      <w:pPr>
        <w:spacing w:after="0" w:line="200" w:lineRule="exact"/>
        <w:rPr>
          <w:sz w:val="20"/>
          <w:szCs w:val="20"/>
          <w:color w:val="auto"/>
        </w:rPr>
      </w:pPr>
    </w:p>
    <w:p>
      <w:pPr>
        <w:spacing w:after="0" w:line="30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Combined Ratios (GAAP)</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line="238" w:lineRule="auto"/>
        <w:rPr>
          <w:sz w:val="20"/>
          <w:szCs w:val="20"/>
          <w:color w:val="auto"/>
        </w:rPr>
      </w:pPr>
      <w:r>
        <w:rPr>
          <w:rFonts w:ascii="Courier New" w:cs="Courier New" w:eastAsia="Courier New" w:hAnsi="Courier New"/>
          <w:sz w:val="15"/>
          <w:szCs w:val="15"/>
          <w:color w:val="auto"/>
        </w:rPr>
        <w:t>Specialty</w:t>
      </w:r>
    </w:p>
    <w:p>
      <w:pPr>
        <w:ind w:left="1760"/>
        <w:spacing w:after="0" w:line="237" w:lineRule="auto"/>
        <w:rPr>
          <w:sz w:val="20"/>
          <w:szCs w:val="20"/>
          <w:color w:val="auto"/>
        </w:rPr>
      </w:pPr>
      <w:r>
        <w:rPr>
          <w:rFonts w:ascii="Courier New" w:cs="Courier New" w:eastAsia="Courier New" w:hAnsi="Courier New"/>
          <w:sz w:val="15"/>
          <w:szCs w:val="15"/>
          <w:color w:val="auto"/>
        </w:rPr>
        <w:t>Personal</w:t>
      </w:r>
    </w:p>
    <w:p>
      <w:pPr>
        <w:ind w:left="1760"/>
        <w:spacing w:after="0" w:line="238" w:lineRule="auto"/>
        <w:rPr>
          <w:sz w:val="20"/>
          <w:szCs w:val="20"/>
          <w:color w:val="auto"/>
        </w:rPr>
      </w:pPr>
      <w:r>
        <w:rPr>
          <w:rFonts w:ascii="Courier New" w:cs="Courier New" w:eastAsia="Courier New" w:hAnsi="Courier New"/>
          <w:sz w:val="15"/>
          <w:szCs w:val="15"/>
          <w:color w:val="auto"/>
        </w:rPr>
        <w:t>Aggregate (including</w:t>
      </w:r>
    </w:p>
    <w:p>
      <w:pPr>
        <w:ind w:left="1940"/>
        <w:spacing w:after="0" w:line="237" w:lineRule="auto"/>
        <w:rPr>
          <w:sz w:val="20"/>
          <w:szCs w:val="20"/>
          <w:color w:val="auto"/>
        </w:rPr>
      </w:pPr>
      <w:r>
        <w:rPr>
          <w:rFonts w:ascii="Courier New" w:cs="Courier New" w:eastAsia="Courier New" w:hAnsi="Courier New"/>
          <w:sz w:val="15"/>
          <w:szCs w:val="15"/>
          <w:color w:val="auto"/>
        </w:rPr>
        <w:t>discontinued lines)</w:t>
      </w:r>
    </w:p>
    <w:p>
      <w:pPr>
        <w:spacing w:after="0" w:line="342" w:lineRule="exact"/>
        <w:rPr>
          <w:sz w:val="20"/>
          <w:szCs w:val="20"/>
          <w:color w:val="auto"/>
        </w:rPr>
      </w:pPr>
    </w:p>
    <w:p>
      <w:pPr>
        <w:ind w:left="1940" w:right="80" w:hanging="443"/>
        <w:spacing w:after="0" w:line="234" w:lineRule="auto"/>
        <w:tabs>
          <w:tab w:leader="none" w:pos="19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operations of Infinity through the sale date in mid-February 2003.</w:t>
      </w:r>
    </w:p>
    <w:p>
      <w:pPr>
        <w:spacing w:after="0" w:line="173"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SPECIALTY The Specialty group's gross written premiums increased 20% for the first quarter of 2003 over the comparable 2002 period, reflecting the impact of continuing rate increases and volume growth in most of its businesses. Specialty rate increases averaged 27% during the first three months of 2003. Net written premiums increased 14% for the first quarter over the comparable 2002 period. Strong growth in gross written premiums was offset by the timing impact of premiums ceded under certain reinsurance agreements.</w:t>
      </w:r>
    </w:p>
    <w:p>
      <w:pPr>
        <w:spacing w:after="0" w:line="176"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The Specialty group reported an underwriting profit of $9.5 million for the 2003 first quarter with a combined ratio of 97.9%, an improvement of .6 points over the 2002 first quarter. The group's underwriting results for the 2003 quarter included approximately $5.1 million, or 1.2 points, of losses from severe weather compared to about $2.6 million, or .7 points, in the 2002 period.</w:t>
      </w:r>
    </w:p>
    <w:p>
      <w:pPr>
        <w:spacing w:after="0" w:line="163"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PERSONAL The Personal group results represent primarily Infinity's underwriting results through the public offering in mid-February 2003 and the direct-to-consumer auto business, which was sold in April 2003. AFC's ongoing personal lines business is limited to two subsidiaries that generated less than $35 million in net written premiums in 2002 and certain direct-to-consumer business in run-off that had approximately $28 million in net written premiums in 2002. AFC's 38% continuing ownership interest in Infinity is accounted for as an investee corporation. Accordingly, AFC's share of Infinity's earnings following the mid-February public offering is included in equity in net earnings (losses) of investees in the Statement of Earnings.</w:t>
      </w:r>
    </w:p>
    <w:p>
      <w:pPr>
        <w:spacing w:after="0" w:line="179" w:lineRule="exact"/>
        <w:rPr>
          <w:sz w:val="20"/>
          <w:szCs w:val="20"/>
          <w:color w:val="auto"/>
        </w:rPr>
      </w:pPr>
    </w:p>
    <w:p>
      <w:pPr>
        <w:ind w:right="80"/>
        <w:spacing w:after="0" w:line="256" w:lineRule="auto"/>
        <w:rPr>
          <w:sz w:val="20"/>
          <w:szCs w:val="20"/>
          <w:color w:val="auto"/>
        </w:rPr>
      </w:pPr>
      <w:r>
        <w:rPr>
          <w:rFonts w:ascii="Courier New" w:cs="Courier New" w:eastAsia="Courier New" w:hAnsi="Courier New"/>
          <w:sz w:val="14"/>
          <w:szCs w:val="14"/>
          <w:color w:val="auto"/>
        </w:rPr>
        <w:t>The Personal group generated an underwriting profit of $5.2 million in the 2003 first quarter. The group's combined ratio of 95.5% improved 6.6 points compared with the 2002 quarter, reflecting Infinity's reduced underwriting in unprofitable states, the continuing positive effects of recent rate increases and recent expense reductions from consolidating business functions.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Three months ended</w:t>
      </w:r>
    </w:p>
    <w:p>
      <w:pPr>
        <w:ind w:left="700"/>
        <w:spacing w:after="0" w:line="237" w:lineRule="auto"/>
        <w:rPr>
          <w:sz w:val="20"/>
          <w:szCs w:val="20"/>
          <w:color w:val="auto"/>
        </w:rPr>
      </w:pPr>
      <w:r>
        <w:rPr>
          <w:rFonts w:ascii="Courier New" w:cs="Courier New" w:eastAsia="Courier New" w:hAnsi="Courier New"/>
          <w:sz w:val="15"/>
          <w:szCs w:val="15"/>
          <w:color w:val="auto"/>
        </w:rPr>
        <w:t>March 31,</w:t>
      </w:r>
    </w:p>
    <w:p>
      <w:pPr>
        <w:ind w:left="80"/>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8"/>
        </w:trPr>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2003</w:t>
            </w:r>
          </w:p>
        </w:tc>
        <w:tc>
          <w:tcPr>
            <w:tcW w:w="10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$676.8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$562.8</w:t>
            </w:r>
          </w:p>
        </w:tc>
      </w:tr>
      <w:tr>
        <w:trPr>
          <w:trHeight w:val="168"/>
        </w:trPr>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181.1</w:t>
            </w:r>
          </w:p>
        </w:tc>
        <w:tc>
          <w:tcPr>
            <w:tcW w:w="10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3"/>
              </w:rPr>
              <w:t>347.5</w:t>
            </w:r>
          </w:p>
        </w:tc>
      </w:tr>
    </w:tbl>
    <w:p>
      <w:pPr>
        <w:ind w:left="1820" w:hanging="1479"/>
        <w:spacing w:after="0" w:line="237" w:lineRule="auto"/>
        <w:tabs>
          <w:tab w:leader="none" w:pos="18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$857.9</w:t>
      </w:r>
      <w:r>
        <w:rPr>
          <w:rFonts w:ascii="Courier New" w:cs="Courier New" w:eastAsia="Courier New" w:hAnsi="Courier New"/>
          <w:sz w:val="14"/>
          <w:szCs w:val="14"/>
          <w:color w:val="auto"/>
        </w:rPr>
        <w:t>$910.6</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$438.8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$386.7</w:t>
            </w:r>
          </w:p>
        </w:tc>
      </w:tr>
      <w:tr>
        <w:trPr>
          <w:trHeight w:val="168"/>
        </w:trPr>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117.9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256.4</w:t>
            </w:r>
          </w:p>
        </w:tc>
      </w:tr>
    </w:tbl>
    <w:p>
      <w:pPr>
        <w:ind w:left="1820" w:hanging="1479"/>
        <w:spacing w:after="0" w:line="237" w:lineRule="auto"/>
        <w:tabs>
          <w:tab w:leader="none" w:pos="18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$556.7</w:t>
      </w:r>
      <w:r>
        <w:rPr>
          <w:rFonts w:ascii="Courier New" w:cs="Courier New" w:eastAsia="Courier New" w:hAnsi="Courier New"/>
          <w:sz w:val="14"/>
          <w:szCs w:val="14"/>
          <w:color w:val="auto"/>
        </w:rPr>
        <w:t>$643.4</w:t>
      </w:r>
    </w:p>
    <w:p>
      <w:pPr>
        <w:spacing w:after="0" w:line="238" w:lineRule="auto"/>
        <w:tabs>
          <w:tab w:leader="none" w:pos="1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97.9%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98.5%</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95.5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102.1</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97.4</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101.4</w:t>
            </w:r>
          </w:p>
        </w:tc>
      </w:tr>
    </w:tbl>
    <w:p>
      <w:pPr>
        <w:sectPr>
          <w:pgSz w:w="11900" w:h="16838" w:orient="portrait"/>
          <w:cols w:equalWidth="0" w:num="2">
            <w:col w:w="7000" w:space="540"/>
            <w:col w:w="2699"/>
          </w:cols>
          <w:pgMar w:left="220" w:top="1128" w:right="1440" w:bottom="1440" w:gutter="0" w:footer="0" w:header="0"/>
        </w:sectPr>
      </w:pPr>
    </w:p>
    <w:bookmarkStart w:id="70" w:name="page71"/>
    <w:bookmarkEnd w:id="70"/>
    <w:p>
      <w:pPr>
        <w:ind w:right="340"/>
        <w:spacing w:after="0" w:line="235" w:lineRule="auto"/>
        <w:rPr>
          <w:sz w:val="20"/>
          <w:szCs w:val="20"/>
          <w:color w:val="auto"/>
        </w:rPr>
      </w:pPr>
      <w:r>
        <w:rPr>
          <w:rFonts w:ascii="Courier New" w:cs="Courier New" w:eastAsia="Courier New" w:hAnsi="Courier New"/>
          <w:sz w:val="15"/>
          <w:szCs w:val="15"/>
          <w:color w:val="auto"/>
        </w:rPr>
        <w:t>INVESTMENT INCOME The decrease in investment income for the first quarter of 2003 compared to the 2002 quarter reflects lower average investment balances (due to the mid-February sale of Infinity) as well as lower average yields on fixed maturity investments.</w:t>
      </w:r>
    </w:p>
    <w:p>
      <w:pPr>
        <w:spacing w:after="0" w:line="175" w:lineRule="exact"/>
        <w:rPr>
          <w:sz w:val="20"/>
          <w:szCs w:val="20"/>
          <w:color w:val="auto"/>
        </w:rPr>
      </w:pPr>
    </w:p>
    <w:p>
      <w:pPr>
        <w:jc w:val="both"/>
        <w:ind w:right="160"/>
        <w:spacing w:after="0" w:line="235" w:lineRule="auto"/>
        <w:rPr>
          <w:sz w:val="20"/>
          <w:szCs w:val="20"/>
          <w:color w:val="auto"/>
        </w:rPr>
      </w:pPr>
      <w:r>
        <w:rPr>
          <w:rFonts w:ascii="Courier New" w:cs="Courier New" w:eastAsia="Courier New" w:hAnsi="Courier New"/>
          <w:sz w:val="15"/>
          <w:szCs w:val="15"/>
          <w:color w:val="auto"/>
        </w:rPr>
        <w:t>REALIZED GAINS Realized capital gains have been an important part of the return on investments. Individual assets are sold creating gains and losses as market opportunities exist.</w:t>
      </w:r>
    </w:p>
    <w:p>
      <w:pPr>
        <w:spacing w:after="0" w:line="174" w:lineRule="exact"/>
        <w:rPr>
          <w:sz w:val="20"/>
          <w:szCs w:val="20"/>
          <w:color w:val="auto"/>
        </w:rPr>
      </w:pPr>
    </w:p>
    <w:p>
      <w:pPr>
        <w:ind w:right="80"/>
        <w:spacing w:after="0" w:line="236" w:lineRule="auto"/>
        <w:rPr>
          <w:sz w:val="20"/>
          <w:szCs w:val="20"/>
          <w:color w:val="auto"/>
        </w:rPr>
      </w:pPr>
      <w:r>
        <w:rPr>
          <w:rFonts w:ascii="Courier New" w:cs="Courier New" w:eastAsia="Courier New" w:hAnsi="Courier New"/>
          <w:sz w:val="15"/>
          <w:szCs w:val="15"/>
          <w:color w:val="auto"/>
        </w:rPr>
        <w:t>GAINS (LOSSES) ON SECURITIES Realized gains (losses) on securities include provisions for other than temporary impairment of securities still held of $34.9 million in the first quarter of 2003 and $18.3 million in the first quarter of 2002. Increased impairment charges in recent years reflect a rise in corporate defaults in the marketplace. The increase in impairment charges in 2003 reflects primarily the downturn in the airline industry and writedowns of certain asset-backed securities.</w:t>
      </w:r>
    </w:p>
    <w:p>
      <w:pPr>
        <w:spacing w:after="0" w:line="176" w:lineRule="exact"/>
        <w:rPr>
          <w:sz w:val="20"/>
          <w:szCs w:val="20"/>
          <w:color w:val="auto"/>
        </w:rPr>
      </w:pPr>
    </w:p>
    <w:p>
      <w:pPr>
        <w:jc w:val="both"/>
        <w:ind w:right="680"/>
        <w:spacing w:after="0" w:line="258" w:lineRule="auto"/>
        <w:rPr>
          <w:sz w:val="20"/>
          <w:szCs w:val="20"/>
          <w:color w:val="auto"/>
        </w:rPr>
      </w:pPr>
      <w:r>
        <w:rPr>
          <w:rFonts w:ascii="Courier New" w:cs="Courier New" w:eastAsia="Courier New" w:hAnsi="Courier New"/>
          <w:sz w:val="14"/>
          <w:szCs w:val="14"/>
          <w:color w:val="auto"/>
        </w:rPr>
        <w:t>Realized losses on securities include losses of $4.5 million in the first quarter of 2003 and $3 million in the first quarter of 2002 to adjust the carrying value of AFC's investment in warrants to market value.</w:t>
      </w:r>
    </w:p>
    <w:p>
      <w:pPr>
        <w:spacing w:after="0" w:line="161" w:lineRule="exact"/>
        <w:rPr>
          <w:sz w:val="20"/>
          <w:szCs w:val="20"/>
          <w:color w:val="auto"/>
        </w:rPr>
      </w:pPr>
    </w:p>
    <w:p>
      <w:pPr>
        <w:ind w:right="160"/>
        <w:spacing w:after="0" w:line="234" w:lineRule="auto"/>
        <w:rPr>
          <w:sz w:val="20"/>
          <w:szCs w:val="20"/>
          <w:color w:val="auto"/>
        </w:rPr>
      </w:pPr>
      <w:r>
        <w:rPr>
          <w:rFonts w:ascii="Courier New" w:cs="Courier New" w:eastAsia="Courier New" w:hAnsi="Courier New"/>
          <w:sz w:val="15"/>
          <w:szCs w:val="15"/>
          <w:color w:val="auto"/>
        </w:rPr>
        <w:t>LOSS ON SUBSIDIARY In February 2003, AFC recognized a $39.4 million pretax loss on the public offering of 12.5 million shares of Infinity.</w:t>
      </w:r>
    </w:p>
    <w:p>
      <w:pPr>
        <w:spacing w:after="0" w:line="173" w:lineRule="exact"/>
        <w:rPr>
          <w:sz w:val="20"/>
          <w:szCs w:val="20"/>
          <w:color w:val="auto"/>
        </w:rPr>
      </w:pPr>
    </w:p>
    <w:p>
      <w:pPr>
        <w:ind w:right="420"/>
        <w:spacing w:after="0" w:line="236" w:lineRule="auto"/>
        <w:rPr>
          <w:sz w:val="20"/>
          <w:szCs w:val="20"/>
          <w:color w:val="auto"/>
        </w:rPr>
      </w:pPr>
      <w:r>
        <w:rPr>
          <w:rFonts w:ascii="Courier New" w:cs="Courier New" w:eastAsia="Courier New" w:hAnsi="Courier New"/>
          <w:sz w:val="15"/>
          <w:szCs w:val="15"/>
          <w:color w:val="auto"/>
        </w:rPr>
        <w:t>REAL ESTATE OPERATIONS AFC's subsidiaries are engaged in a variety of real estate operations including hotels, apartments, office buildings and recreational facilities; they also own several parcels of land. Revenues and expenses of these operations, including gains and losses on disposal, are included in AFC's Statement of Earnings as shown below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Other income</w:t>
      </w:r>
    </w:p>
    <w:p>
      <w:pPr>
        <w:ind w:left="1500"/>
        <w:spacing w:after="0" w:line="237" w:lineRule="auto"/>
        <w:rPr>
          <w:sz w:val="20"/>
          <w:szCs w:val="20"/>
          <w:color w:val="auto"/>
        </w:rPr>
      </w:pPr>
      <w:r>
        <w:rPr>
          <w:rFonts w:ascii="Courier New" w:cs="Courier New" w:eastAsia="Courier New" w:hAnsi="Courier New"/>
          <w:sz w:val="15"/>
          <w:szCs w:val="15"/>
          <w:color w:val="auto"/>
        </w:rPr>
        <w:t>Other operating and general expenses</w:t>
      </w:r>
    </w:p>
    <w:p>
      <w:pPr>
        <w:ind w:left="1500"/>
        <w:spacing w:after="0" w:line="238" w:lineRule="auto"/>
        <w:rPr>
          <w:sz w:val="20"/>
          <w:szCs w:val="20"/>
          <w:color w:val="auto"/>
        </w:rPr>
      </w:pPr>
      <w:r>
        <w:rPr>
          <w:rFonts w:ascii="Courier New" w:cs="Courier New" w:eastAsia="Courier New" w:hAnsi="Courier New"/>
          <w:sz w:val="15"/>
          <w:szCs w:val="15"/>
          <w:color w:val="auto"/>
        </w:rPr>
        <w:t>Interest charges on borrowed money</w:t>
      </w:r>
    </w:p>
    <w:p>
      <w:pPr>
        <w:spacing w:after="0" w:line="341" w:lineRule="exact"/>
        <w:rPr>
          <w:sz w:val="20"/>
          <w:szCs w:val="20"/>
          <w:color w:val="auto"/>
        </w:rPr>
      </w:pPr>
    </w:p>
    <w:p>
      <w:pPr>
        <w:ind w:right="160"/>
        <w:spacing w:after="0" w:line="235" w:lineRule="auto"/>
        <w:rPr>
          <w:sz w:val="20"/>
          <w:szCs w:val="20"/>
          <w:color w:val="auto"/>
        </w:rPr>
      </w:pPr>
      <w:r>
        <w:rPr>
          <w:rFonts w:ascii="Courier New" w:cs="Courier New" w:eastAsia="Courier New" w:hAnsi="Courier New"/>
          <w:sz w:val="15"/>
          <w:szCs w:val="15"/>
          <w:color w:val="auto"/>
        </w:rPr>
        <w:t>OTHER INCOME Other income increased $9.8 million (21%) for the first quarter of 2003 compared to 2002 due primarily to increased revenues earned by the Specialty group's growing warranty business and higher fee income in certain other specialty insurance operations.</w:t>
      </w:r>
    </w:p>
    <w:p>
      <w:pPr>
        <w:spacing w:after="0" w:line="175" w:lineRule="exact"/>
        <w:rPr>
          <w:sz w:val="20"/>
          <w:szCs w:val="20"/>
          <w:color w:val="auto"/>
        </w:rPr>
      </w:pPr>
    </w:p>
    <w:p>
      <w:pPr>
        <w:ind w:right="160"/>
        <w:spacing w:after="0" w:line="236" w:lineRule="auto"/>
        <w:rPr>
          <w:sz w:val="20"/>
          <w:szCs w:val="20"/>
          <w:color w:val="auto"/>
        </w:rPr>
      </w:pPr>
      <w:r>
        <w:rPr>
          <w:rFonts w:ascii="Courier New" w:cs="Courier New" w:eastAsia="Courier New" w:hAnsi="Courier New"/>
          <w:sz w:val="15"/>
          <w:szCs w:val="15"/>
          <w:color w:val="auto"/>
        </w:rPr>
        <w:t>ANNUITY BENEFITS Annuity benefits reflect amounts accrued on annuity policyholders' funds accumulated. Annuity benefits in the first quarter of 2003 were slightly lower than the 2002 quarter as an increase in average annuity benefits accumulated was offset by a decrease in rates credited to policyholders.</w:t>
      </w:r>
    </w:p>
    <w:p>
      <w:pPr>
        <w:spacing w:after="0" w:line="174" w:lineRule="exact"/>
        <w:rPr>
          <w:sz w:val="20"/>
          <w:szCs w:val="20"/>
          <w:color w:val="auto"/>
        </w:rPr>
      </w:pPr>
    </w:p>
    <w:p>
      <w:pPr>
        <w:ind w:right="80"/>
        <w:spacing w:after="0" w:line="255" w:lineRule="auto"/>
        <w:rPr>
          <w:sz w:val="20"/>
          <w:szCs w:val="20"/>
          <w:color w:val="auto"/>
        </w:rPr>
      </w:pPr>
      <w:r>
        <w:rPr>
          <w:rFonts w:ascii="Courier New" w:cs="Courier New" w:eastAsia="Courier New" w:hAnsi="Courier New"/>
          <w:sz w:val="14"/>
          <w:szCs w:val="14"/>
          <w:color w:val="auto"/>
        </w:rPr>
        <w:t>The majority of GAFRI's fixed annuity products permit GAFRI to change the crediting rate at any time subject to minimum interest rate guarantees (as determined by applicable law). Approximately 45% of the annuity benefits accumulated relate to policies that have a minimum guarantee of 3%; the balance have a guarantee of 4%. Virtually all new sales of GAFRI's fixed annuities offer a minimum interest rate of 3%. Historically, management has been able to react to changes in market interest rates and maintain a desired interest rate spread. The recent interest rate environment has resulted in spread compression which could continue at least through the remainder of 2003.</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Three months ended</w:t>
      </w:r>
    </w:p>
    <w:p>
      <w:pPr>
        <w:ind w:left="700"/>
        <w:spacing w:after="0" w:line="237" w:lineRule="auto"/>
        <w:rPr>
          <w:sz w:val="20"/>
          <w:szCs w:val="20"/>
          <w:color w:val="auto"/>
        </w:rPr>
      </w:pPr>
      <w:r>
        <w:rPr>
          <w:rFonts w:ascii="Courier New" w:cs="Courier New" w:eastAsia="Courier New" w:hAnsi="Courier New"/>
          <w:sz w:val="15"/>
          <w:szCs w:val="15"/>
          <w:color w:val="auto"/>
        </w:rPr>
        <w:t>March 31,</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$16.0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r>
      <w:tr>
        <w:trPr>
          <w:trHeight w:val="168"/>
        </w:trPr>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2">
            <w:col w:w="7080" w:space="720"/>
            <w:col w:w="2439"/>
          </w:cols>
          <w:pgMar w:left="220" w:top="1128" w:right="1440" w:bottom="1440" w:gutter="0" w:footer="0" w:header="0"/>
        </w:sectPr>
      </w:pPr>
    </w:p>
    <w:bookmarkStart w:id="71" w:name="page72"/>
    <w:bookmarkEnd w:id="71"/>
    <w:p>
      <w:pPr>
        <w:ind w:right="3239"/>
        <w:spacing w:after="0" w:line="255" w:lineRule="auto"/>
        <w:rPr>
          <w:sz w:val="20"/>
          <w:szCs w:val="20"/>
          <w:color w:val="auto"/>
        </w:rPr>
      </w:pPr>
      <w:r>
        <w:rPr>
          <w:rFonts w:ascii="Courier New" w:cs="Courier New" w:eastAsia="Courier New" w:hAnsi="Courier New"/>
          <w:sz w:val="14"/>
          <w:szCs w:val="14"/>
          <w:color w:val="auto"/>
        </w:rPr>
        <w:t>On its deferred annuities (annuities in the accumulation phase), GAFRI generally credits interest to policyholders' accounts at their current stated "surrender" interest rates. Furthermore, for "two-tier" deferred annuities (annuities under which a higher interest amount can be earned if a policy is annuitized rather than surrendered), GAFRI accrues an additional liability to provide for expected deaths and annuitizations. Changes in crediting rates, actual surrender, death and annuitization experience or modifications in actuarial assumptions can affect this accrual. Significant changes in projected investment yields could result in charges to earnings in the period such projections are modified.</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ANNUITY AND LIFE ACQUISITION EXPENSES Annuity and life acquisition expenses include amortization of annuity and life, accident and health deferred policy acquisition costs ("DPAC") as well as a portion of commissions on sales of insurance products. Annuity and life acquisition expenses also include amortization of the present value of future profits of businesses acquired. The increase in annuity and life acquisition expenses in the first quarter of 2003 compared to 2002 is due primarily to the amortization associated with GAFRI's purchase of MNL in June 2002.</w:t>
      </w:r>
    </w:p>
    <w:p>
      <w:pPr>
        <w:spacing w:after="0" w:line="17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vast majority of GAFRI's DPAC asset relates to its fixed annuity, variable annuity and life insurance lines of business. Continued spread compression, decreases in the stock market and adverse mortality could lead to writeoffs of DPAC in the future.</w:t>
      </w:r>
    </w:p>
    <w:p>
      <w:pPr>
        <w:spacing w:after="0" w:line="17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INTEREST ON BORROWED MONEY Changes in interest expense result from fluctuations in market rates as well as changes in borrowings. AFC has generally financed its borrowings on a long-term basis which has resulted in higher current costs.</w:t>
      </w:r>
    </w:p>
    <w:p>
      <w:pPr>
        <w:spacing w:after="0" w:line="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Interest expense decreased in the first quarter of 2003 compared to the first quarter of 2002 as lower average indebtedness (including AFC's payable to AFG) and lower interest charges on amounts due reinsurers were partially offset by higher average rates on the AFC bank line.</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OTHER OPERATING AND GENERAL EXPENSES Other operating and general expenses increased $7.1 million (8%) for the first quarter of 2003 compared to the first quarter of 2002 due primarily to higher expenses in the Specialty group's growing warranty business and higher expenses related to growth in certain other Specialty operations.</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INCOME TAXES The 2003 provision for income taxes reflects $5.5 million in tax benefits related to AFC's basis in Infinity stock. The 2002 provision for income taxes includes a $16 million first quarter tax benefit for the reduction of previously accrued amounts due to the resolution of certain tax matters.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INVESTEE CORPORATIONS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INFINITY PROPERTY AND CASUALTY CORPORATION Following AFC's sale of 61% of Infinity in the mid-February offering, AFC's proportionate share of Infinity's earnings is included in equity in net earnings (losses) of investees. Infinity reported net earnings for the first quarter of 2003 of $11.5 million, including $5.4 million subsequent to the offering.</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START-UP MANUFACTURING BUSINESSES Equity in earnings (losses) of investees also includes losses of two start-up manufacturing businesses (see Note D). Equity in net earnings (losses) of investees includes $865,000 in 2003 and $859,000 in 2002 in losses of one of these businesses. Investee losses in 2002 include $1.9 million in losses of the other manufacturing business, which sold substantially all of its assets in December 2002.</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792" w:right="1440" w:bottom="1440" w:gutter="0" w:footer="0" w:header="0"/>
        </w:sectPr>
      </w:pPr>
    </w:p>
    <w:bookmarkStart w:id="72" w:name="page73"/>
    <w:bookmarkEnd w:id="72"/>
    <w:p>
      <w:pPr>
        <w:ind w:right="3399"/>
        <w:spacing w:after="0" w:line="236" w:lineRule="auto"/>
        <w:rPr>
          <w:sz w:val="20"/>
          <w:szCs w:val="20"/>
          <w:color w:val="auto"/>
        </w:rPr>
      </w:pPr>
      <w:r>
        <w:rPr>
          <w:rFonts w:ascii="Courier New" w:cs="Courier New" w:eastAsia="Courier New" w:hAnsi="Courier New"/>
          <w:sz w:val="15"/>
          <w:szCs w:val="15"/>
          <w:color w:val="auto"/>
        </w:rPr>
        <w:t>CUMULATIVE EFFECT OF ACCOUNTING CHANGE Effective January 1, 2002, AFC implemented Statement of Financial Accounting Standards ("SFAS") No. 142, "Goodwill and Other Intangible Assets", under which goodwill is no longer amortized, but is subject to an impairment test at least annually. The initial impairment testing resulted in a charge of $40.4 million (net of minority interest and taxes) for the cumulative effect of a change in accounting principle.</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RECENT ACCOUNTING STANDARDS In January 2003, the Financial Accounting Standards Board issued Interpretation No. 46, Consolidation of Variable Interest Entities ("FIN 46"). This interpretation will require companies to consolidate entities without sufficient equity based on ownership of expected gains and losses. FIN 46 is effective immediately to variable interest entities acquired after January 31, 2003. For entities acquired before that date, the guidance becomes effective for periods beginning after June 15, 2003.</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AFC is currently assessing the application of FIN 46 as it relates to its investments in two collateralized debt obligations ("CDOs"), for which AFC also acts as investment manager. Under the CDOs, securities were issued in various senior and subordinate classes and the proceeds were invested primarily in bank loans, and to a lesser extent, high yield bonds, all of which serve as collateral for the securities issued by the CDOs. None of the collateral was purchased from AFC. The market value of the collateral at March 31, 2003, was approximately $770 million.</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AFC's investments in the two CDOs are subordinate to the senior classes (approximately 92% of the total securities) issued by the CDOs. To the extent there are defaults and unrecoverable losses on the underlying collateral resulting in reduced cash flows, AFC's class would bear losses first. Holders of the CDO debt securities have no recourse against AFC for the liabilities of the CDOs; accordingly, AFC's exposure to loss on these investments is limited to its investment. AFC's investments in the CDOs are carried at estimated market value of $10.8 million at March 31, 2003, and are included in fixed maturities in AFC's balance sheet.</w:t>
      </w:r>
    </w:p>
    <w:p>
      <w:pPr>
        <w:spacing w:after="0" w:line="178"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PROPOSED ACCOUNTING STANDARD GAFRI's variable annuity contracts contain a guaranteed minimum death benefit ("GMDB") (which may exceed the value of the policyholder's account) to be paid if the annuityholder dies before the annuity payout period commences. Payment of any difference between the GMDB and the related account balance is borne by GAFRI and expensed when paid. In periods of declining equity markets, the GMDB difference increases as the variable annuity account value decreases. At March 31, 2003, the aggregate GMDB values (assuming every policyholder died on that date) exceeded the market value of the underlying variable annuities by $243 million. Industry practice varies, but GAFRI does not establish GAAP reserves for this mortality risk. If a proposed accounting standard becomes effective, GAFRI would be required to record a liability for the present value of expected GMDB payments. Initial recognition of a GAAP liability (estimated to be less than 4% of the difference between the underlying market value of the variable annuities and GMDB value) would be accounted for as the cumulative effect of a change in accounting principles. Death benefits paid in excess of the variable annuity account balances were about $600,000 in the first quarter of 2003 and $1.1 million in all of 2002.</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792" w:right="1440" w:bottom="1440" w:gutter="0" w:footer="0" w:header="0"/>
        </w:sectPr>
      </w:pPr>
    </w:p>
    <w:bookmarkStart w:id="73" w:name="page74"/>
    <w:bookmarkEnd w:id="73"/>
    <w:p>
      <w:pPr>
        <w:jc w:val="center"/>
        <w:ind w:right="4280"/>
        <w:spacing w:after="0"/>
        <w:rPr>
          <w:sz w:val="20"/>
          <w:szCs w:val="20"/>
          <w:color w:val="auto"/>
        </w:rPr>
      </w:pPr>
      <w:r>
        <w:rPr>
          <w:rFonts w:ascii="Courier New" w:cs="Courier New" w:eastAsia="Courier New" w:hAnsi="Courier New"/>
          <w:sz w:val="15"/>
          <w:szCs w:val="15"/>
          <w:color w:val="auto"/>
        </w:rPr>
        <w:t>AMERICAN FINANCIAL CORPORATION AND SUBSIDIARIES</w:t>
      </w:r>
    </w:p>
    <w:p>
      <w:pPr>
        <w:spacing w:after="0" w:line="166"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CONSOLIDATED BALANCE SHEET</w:t>
      </w:r>
    </w:p>
    <w:p>
      <w:pPr>
        <w:jc w:val="center"/>
        <w:ind w:right="436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3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March 31,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440" w:type="dxa"/>
            <w:vAlign w:val="bottom"/>
          </w:tcPr>
          <w:p>
            <w:pPr>
              <w:spacing w:after="0"/>
              <w:rPr>
                <w:sz w:val="14"/>
                <w:szCs w:val="14"/>
                <w:color w:val="auto"/>
              </w:rPr>
            </w:pPr>
          </w:p>
        </w:tc>
        <w:tc>
          <w:tcPr>
            <w:tcW w:w="3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440" w:type="dxa"/>
            <w:vAlign w:val="bottom"/>
          </w:tcPr>
          <w:p>
            <w:pPr>
              <w:spacing w:after="0"/>
              <w:rPr>
                <w:sz w:val="14"/>
                <w:szCs w:val="14"/>
                <w:color w:val="auto"/>
              </w:rPr>
            </w:pP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728,868</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870,797</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w:t>
            </w:r>
          </w:p>
        </w:tc>
        <w:tc>
          <w:tcPr>
            <w:tcW w:w="33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Fixed maturities - at market</w:t>
            </w:r>
          </w:p>
        </w:tc>
        <w:tc>
          <w:tcPr>
            <w:tcW w:w="33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(amortized cost - $10,990,657 and $11,549,710)</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11,445,257</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12,006,910</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stocks - at market</w:t>
            </w:r>
          </w:p>
        </w:tc>
        <w:tc>
          <w:tcPr>
            <w:tcW w:w="33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(cost - $161,045 and $173,933)</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251,245</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299,133</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in investee corporations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211,163</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Policy loans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213,462</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214,852</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Real estate and other investments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248,957</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257,731</w:t>
            </w:r>
          </w:p>
        </w:tc>
      </w:tr>
      <w:tr>
        <w:trPr>
          <w:trHeight w:val="168"/>
        </w:trPr>
        <w:tc>
          <w:tcPr>
            <w:tcW w:w="6440" w:type="dxa"/>
            <w:vAlign w:val="bottom"/>
          </w:tcPr>
          <w:p>
            <w:pPr>
              <w:spacing w:after="0"/>
              <w:rPr>
                <w:sz w:val="14"/>
                <w:szCs w:val="14"/>
                <w:color w:val="auto"/>
              </w:rPr>
            </w:pP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12,370,084</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12,778,626</w:t>
            </w:r>
          </w:p>
        </w:tc>
      </w:tr>
      <w:tr>
        <w:trPr>
          <w:trHeight w:val="336"/>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Recoverables from reinsurers and prepaid</w:t>
            </w: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reinsurance premiums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2,915,464</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2,866,780</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Agents' balances and premiums receivable</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484,185</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708,327</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acquisition costs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815,469</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842,070</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264,701</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306,904</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Variable annuity assets (separate accounts)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431,134</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455,142</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deferred charges and other assets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348,071</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425,127</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Goodwill</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173,408</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248,683</w:t>
            </w:r>
          </w:p>
        </w:tc>
      </w:tr>
      <w:tr>
        <w:trPr>
          <w:trHeight w:val="168"/>
        </w:trPr>
        <w:tc>
          <w:tcPr>
            <w:tcW w:w="6440" w:type="dxa"/>
            <w:vAlign w:val="bottom"/>
          </w:tcPr>
          <w:p>
            <w:pPr>
              <w:spacing w:after="0"/>
              <w:rPr>
                <w:sz w:val="14"/>
                <w:szCs w:val="14"/>
                <w:color w:val="auto"/>
              </w:rPr>
            </w:pP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$18,531,384</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$19,502,456</w:t>
            </w:r>
          </w:p>
        </w:tc>
      </w:tr>
      <w:tr>
        <w:trPr>
          <w:trHeight w:val="168"/>
        </w:trPr>
        <w:tc>
          <w:tcPr>
            <w:tcW w:w="6440" w:type="dxa"/>
            <w:vAlign w:val="bottom"/>
          </w:tcPr>
          <w:p>
            <w:pPr>
              <w:spacing w:after="0"/>
              <w:rPr>
                <w:sz w:val="14"/>
                <w:szCs w:val="14"/>
                <w:color w:val="auto"/>
              </w:rPr>
            </w:pP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CAPITAL:</w:t>
            </w:r>
          </w:p>
        </w:tc>
        <w:tc>
          <w:tcPr>
            <w:tcW w:w="33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Unpaid losses and loss adjustment expenses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$ 4,601,287</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$ 5,203,831</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Unearned premiums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1,543,347</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1,847,924</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Annuity benefits accumulated</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6,610,445</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6,453,881</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Life, accident and health reserves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934,274</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902,393</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Payable to reinsurers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438,406</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508,718</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Payable to American Financial Group, Inc.</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295,800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310,010</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debt:</w:t>
            </w:r>
          </w:p>
        </w:tc>
        <w:tc>
          <w:tcPr>
            <w:tcW w:w="33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Holding companies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114,723</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267,512</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Subsidiaries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296,369</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296,771</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Variable annuity liabilities (separate accounts)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431,134</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455,142</w:t>
            </w:r>
          </w:p>
        </w:tc>
      </w:tr>
      <w:tr>
        <w:trPr>
          <w:trHeight w:val="168"/>
        </w:trPr>
        <w:tc>
          <w:tcPr>
            <w:tcW w:w="6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accrued expenses and other</w:t>
            </w:r>
          </w:p>
        </w:tc>
        <w:tc>
          <w:tcPr>
            <w:tcW w:w="33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1,038,415</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1,032,079</w:t>
            </w:r>
          </w:p>
        </w:tc>
      </w:tr>
      <w:tr>
        <w:trPr>
          <w:trHeight w:val="168"/>
        </w:trPr>
        <w:tc>
          <w:tcPr>
            <w:tcW w:w="6440" w:type="dxa"/>
            <w:vAlign w:val="bottom"/>
          </w:tcPr>
          <w:p>
            <w:pPr>
              <w:spacing w:after="0"/>
              <w:rPr>
                <w:sz w:val="14"/>
                <w:szCs w:val="14"/>
                <w:color w:val="auto"/>
              </w:rPr>
            </w:pP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16,304,200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17,278,261</w:t>
            </w:r>
          </w:p>
        </w:tc>
      </w:tr>
      <w:tr>
        <w:trPr>
          <w:trHeight w:val="336"/>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3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491,551</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494,472</w:t>
            </w:r>
          </w:p>
        </w:tc>
      </w:tr>
      <w:tr>
        <w:trPr>
          <w:trHeight w:val="336"/>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Shareholders' Equity:</w:t>
            </w: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 - at liquidation value</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72,154</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72,154</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 no par value</w:t>
            </w:r>
          </w:p>
        </w:tc>
        <w:tc>
          <w:tcPr>
            <w:tcW w:w="33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- 20,000,000 shares authorized</w:t>
            </w:r>
          </w:p>
        </w:tc>
        <w:tc>
          <w:tcPr>
            <w:tcW w:w="33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- 10,593,000 shares outstanding</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9,625</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9,625</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surplus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987,899</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987,539</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377,155</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343,705</w:t>
            </w:r>
          </w:p>
        </w:tc>
      </w:tr>
      <w:tr>
        <w:trPr>
          <w:trHeight w:val="168"/>
        </w:trPr>
        <w:tc>
          <w:tcPr>
            <w:tcW w:w="6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Unrealized gain on marketable securities, net</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288,800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316,700</w:t>
            </w:r>
          </w:p>
        </w:tc>
      </w:tr>
      <w:tr>
        <w:trPr>
          <w:trHeight w:val="168"/>
        </w:trPr>
        <w:tc>
          <w:tcPr>
            <w:tcW w:w="6440" w:type="dxa"/>
            <w:vAlign w:val="bottom"/>
          </w:tcPr>
          <w:p>
            <w:pPr>
              <w:spacing w:after="0"/>
              <w:rPr>
                <w:sz w:val="14"/>
                <w:szCs w:val="14"/>
                <w:color w:val="auto"/>
              </w:rPr>
            </w:pP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1,735,633</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1,729,723</w:t>
            </w:r>
          </w:p>
        </w:tc>
      </w:tr>
      <w:tr>
        <w:trPr>
          <w:trHeight w:val="168"/>
        </w:trPr>
        <w:tc>
          <w:tcPr>
            <w:tcW w:w="6440" w:type="dxa"/>
            <w:vAlign w:val="bottom"/>
          </w:tcPr>
          <w:p>
            <w:pPr>
              <w:spacing w:after="0"/>
              <w:rPr>
                <w:sz w:val="14"/>
                <w:szCs w:val="14"/>
                <w:color w:val="auto"/>
              </w:rPr>
            </w:pP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$18,531,384</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$19,502,456</w:t>
            </w:r>
          </w:p>
        </w:tc>
      </w:tr>
      <w:tr>
        <w:trPr>
          <w:trHeight w:val="168"/>
        </w:trPr>
        <w:tc>
          <w:tcPr>
            <w:tcW w:w="6440" w:type="dxa"/>
            <w:vAlign w:val="bottom"/>
          </w:tcPr>
          <w:p>
            <w:pPr>
              <w:spacing w:after="0"/>
              <w:rPr>
                <w:sz w:val="14"/>
                <w:szCs w:val="14"/>
                <w:color w:val="auto"/>
              </w:rPr>
            </w:pPr>
          </w:p>
        </w:tc>
        <w:tc>
          <w:tcPr>
            <w:tcW w:w="3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1380"/>
          </w:cols>
          <w:pgMar w:left="220" w:top="449" w:right="299" w:bottom="1440" w:gutter="0" w:footer="0" w:header="0"/>
        </w:sectPr>
      </w:pPr>
    </w:p>
    <w:bookmarkStart w:id="74" w:name="page75"/>
    <w:bookmarkEnd w:id="74"/>
    <w:p>
      <w:pPr>
        <w:jc w:val="center"/>
        <w:ind w:right="3580"/>
        <w:spacing w:after="0"/>
        <w:rPr>
          <w:sz w:val="20"/>
          <w:szCs w:val="20"/>
          <w:color w:val="auto"/>
        </w:rPr>
      </w:pPr>
      <w:r>
        <w:rPr>
          <w:rFonts w:ascii="Courier New" w:cs="Courier New" w:eastAsia="Courier New" w:hAnsi="Courier New"/>
          <w:sz w:val="15"/>
          <w:szCs w:val="15"/>
          <w:color w:val="auto"/>
        </w:rPr>
        <w:t>AMERICAN FINANCIAL CORPORATION AND SUBSIDIARIES</w:t>
      </w:r>
    </w:p>
    <w:p>
      <w:pPr>
        <w:jc w:val="center"/>
        <w:ind w:right="3660"/>
        <w:spacing w:after="0" w:line="237" w:lineRule="auto"/>
        <w:rPr>
          <w:sz w:val="20"/>
          <w:szCs w:val="20"/>
          <w:color w:val="auto"/>
        </w:rPr>
      </w:pPr>
      <w:r>
        <w:rPr>
          <w:rFonts w:ascii="Courier New" w:cs="Courier New" w:eastAsia="Courier New" w:hAnsi="Courier New"/>
          <w:sz w:val="15"/>
          <w:szCs w:val="15"/>
          <w:color w:val="auto"/>
        </w:rPr>
        <w:t>CONSOLIDATED STATEMENT OF EARNINGS</w:t>
      </w:r>
    </w:p>
    <w:p>
      <w:pPr>
        <w:jc w:val="center"/>
        <w:ind w:right="366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41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6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6520" w:type="dxa"/>
            <w:vAlign w:val="bottom"/>
          </w:tcPr>
          <w:p>
            <w:pPr>
              <w:spacing w:after="0"/>
              <w:rPr>
                <w:sz w:val="14"/>
                <w:szCs w:val="14"/>
                <w:color w:val="auto"/>
              </w:rPr>
            </w:pPr>
          </w:p>
        </w:tc>
        <w:tc>
          <w:tcPr>
            <w:tcW w:w="4160" w:type="dxa"/>
            <w:vAlign w:val="bottom"/>
            <w:gridSpan w:val="2"/>
          </w:tcPr>
          <w:p>
            <w:pPr>
              <w:ind w:left="19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520" w:type="dxa"/>
            <w:vAlign w:val="bottom"/>
          </w:tcPr>
          <w:p>
            <w:pPr>
              <w:spacing w:after="0"/>
              <w:rPr>
                <w:sz w:val="14"/>
                <w:szCs w:val="14"/>
                <w:color w:val="auto"/>
              </w:rPr>
            </w:pP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520" w:type="dxa"/>
            <w:vAlign w:val="bottom"/>
          </w:tcPr>
          <w:p>
            <w:pPr>
              <w:spacing w:after="0"/>
              <w:rPr>
                <w:sz w:val="14"/>
                <w:szCs w:val="14"/>
                <w:color w:val="auto"/>
              </w:rPr>
            </w:pP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casualty insurance premiums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$542,785</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$603,908</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Life, accident and health premiums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74,110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70,935</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203,005</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220,959</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Realized gains (losses) on:</w:t>
            </w:r>
          </w:p>
        </w:tc>
        <w:tc>
          <w:tcPr>
            <w:tcW w:w="25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Securities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2,239</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(17,800)</w:t>
            </w: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Subsidiary</w:t>
            </w:r>
          </w:p>
        </w:tc>
        <w:tc>
          <w:tcPr>
            <w:tcW w:w="25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(39,386)</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57,438</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47,612</w:t>
            </w:r>
          </w:p>
        </w:tc>
      </w:tr>
      <w:tr>
        <w:trPr>
          <w:trHeight w:val="168"/>
        </w:trPr>
        <w:tc>
          <w:tcPr>
            <w:tcW w:w="6520" w:type="dxa"/>
            <w:vAlign w:val="bottom"/>
          </w:tcPr>
          <w:p>
            <w:pPr>
              <w:spacing w:after="0"/>
              <w:rPr>
                <w:sz w:val="14"/>
                <w:szCs w:val="14"/>
                <w:color w:val="auto"/>
              </w:rPr>
            </w:pP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840,191</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925,614</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25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casualty insurance:</w:t>
            </w:r>
          </w:p>
        </w:tc>
        <w:tc>
          <w:tcPr>
            <w:tcW w:w="25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Losses and loss adjustment expenses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371,970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442,913</w:t>
            </w: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Commissions and other underwriting expenses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156,437</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170,266</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Annuity benefits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74,847</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75,525</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Life, accident and health benefits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59,596</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55,920</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Annuity and life acquisition expenses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27,298</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24,779</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charges on borrowed money</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9,146</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11,094</w:t>
            </w: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operating and general expenses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95,597</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88,532</w:t>
            </w:r>
          </w:p>
        </w:tc>
      </w:tr>
      <w:tr>
        <w:trPr>
          <w:trHeight w:val="168"/>
        </w:trPr>
        <w:tc>
          <w:tcPr>
            <w:tcW w:w="6520" w:type="dxa"/>
            <w:vAlign w:val="bottom"/>
          </w:tcPr>
          <w:p>
            <w:pPr>
              <w:spacing w:after="0"/>
              <w:rPr>
                <w:sz w:val="14"/>
                <w:szCs w:val="14"/>
                <w:color w:val="auto"/>
              </w:rPr>
            </w:pP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794,891</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869,029</w:t>
            </w:r>
          </w:p>
        </w:tc>
      </w:tr>
      <w:tr>
        <w:trPr>
          <w:trHeight w:val="168"/>
        </w:trPr>
        <w:tc>
          <w:tcPr>
            <w:tcW w:w="6520" w:type="dxa"/>
            <w:vAlign w:val="bottom"/>
          </w:tcPr>
          <w:p>
            <w:pPr>
              <w:spacing w:after="0"/>
              <w:rPr>
                <w:sz w:val="14"/>
                <w:szCs w:val="14"/>
                <w:color w:val="auto"/>
              </w:rPr>
            </w:pP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earnings before income taxes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45,300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56,585</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8,389</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2,703</w:t>
            </w:r>
          </w:p>
        </w:tc>
      </w:tr>
      <w:tr>
        <w:trPr>
          <w:trHeight w:val="168"/>
        </w:trPr>
        <w:tc>
          <w:tcPr>
            <w:tcW w:w="6520" w:type="dxa"/>
            <w:vAlign w:val="bottom"/>
          </w:tcPr>
          <w:p>
            <w:pPr>
              <w:spacing w:after="0"/>
              <w:rPr>
                <w:sz w:val="14"/>
                <w:szCs w:val="14"/>
                <w:color w:val="auto"/>
              </w:rPr>
            </w:pP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operating earnings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36,911</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53,882</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Minority interest expense, net of tax</w:t>
            </w:r>
          </w:p>
        </w:tc>
        <w:tc>
          <w:tcPr>
            <w:tcW w:w="2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(4,018)</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(5,068)</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earnings (losses) of investees, net of tax</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(2,734)</w:t>
            </w:r>
          </w:p>
        </w:tc>
      </w:tr>
      <w:tr>
        <w:trPr>
          <w:trHeight w:val="168"/>
        </w:trPr>
        <w:tc>
          <w:tcPr>
            <w:tcW w:w="6520" w:type="dxa"/>
            <w:vAlign w:val="bottom"/>
          </w:tcPr>
          <w:p>
            <w:pPr>
              <w:spacing w:after="0"/>
              <w:rPr>
                <w:sz w:val="14"/>
                <w:szCs w:val="14"/>
                <w:color w:val="auto"/>
              </w:rPr>
            </w:pP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before cumulative effect of accounting change</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33,450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46,080</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2580" w:type="dxa"/>
            <w:vAlign w:val="bottom"/>
          </w:tcPr>
          <w:p>
            <w:pPr>
              <w:ind w:left="19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(40,360)</w:t>
            </w:r>
          </w:p>
        </w:tc>
      </w:tr>
      <w:tr>
        <w:trPr>
          <w:trHeight w:val="168"/>
        </w:trPr>
        <w:tc>
          <w:tcPr>
            <w:tcW w:w="6520" w:type="dxa"/>
            <w:vAlign w:val="bottom"/>
          </w:tcPr>
          <w:p>
            <w:pPr>
              <w:spacing w:after="0"/>
              <w:rPr>
                <w:sz w:val="14"/>
                <w:szCs w:val="14"/>
                <w:color w:val="auto"/>
              </w:rPr>
            </w:pP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w:t>
            </w: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$ 33,450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5,720</w:t>
            </w:r>
          </w:p>
        </w:tc>
      </w:tr>
      <w:tr>
        <w:trPr>
          <w:trHeight w:val="168"/>
        </w:trPr>
        <w:tc>
          <w:tcPr>
            <w:tcW w:w="6520" w:type="dxa"/>
            <w:vAlign w:val="bottom"/>
          </w:tcPr>
          <w:p>
            <w:pPr>
              <w:spacing w:after="0"/>
              <w:rPr>
                <w:sz w:val="14"/>
                <w:szCs w:val="14"/>
                <w:color w:val="auto"/>
              </w:rPr>
            </w:pPr>
          </w:p>
        </w:tc>
        <w:tc>
          <w:tcPr>
            <w:tcW w:w="2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680"/>
          </w:cols>
          <w:pgMar w:left="220" w:top="785" w:right="999" w:bottom="1440" w:gutter="0" w:footer="0" w:header="0"/>
        </w:sectPr>
      </w:pPr>
    </w:p>
    <w:bookmarkStart w:id="75" w:name="page76"/>
    <w:bookmarkEnd w:id="75"/>
    <w:p>
      <w:pPr>
        <w:jc w:val="center"/>
        <w:ind w:right="4360"/>
        <w:spacing w:after="0"/>
        <w:rPr>
          <w:sz w:val="20"/>
          <w:szCs w:val="20"/>
          <w:color w:val="auto"/>
        </w:rPr>
      </w:pPr>
      <w:r>
        <w:rPr>
          <w:rFonts w:ascii="Courier New" w:cs="Courier New" w:eastAsia="Courier New" w:hAnsi="Courier New"/>
          <w:sz w:val="15"/>
          <w:szCs w:val="15"/>
          <w:color w:val="auto"/>
        </w:rPr>
        <w:t>AMERICAN FINANCIAL CORPORATION AND SUBSIDIARIES</w:t>
      </w:r>
    </w:p>
    <w:p>
      <w:pPr>
        <w:jc w:val="center"/>
        <w:ind w:right="4360"/>
        <w:spacing w:after="0" w:line="237" w:lineRule="auto"/>
        <w:rPr>
          <w:sz w:val="20"/>
          <w:szCs w:val="20"/>
          <w:color w:val="auto"/>
        </w:rPr>
      </w:pPr>
      <w:r>
        <w:rPr>
          <w:rFonts w:ascii="Courier New" w:cs="Courier New" w:eastAsia="Courier New" w:hAnsi="Courier New"/>
          <w:sz w:val="15"/>
          <w:szCs w:val="15"/>
          <w:color w:val="auto"/>
        </w:rPr>
        <w:t>CONSOLIDATED STATEMENT OF CHANGES IN SHAREHOLDERS' EQUITY</w:t>
      </w:r>
    </w:p>
    <w:tbl>
      <w:tblPr>
        <w:tblLayout w:type="fixed"/>
        <w:tblInd w:w="0" w:type="dxa"/>
        <w:tblCellMar>
          <w:top w:w="0" w:type="dxa"/>
          <w:left w:w="0" w:type="dxa"/>
          <w:bottom w:w="0" w:type="dxa"/>
          <w:right w:w="0" w:type="dxa"/>
        </w:tblCellMar>
      </w:tblPr>
      <w:tr>
        <w:trPr>
          <w:trHeight w:val="169"/>
        </w:trPr>
        <w:tc>
          <w:tcPr>
            <w:tcW w:w="4480" w:type="dxa"/>
            <w:vAlign w:val="bottom"/>
          </w:tcPr>
          <w:p>
            <w:pPr>
              <w:ind w:left="2540"/>
              <w:spacing w:after="0" w:line="169" w:lineRule="exact"/>
              <w:rPr>
                <w:sz w:val="20"/>
                <w:szCs w:val="20"/>
                <w:color w:val="auto"/>
              </w:rPr>
            </w:pPr>
            <w:r>
              <w:rPr>
                <w:rFonts w:ascii="Courier New" w:cs="Courier New" w:eastAsia="Courier New" w:hAnsi="Courier New"/>
                <w:sz w:val="15"/>
                <w:szCs w:val="15"/>
                <w:color w:val="auto"/>
                <w:w w:val="96"/>
              </w:rPr>
              <w:t>(DOLLARS IN THOUSANDS)</w:t>
            </w:r>
          </w:p>
        </w:tc>
        <w:tc>
          <w:tcPr>
            <w:tcW w:w="1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3"/>
        </w:trPr>
        <w:tc>
          <w:tcPr>
            <w:tcW w:w="4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spacing w:after="0"/>
              <w:rPr>
                <w:sz w:val="24"/>
                <w:szCs w:val="2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Unrealized</w:t>
            </w:r>
          </w:p>
        </w:tc>
        <w:tc>
          <w:tcPr>
            <w:tcW w:w="1400" w:type="dxa"/>
            <w:vAlign w:val="bottom"/>
          </w:tcPr>
          <w:p>
            <w:pPr>
              <w:spacing w:after="0"/>
              <w:rPr>
                <w:sz w:val="24"/>
                <w:szCs w:val="24"/>
                <w:color w:val="auto"/>
              </w:rPr>
            </w:pPr>
          </w:p>
        </w:tc>
      </w:tr>
      <w:tr>
        <w:trPr>
          <w:trHeight w:val="168"/>
        </w:trPr>
        <w:tc>
          <w:tcPr>
            <w:tcW w:w="4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Preferred</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and Capital</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Retained</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Gain on</w:t>
            </w:r>
          </w:p>
        </w:tc>
        <w:tc>
          <w:tcPr>
            <w:tcW w:w="140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Surplus</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Earnings</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Securities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BALANCE AT JANUARY 1, 2003</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$72,154</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$997,164</w:t>
            </w: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$343,705</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$316,700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$1,729,723</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33,450</w:t>
            </w: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33,450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(27,900)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(27,900)</w:t>
            </w:r>
          </w:p>
        </w:tc>
      </w:tr>
      <w:tr>
        <w:trPr>
          <w:trHeight w:val="168"/>
        </w:trPr>
        <w:tc>
          <w:tcPr>
            <w:tcW w:w="4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5,550</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Capital contribution from parent</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2,333</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2,333</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(1,973)</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(1,973)</w:t>
            </w:r>
          </w:p>
        </w:tc>
      </w:tr>
      <w:tr>
        <w:trPr>
          <w:trHeight w:val="168"/>
        </w:trPr>
        <w:tc>
          <w:tcPr>
            <w:tcW w:w="4480" w:type="dxa"/>
            <w:vAlign w:val="bottom"/>
          </w:tcPr>
          <w:p>
            <w:pPr>
              <w:spacing w:after="0"/>
              <w:rPr>
                <w:sz w:val="14"/>
                <w:szCs w:val="14"/>
                <w:color w:val="auto"/>
              </w:rPr>
            </w:pP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MARCH 31, 2003</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$72,154</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$997,524</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$377,155</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$288,800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$1,735,633</w:t>
            </w:r>
          </w:p>
        </w:tc>
      </w:tr>
      <w:tr>
        <w:trPr>
          <w:trHeight w:val="168"/>
        </w:trPr>
        <w:tc>
          <w:tcPr>
            <w:tcW w:w="4480" w:type="dxa"/>
            <w:vAlign w:val="bottom"/>
          </w:tcPr>
          <w:p>
            <w:pPr>
              <w:spacing w:after="0"/>
              <w:rPr>
                <w:sz w:val="14"/>
                <w:szCs w:val="14"/>
                <w:color w:val="auto"/>
              </w:rPr>
            </w:pP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480" w:type="dxa"/>
            <w:vAlign w:val="bottom"/>
          </w:tcPr>
          <w:p>
            <w:pPr>
              <w:spacing w:after="0"/>
              <w:rPr>
                <w:sz w:val="20"/>
                <w:szCs w:val="20"/>
                <w:color w:val="auto"/>
              </w:rPr>
            </w:pPr>
            <w:r>
              <w:rPr>
                <w:rFonts w:ascii="Courier New" w:cs="Courier New" w:eastAsia="Courier New" w:hAnsi="Courier New"/>
                <w:sz w:val="15"/>
                <w:szCs w:val="15"/>
                <w:color w:val="auto"/>
              </w:rPr>
              <w:t>BALANCE AT JANUARY 1, 2002</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$72,154</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$993,750</w:t>
            </w: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$255,127</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$156,900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$1,477,931</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5,720</w:t>
            </w: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5,720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(60,900)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(60,900)</w:t>
            </w:r>
          </w:p>
        </w:tc>
      </w:tr>
      <w:tr>
        <w:trPr>
          <w:trHeight w:val="168"/>
        </w:trPr>
        <w:tc>
          <w:tcPr>
            <w:tcW w:w="4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 (loss)</w:t>
            </w:r>
          </w:p>
        </w:tc>
        <w:tc>
          <w:tcPr>
            <w:tcW w:w="1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(55,180)</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Capital contribution from parent</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1,533</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1,533</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4480" w:type="dxa"/>
            <w:vAlign w:val="bottom"/>
          </w:tcPr>
          <w:p>
            <w:pPr>
              <w:spacing w:after="0"/>
              <w:rPr>
                <w:sz w:val="14"/>
                <w:szCs w:val="14"/>
                <w:color w:val="auto"/>
              </w:rPr>
            </w:pP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MARCH 31, 2002</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$72,154</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$995,493</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$260,847</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$ 96,000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$1,424,494</w:t>
            </w:r>
          </w:p>
        </w:tc>
      </w:tr>
      <w:tr>
        <w:trPr>
          <w:trHeight w:val="168"/>
        </w:trPr>
        <w:tc>
          <w:tcPr>
            <w:tcW w:w="4480" w:type="dxa"/>
            <w:vAlign w:val="bottom"/>
          </w:tcPr>
          <w:p>
            <w:pPr>
              <w:spacing w:after="0"/>
              <w:rPr>
                <w:sz w:val="14"/>
                <w:szCs w:val="14"/>
                <w:color w:val="auto"/>
              </w:rPr>
            </w:pP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1460"/>
          </w:cols>
          <w:pgMar w:left="220" w:top="785" w:right="219" w:bottom="1440" w:gutter="0" w:footer="0" w:header="0"/>
        </w:sectPr>
      </w:pPr>
    </w:p>
    <w:bookmarkStart w:id="76" w:name="page77"/>
    <w:bookmarkEnd w:id="76"/>
    <w:p>
      <w:pPr>
        <w:ind w:left="1500"/>
        <w:spacing w:after="0"/>
        <w:rPr>
          <w:sz w:val="20"/>
          <w:szCs w:val="20"/>
          <w:color w:val="auto"/>
        </w:rPr>
      </w:pPr>
      <w:r>
        <w:rPr>
          <w:rFonts w:ascii="Courier New" w:cs="Courier New" w:eastAsia="Courier New" w:hAnsi="Courier New"/>
          <w:sz w:val="15"/>
          <w:szCs w:val="15"/>
          <w:color w:val="auto"/>
        </w:rPr>
        <w:t>AMERICAN FINANCIAL CORPORATION AND SUBSIDIARIES</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 OF CASH FLOWS</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6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780" w:type="dxa"/>
            <w:vAlign w:val="bottom"/>
          </w:tcPr>
          <w:p>
            <w:pPr>
              <w:spacing w:after="0"/>
              <w:rPr>
                <w:sz w:val="14"/>
                <w:szCs w:val="14"/>
                <w:color w:val="auto"/>
              </w:rPr>
            </w:pPr>
          </w:p>
        </w:tc>
      </w:tr>
      <w:tr>
        <w:trPr>
          <w:trHeight w:val="168"/>
        </w:trPr>
        <w:tc>
          <w:tcPr>
            <w:tcW w:w="6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20" w:type="dxa"/>
            <w:vAlign w:val="bottom"/>
            <w:gridSpan w:val="3"/>
          </w:tcPr>
          <w:p>
            <w:pPr>
              <w:ind w:left="4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2003</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33,450</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5,720</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w:t>
            </w: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740" w:type="dxa"/>
            <w:vAlign w:val="bottom"/>
          </w:tcPr>
          <w:p>
            <w:pPr>
              <w:spacing w:after="0"/>
              <w:rPr>
                <w:sz w:val="14"/>
                <w:szCs w:val="14"/>
                <w:color w:val="auto"/>
              </w:rPr>
            </w:pP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40,360</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 net (earnings) losses of investees</w:t>
            </w: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2,734</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41,177</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37,888</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Annuity benefits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74,847</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75,525</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Realized losses on investing activities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37,130</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17,605</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annuity and life policy acquisition costs</w:t>
            </w: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(44,748)</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(38,600)</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reinsurance and other receivables</w:t>
            </w: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(195,979)</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(119,921)</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Decrease (increase) in other assets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30,106</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(1,590)</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insurance claims and reserves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235,949</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152,361</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payable to reinsurers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8,490</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30,348</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other liabilities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46,129</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(34,655)</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minority interest</w:t>
            </w: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(821)</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3,284</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631</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w:t>
            </w:r>
          </w:p>
        </w:tc>
      </w:tr>
      <w:tr>
        <w:trPr>
          <w:trHeight w:val="168"/>
        </w:trPr>
        <w:tc>
          <w:tcPr>
            <w:tcW w:w="6360" w:type="dxa"/>
            <w:vAlign w:val="bottom"/>
          </w:tcPr>
          <w:p>
            <w:pPr>
              <w:spacing w:after="0"/>
              <w:rPr>
                <w:sz w:val="14"/>
                <w:szCs w:val="14"/>
                <w:color w:val="auto"/>
              </w:rPr>
            </w:pPr>
          </w:p>
        </w:tc>
        <w:tc>
          <w:tcPr>
            <w:tcW w:w="2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265,804</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171,380</w:t>
            </w:r>
          </w:p>
        </w:tc>
      </w:tr>
      <w:tr>
        <w:trPr>
          <w:trHeight w:val="168"/>
        </w:trPr>
        <w:tc>
          <w:tcPr>
            <w:tcW w:w="6360" w:type="dxa"/>
            <w:vAlign w:val="bottom"/>
          </w:tcPr>
          <w:p>
            <w:pPr>
              <w:spacing w:after="0"/>
              <w:rPr>
                <w:sz w:val="14"/>
                <w:szCs w:val="14"/>
                <w:color w:val="auto"/>
              </w:rPr>
            </w:pPr>
          </w:p>
        </w:tc>
        <w:tc>
          <w:tcPr>
            <w:tcW w:w="2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and additional investments in:</w:t>
            </w: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Fixed maturity investments</w:t>
            </w:r>
          </w:p>
        </w:tc>
        <w:tc>
          <w:tcPr>
            <w:tcW w:w="2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(1,817,002)</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(1,499,179)</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(8,168)</w:t>
            </w:r>
          </w:p>
        </w:tc>
        <w:tc>
          <w:tcPr>
            <w:tcW w:w="132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Real estate, property and equipment</w:t>
            </w: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(5,124)</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(4,518)</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Maturities and redemptions of fixed maturity</w:t>
            </w: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522,366</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408,962</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 of:</w:t>
            </w: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Fixed maturity investments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873,948</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597,159</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1,820</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5,164</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Subsidiary</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186,269</w:t>
            </w:r>
          </w:p>
        </w:tc>
        <w:tc>
          <w:tcPr>
            <w:tcW w:w="132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Real estate, property and equipment</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386</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1,669</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short-term investments of former subsidiary</w:t>
            </w: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(86,781)</w:t>
            </w:r>
          </w:p>
        </w:tc>
        <w:tc>
          <w:tcPr>
            <w:tcW w:w="132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 other investments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4,656</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3,368</w:t>
            </w:r>
          </w:p>
        </w:tc>
      </w:tr>
      <w:tr>
        <w:trPr>
          <w:trHeight w:val="168"/>
        </w:trPr>
        <w:tc>
          <w:tcPr>
            <w:tcW w:w="6360" w:type="dxa"/>
            <w:vAlign w:val="bottom"/>
          </w:tcPr>
          <w:p>
            <w:pPr>
              <w:spacing w:after="0"/>
              <w:rPr>
                <w:sz w:val="14"/>
                <w:szCs w:val="14"/>
                <w:color w:val="auto"/>
              </w:rPr>
            </w:pPr>
          </w:p>
        </w:tc>
        <w:tc>
          <w:tcPr>
            <w:tcW w:w="2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(327,630)</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(487,375)</w:t>
            </w:r>
          </w:p>
        </w:tc>
      </w:tr>
      <w:tr>
        <w:trPr>
          <w:trHeight w:val="168"/>
        </w:trPr>
        <w:tc>
          <w:tcPr>
            <w:tcW w:w="6360" w:type="dxa"/>
            <w:vAlign w:val="bottom"/>
          </w:tcPr>
          <w:p>
            <w:pPr>
              <w:spacing w:after="0"/>
              <w:rPr>
                <w:sz w:val="14"/>
                <w:szCs w:val="14"/>
                <w:color w:val="auto"/>
              </w:rPr>
            </w:pPr>
          </w:p>
        </w:tc>
        <w:tc>
          <w:tcPr>
            <w:tcW w:w="2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Fixed annuity receipts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214,519</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169,872</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Annuity surrenders, benefits and withdrawals</w:t>
            </w: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(140,294)</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(135,912)</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transfers from (to) variable annuity assets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8,629</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(5,570)</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long-term borrowings</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18,311</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41,000</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Reductions of long-term debt</w:t>
            </w: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(171,601)</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(20,240)</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Borrowings from AFG</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1,500</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4,400</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to AFG</w:t>
            </w: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(13,500)</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contribution</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2,333</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2,333</w:t>
            </w:r>
          </w:p>
        </w:tc>
      </w:tr>
      <w:tr>
        <w:trPr>
          <w:trHeight w:val="168"/>
        </w:trPr>
        <w:tc>
          <w:tcPr>
            <w:tcW w:w="6360" w:type="dxa"/>
            <w:vAlign w:val="bottom"/>
          </w:tcPr>
          <w:p>
            <w:pPr>
              <w:spacing w:after="0"/>
              <w:rPr>
                <w:sz w:val="14"/>
                <w:szCs w:val="14"/>
                <w:color w:val="auto"/>
              </w:rPr>
            </w:pPr>
          </w:p>
        </w:tc>
        <w:tc>
          <w:tcPr>
            <w:tcW w:w="2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(80,103)</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43,883</w:t>
            </w:r>
          </w:p>
        </w:tc>
      </w:tr>
      <w:tr>
        <w:trPr>
          <w:trHeight w:val="168"/>
        </w:trPr>
        <w:tc>
          <w:tcPr>
            <w:tcW w:w="6360" w:type="dxa"/>
            <w:vAlign w:val="bottom"/>
          </w:tcPr>
          <w:p>
            <w:pPr>
              <w:spacing w:after="0"/>
              <w:rPr>
                <w:sz w:val="14"/>
                <w:szCs w:val="14"/>
                <w:color w:val="auto"/>
              </w:rPr>
            </w:pPr>
          </w:p>
        </w:tc>
        <w:tc>
          <w:tcPr>
            <w:tcW w:w="2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 CASH AND SHORT-TERM INVESTMENTS</w:t>
            </w:r>
          </w:p>
        </w:tc>
        <w:tc>
          <w:tcPr>
            <w:tcW w:w="17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(141,929)</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(272,112)</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 at beginning</w:t>
            </w: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period</w:t>
            </w:r>
          </w:p>
        </w:tc>
        <w:tc>
          <w:tcPr>
            <w:tcW w:w="17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870,797</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543,644</w:t>
            </w:r>
          </w:p>
        </w:tc>
      </w:tr>
      <w:tr>
        <w:trPr>
          <w:trHeight w:val="168"/>
        </w:trPr>
        <w:tc>
          <w:tcPr>
            <w:tcW w:w="6360" w:type="dxa"/>
            <w:vAlign w:val="bottom"/>
          </w:tcPr>
          <w:p>
            <w:pPr>
              <w:spacing w:after="0"/>
              <w:rPr>
                <w:sz w:val="14"/>
                <w:szCs w:val="14"/>
                <w:color w:val="auto"/>
              </w:rPr>
            </w:pPr>
          </w:p>
        </w:tc>
        <w:tc>
          <w:tcPr>
            <w:tcW w:w="2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short-term investments at end of period</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728,868</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271,532</w:t>
            </w:r>
          </w:p>
        </w:tc>
      </w:tr>
      <w:tr>
        <w:trPr>
          <w:trHeight w:val="168"/>
        </w:trPr>
        <w:tc>
          <w:tcPr>
            <w:tcW w:w="6360" w:type="dxa"/>
            <w:vAlign w:val="bottom"/>
          </w:tcPr>
          <w:p>
            <w:pPr>
              <w:spacing w:after="0"/>
              <w:rPr>
                <w:sz w:val="14"/>
                <w:szCs w:val="14"/>
                <w:color w:val="auto"/>
              </w:rPr>
            </w:pPr>
          </w:p>
        </w:tc>
        <w:tc>
          <w:tcPr>
            <w:tcW w:w="2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1120"/>
          </w:cols>
          <w:pgMar w:left="220" w:top="785" w:right="559" w:bottom="1440" w:gutter="0" w:footer="0" w:header="0"/>
        </w:sectPr>
      </w:pPr>
    </w:p>
    <w:bookmarkStart w:id="77" w:name="page78"/>
    <w:bookmarkEnd w:id="77"/>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530" w:hanging="530"/>
        <w:spacing w:after="0"/>
        <w:tabs>
          <w:tab w:leader="none" w:pos="53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POLICIES</w:t>
      </w:r>
    </w:p>
    <w:p>
      <w:pPr>
        <w:spacing w:after="0" w:line="172" w:lineRule="exact"/>
        <w:rPr>
          <w:rFonts w:ascii="Courier New" w:cs="Courier New" w:eastAsia="Courier New" w:hAnsi="Courier New"/>
          <w:sz w:val="15"/>
          <w:szCs w:val="15"/>
          <w:color w:val="auto"/>
        </w:rPr>
      </w:pPr>
    </w:p>
    <w:p>
      <w:pPr>
        <w:ind w:left="5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BASIS OF PRESENTATION The accompanying consolidated financial statements for American Financial Corporation ("AFC") and subsidiaries are unaudited; however, management believes that all adjustments (consisting only of normal recurring accruals unless otherwise disclosed herein) necessary for fair presentation have been made. The results of operations for interim periods are not necessarily indicative of results to be expected for the year. The financial statements have been prepared in accordance with the instructions to Form 10-Q and therefore do not include all information and footnotes necessary to be in conformity with generally accepted accounting principles.</w:t>
      </w:r>
    </w:p>
    <w:p>
      <w:pPr>
        <w:spacing w:after="0" w:line="333" w:lineRule="exact"/>
        <w:rPr>
          <w:rFonts w:ascii="Courier New" w:cs="Courier New" w:eastAsia="Courier New" w:hAnsi="Courier New"/>
          <w:sz w:val="15"/>
          <w:szCs w:val="15"/>
          <w:color w:val="auto"/>
        </w:rPr>
      </w:pPr>
    </w:p>
    <w:p>
      <w:pPr>
        <w:ind w:left="53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Certain reclassifications have been made to prior years to conform to the current year's presentation. All significant intercompany balances and transactions have been eliminated. All acquisitions have been treated as purchases. The results of operations of companies since their formation or acquisition are included in the consolidated financial statements.</w:t>
      </w:r>
    </w:p>
    <w:p>
      <w:pPr>
        <w:spacing w:after="0" w:line="163" w:lineRule="exact"/>
        <w:rPr>
          <w:rFonts w:ascii="Courier New" w:cs="Courier New" w:eastAsia="Courier New" w:hAnsi="Courier New"/>
          <w:sz w:val="15"/>
          <w:szCs w:val="15"/>
          <w:color w:val="auto"/>
        </w:rPr>
      </w:pPr>
    </w:p>
    <w:p>
      <w:pPr>
        <w:ind w:left="530" w:right="34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preparation of the financial statements requires management to make estimates and assumptions that affect the amounts reported in the financial statements and accompanying notes. Changes in circumstances could cause actual results to differ materially from those estimates.</w:t>
      </w:r>
    </w:p>
    <w:p>
      <w:pPr>
        <w:spacing w:after="0" w:line="164" w:lineRule="exact"/>
        <w:rPr>
          <w:rFonts w:ascii="Courier New" w:cs="Courier New" w:eastAsia="Courier New" w:hAnsi="Courier New"/>
          <w:sz w:val="15"/>
          <w:szCs w:val="15"/>
          <w:color w:val="auto"/>
        </w:rPr>
      </w:pPr>
    </w:p>
    <w:p>
      <w:pPr>
        <w:ind w:left="5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INVESTMENTS All fixed maturity securities are considered "available for sale" and reported at fair value with unrealized gains and losses reported as a separate component of shareholders' equity. Short-term investments are carried at cost; loans receivable are carried primarily at the aggregate unpaid balance. Premiums and discounts on mortgage-backed securities are amortized over a period based on estimated future principal payments, including prepayments. Prepayment assumptions are reviewed periodically and adjusted to reflect actual prepayments and changes in expectations. The most significant determinants of prepayments are the difference between interest rates on the underlying mortgages and current mortgage loan rates and the structure of the security. Other factors affecting prepayments include the size, type and age of underlying mortgages, the geographic location of the mortgaged properties and the credit worthiness of the borrowers. Variations from anticipated prepayments will affect the life and yield of these securities.</w:t>
      </w:r>
    </w:p>
    <w:p>
      <w:pPr>
        <w:spacing w:after="0" w:line="163" w:lineRule="exact"/>
        <w:rPr>
          <w:rFonts w:ascii="Courier New" w:cs="Courier New" w:eastAsia="Courier New" w:hAnsi="Courier New"/>
          <w:sz w:val="15"/>
          <w:szCs w:val="15"/>
          <w:color w:val="auto"/>
        </w:rPr>
      </w:pPr>
    </w:p>
    <w:p>
      <w:pPr>
        <w:ind w:left="53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Gains or losses on securities are determined on the specific identification basis. When a decline in the value of a specific investment is considered to be other than temporary, a provision for impairment is charged to earnings and the cost basis of that investment is reduced.</w:t>
      </w:r>
    </w:p>
    <w:p>
      <w:pPr>
        <w:spacing w:after="0" w:line="164" w:lineRule="exact"/>
        <w:rPr>
          <w:rFonts w:ascii="Courier New" w:cs="Courier New" w:eastAsia="Courier New" w:hAnsi="Courier New"/>
          <w:sz w:val="15"/>
          <w:szCs w:val="15"/>
          <w:color w:val="auto"/>
        </w:rPr>
      </w:pPr>
    </w:p>
    <w:p>
      <w:pPr>
        <w:ind w:left="530" w:right="33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Interest income on non-investment grade asset-backed investments is recorded at a yield based on projected cash flows. The yield is adjusted prospectively to reflect actual cash flows and changes in projected amounts. Impairment losses on these investments must be recognized when</w:t>
      </w:r>
    </w:p>
    <w:p>
      <w:pPr>
        <w:spacing w:after="0" w:line="1" w:lineRule="exact"/>
        <w:rPr>
          <w:rFonts w:ascii="Courier New" w:cs="Courier New" w:eastAsia="Courier New" w:hAnsi="Courier New"/>
          <w:sz w:val="15"/>
          <w:szCs w:val="15"/>
          <w:color w:val="auto"/>
        </w:rPr>
      </w:pPr>
    </w:p>
    <w:p>
      <w:pPr>
        <w:ind w:left="530" w:right="3499" w:hanging="6"/>
        <w:spacing w:after="0" w:line="235" w:lineRule="auto"/>
        <w:tabs>
          <w:tab w:leader="none" w:pos="88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the security is less than its cost basis and (ii) there has been an adverse change in the expected cash flows. These impairment losses are included in realized gains and losses.</w:t>
      </w:r>
    </w:p>
    <w:p>
      <w:pPr>
        <w:spacing w:after="0" w:line="174" w:lineRule="exact"/>
        <w:rPr>
          <w:sz w:val="20"/>
          <w:szCs w:val="20"/>
          <w:color w:val="auto"/>
        </w:rPr>
      </w:pPr>
    </w:p>
    <w:p>
      <w:pPr>
        <w:ind w:left="530" w:right="3499"/>
        <w:spacing w:after="0" w:line="258" w:lineRule="auto"/>
        <w:rPr>
          <w:sz w:val="20"/>
          <w:szCs w:val="20"/>
          <w:color w:val="auto"/>
        </w:rPr>
      </w:pPr>
      <w:r>
        <w:rPr>
          <w:rFonts w:ascii="Courier New" w:cs="Courier New" w:eastAsia="Courier New" w:hAnsi="Courier New"/>
          <w:sz w:val="14"/>
          <w:szCs w:val="14"/>
          <w:color w:val="auto"/>
        </w:rPr>
        <w:t>INVESTMENT IN INVESTEE CORPORATIONS Investments in securities of 20%-to 50%-owned companies are generally carried at cost, adjusted for AFC's proportionate share of their undistributed earnings or losses.</w:t>
      </w:r>
    </w:p>
    <w:p>
      <w:pPr>
        <w:spacing w:after="0" w:line="15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9"/>
          </w:cols>
          <w:pgMar w:left="230" w:top="785" w:right="1440" w:bottom="1440" w:gutter="0" w:footer="0" w:header="0"/>
        </w:sectPr>
      </w:pPr>
    </w:p>
    <w:bookmarkStart w:id="78" w:name="page79"/>
    <w:bookmarkEnd w:id="78"/>
    <w:p>
      <w:pPr>
        <w:ind w:right="3239"/>
        <w:spacing w:after="0" w:line="236" w:lineRule="auto"/>
        <w:rPr>
          <w:sz w:val="20"/>
          <w:szCs w:val="20"/>
          <w:color w:val="auto"/>
        </w:rPr>
      </w:pPr>
      <w:r>
        <w:rPr>
          <w:rFonts w:ascii="Courier New" w:cs="Courier New" w:eastAsia="Courier New" w:hAnsi="Courier New"/>
          <w:sz w:val="15"/>
          <w:szCs w:val="15"/>
          <w:color w:val="auto"/>
        </w:rPr>
        <w:t>GOODWILL Goodwill represents the excess of cost of subsidiaries over AFC's equity in their underlying net assets. Effective January 1, 2002, AFC implemented Statement of Financial Accounting Standards ("SFAS") No. 142, under which goodwill is no longer amortized but is subject to an impairment test at least annually. As required under SFAS No. 142, AFC completed the transitional test for goodwill impairment (as of January 1, 2002) in the fourth quarter of 2002. The resulting write-down was reported by restating first quarter 2002 results for the cumulative effect of a change in accounting principle.</w:t>
      </w:r>
    </w:p>
    <w:p>
      <w:pPr>
        <w:spacing w:after="0" w:line="17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INSURANCE As discussed under "Reinsurance" below, unpaid losses and loss adjustment expenses and unearned premiums have not been reduced for reinsurance recoverable.</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REINSURANCE Amounts recoverable from reinsurers are estimated in a manner consistent with the claim liability associated with the reinsured policies. AFC's insurance subsidiaries report as assets (a) the estimated reinsurance recoverable on unpaid losses, including an estimate for losses incurred but not reported, and (b) amounts paid to reinsurers applicable to the unexpired terms of policies in force. Payable to reinsurers includes ceded premiums retained by AFC's insurance subsidiaries under contracts to fund ceded losses as they become due. AFC's insurance subsidiaries also assume reinsurance from other companies. Income on reinsurance assumed is recognized based on reports received from ceding companies.</w:t>
      </w:r>
    </w:p>
    <w:p>
      <w:pPr>
        <w:spacing w:after="0" w:line="180"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DEFERRED POLICY ACQUISITION COSTS ("DPAC") Policy acquisition costs (principally commissions, premium taxes and other marketing and underwriting expenses) related to the production of new business are deferred. For the property and casualty companies, DPAC is limited based upon recoverability without any consideration for anticipated investment income and is charged against income ratably over the terms of the related policies.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DPAC related to annuities and universal life insurance products is deferred to the extent deemed recoverable and amortized, with interest, in relation to the present value of expected gross profits on the policies. To the extent that realized gains and losses result in adjustments to the amortization of DPAC related to annuities, such adjustments are reflected as components of realized gains. DPAC related to annuities is also adjusted, net of tax, for the change in amortization that would have been recorded if the unrealized gains (losses) from securities had actually been realized. This adjustment is included in "Unrealized gain on marketable securities, net" in the shareholders' equity section of the Balance Sheet.</w:t>
      </w:r>
    </w:p>
    <w:p>
      <w:pPr>
        <w:spacing w:after="0" w:line="180"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DPAC related to traditional life and health insurance is amortized over the expected premium paying period of the related policies, in proportion to the ratio of annual premium revenues to total anticipated premium revenues.</w:t>
      </w:r>
    </w:p>
    <w:p>
      <w:pPr>
        <w:spacing w:after="0" w:line="175" w:lineRule="exact"/>
        <w:rPr>
          <w:sz w:val="20"/>
          <w:szCs w:val="20"/>
          <w:color w:val="auto"/>
        </w:rPr>
      </w:pPr>
    </w:p>
    <w:p>
      <w:pPr>
        <w:jc w:val="both"/>
        <w:ind w:right="3319" w:firstLine="612"/>
        <w:spacing w:after="0" w:line="236" w:lineRule="auto"/>
        <w:rPr>
          <w:sz w:val="20"/>
          <w:szCs w:val="20"/>
          <w:color w:val="auto"/>
        </w:rPr>
      </w:pPr>
      <w:r>
        <w:rPr>
          <w:rFonts w:ascii="Courier New" w:cs="Courier New" w:eastAsia="Courier New" w:hAnsi="Courier New"/>
          <w:sz w:val="15"/>
          <w:szCs w:val="15"/>
          <w:color w:val="auto"/>
        </w:rPr>
        <w:t>ANNUITY AND LIFE ACQUISITION EXPENSES Annuity and life acquisition expenses on the Statement of Earnings consists primarily of amortization of DPAC related to the annuity and life, accident and health businesses. This line item also includes certain marketing and commission costs that are expensed as paid.</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UNPAID LOSSES AND LOSS ADJUSTMENT EXPENSES The net liabilities stated for unpaid claims and for expenses of investigation and adjustment of unpaid claims are based upon (a) the accumulation of case estimates for losses reported prior to the close of the accounting period on direct business written; (b) estimates received from ceding reinsurers and insurance pools and associations;</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9699"/>
          </w:cols>
          <w:pgMar w:left="760" w:top="1296" w:right="1440" w:bottom="1440" w:gutter="0" w:footer="0" w:header="0"/>
        </w:sectPr>
      </w:pPr>
    </w:p>
    <w:bookmarkStart w:id="79" w:name="page80"/>
    <w:bookmarkEnd w:id="79"/>
    <w:p>
      <w:pPr>
        <w:jc w:val="both"/>
        <w:ind w:left="6" w:right="3239" w:hanging="6"/>
        <w:spacing w:after="0" w:line="254" w:lineRule="auto"/>
        <w:tabs>
          <w:tab w:leader="none" w:pos="35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estimates of unreported losses based on past experience; (d) estimates based on experience of expenses for investigating and adjusting claims and</w:t>
      </w:r>
    </w:p>
    <w:p>
      <w:pPr>
        <w:ind w:left="6" w:right="3319" w:hanging="6"/>
        <w:spacing w:after="0" w:line="236" w:lineRule="auto"/>
        <w:tabs>
          <w:tab w:leader="none" w:pos="35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state of the law and coverage litigation. Establishing reserves for asbestos and environmental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176" w:lineRule="exact"/>
        <w:rPr>
          <w:sz w:val="20"/>
          <w:szCs w:val="20"/>
          <w:color w:val="auto"/>
        </w:rPr>
      </w:pPr>
    </w:p>
    <w:p>
      <w:pPr>
        <w:ind w:left="6" w:right="3399"/>
        <w:spacing w:after="0" w:line="255" w:lineRule="auto"/>
        <w:rPr>
          <w:sz w:val="20"/>
          <w:szCs w:val="20"/>
          <w:color w:val="auto"/>
        </w:rPr>
      </w:pPr>
      <w:r>
        <w:rPr>
          <w:rFonts w:ascii="Courier New" w:cs="Courier New" w:eastAsia="Courier New" w:hAnsi="Courier New"/>
          <w:sz w:val="14"/>
          <w:szCs w:val="14"/>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In spite of the variability inherent in such estimates, management believes that the liabilities for unpaid losses and loss adjustment expenses are adequate.</w:t>
      </w:r>
    </w:p>
    <w:p>
      <w:pPr>
        <w:spacing w:after="0" w:line="166" w:lineRule="exact"/>
        <w:rPr>
          <w:sz w:val="20"/>
          <w:szCs w:val="20"/>
          <w:color w:val="auto"/>
        </w:rPr>
      </w:pPr>
    </w:p>
    <w:p>
      <w:pPr>
        <w:ind w:left="6" w:right="3319" w:firstLine="612"/>
        <w:spacing w:after="0" w:line="236" w:lineRule="auto"/>
        <w:rPr>
          <w:sz w:val="20"/>
          <w:szCs w:val="20"/>
          <w:color w:val="auto"/>
        </w:rPr>
      </w:pPr>
      <w:r>
        <w:rPr>
          <w:rFonts w:ascii="Courier New" w:cs="Courier New" w:eastAsia="Courier New" w:hAnsi="Courier New"/>
          <w:sz w:val="15"/>
          <w:szCs w:val="15"/>
          <w:color w:val="auto"/>
        </w:rPr>
        <w:t>ANNUITY BENEFITS ACCUMULATED Annuity receipts and benefit payments are recorded as increases or decreases in "annuity benefits accumulated" rather than as revenue and expense. Increases in this liability for interest credited are charged to expense and decreases for surrender charges are credited to other income.</w:t>
      </w:r>
    </w:p>
    <w:p>
      <w:pPr>
        <w:spacing w:after="0" w:line="174" w:lineRule="exact"/>
        <w:rPr>
          <w:sz w:val="20"/>
          <w:szCs w:val="20"/>
          <w:color w:val="auto"/>
        </w:rPr>
      </w:pPr>
    </w:p>
    <w:p>
      <w:pPr>
        <w:ind w:left="6" w:right="3239" w:firstLine="612"/>
        <w:spacing w:after="0" w:line="236" w:lineRule="auto"/>
        <w:rPr>
          <w:sz w:val="20"/>
          <w:szCs w:val="20"/>
          <w:color w:val="auto"/>
        </w:rPr>
      </w:pPr>
      <w:r>
        <w:rPr>
          <w:rFonts w:ascii="Courier New" w:cs="Courier New" w:eastAsia="Courier New" w:hAnsi="Courier New"/>
          <w:sz w:val="15"/>
          <w:szCs w:val="15"/>
          <w:color w:val="auto"/>
        </w:rPr>
        <w:t>LIFE, ACCIDENT AND HEALTH RESERVES Liabilities for future policy benefits under traditional life, accident and health policies are computed using the net level premium method. Computations are based on the original projections of investment yields, mortality, morbidity and surrenders and include provisions for unfavorable deviations. Reserves established for accident and health claims are modified as necessary to reflect actual experience and developing trends.</w:t>
      </w:r>
    </w:p>
    <w:p>
      <w:pPr>
        <w:spacing w:after="0" w:line="176" w:lineRule="exact"/>
        <w:rPr>
          <w:sz w:val="20"/>
          <w:szCs w:val="20"/>
          <w:color w:val="auto"/>
        </w:rPr>
      </w:pPr>
    </w:p>
    <w:p>
      <w:pPr>
        <w:ind w:left="6" w:right="3239" w:firstLine="612"/>
        <w:spacing w:after="0" w:line="254" w:lineRule="auto"/>
        <w:rPr>
          <w:sz w:val="20"/>
          <w:szCs w:val="20"/>
          <w:color w:val="auto"/>
        </w:rPr>
      </w:pPr>
      <w:r>
        <w:rPr>
          <w:rFonts w:ascii="Courier New" w:cs="Courier New" w:eastAsia="Courier New" w:hAnsi="Courier New"/>
          <w:sz w:val="14"/>
          <w:szCs w:val="14"/>
          <w:color w:val="auto"/>
        </w:rPr>
        <w:t>VARIABLE ANNUITY ASSETS AND LIABILITIES Separate accounts related to variable annuities represent deposits invested in underlying investment funds on which Great American Financial Resources, Inc. ("GAFRI"), an</w:t>
      </w:r>
    </w:p>
    <w:p>
      <w:pPr>
        <w:spacing w:after="0" w:line="1" w:lineRule="exact"/>
        <w:rPr>
          <w:sz w:val="20"/>
          <w:szCs w:val="20"/>
          <w:color w:val="auto"/>
        </w:rPr>
      </w:pPr>
    </w:p>
    <w:p>
      <w:pPr>
        <w:ind w:left="6" w:right="3319"/>
        <w:spacing w:after="0" w:line="235" w:lineRule="auto"/>
        <w:rPr>
          <w:sz w:val="20"/>
          <w:szCs w:val="20"/>
          <w:color w:val="auto"/>
        </w:rPr>
      </w:pPr>
      <w:r>
        <w:rPr>
          <w:rFonts w:ascii="Courier New" w:cs="Courier New" w:eastAsia="Courier New" w:hAnsi="Courier New"/>
          <w:sz w:val="15"/>
          <w:szCs w:val="15"/>
          <w:color w:val="auto"/>
        </w:rPr>
        <w:t>83%-owned subsidiary at March 31, 2003, earns a fee. Investment funds are selected and may be changed only by the policyholder, who retains all investment risk.</w:t>
      </w:r>
    </w:p>
    <w:p>
      <w:pPr>
        <w:spacing w:after="0" w:line="174" w:lineRule="exact"/>
        <w:rPr>
          <w:sz w:val="20"/>
          <w:szCs w:val="20"/>
          <w:color w:val="auto"/>
        </w:rPr>
      </w:pPr>
    </w:p>
    <w:p>
      <w:pPr>
        <w:ind w:left="6" w:right="3239" w:firstLine="612"/>
        <w:spacing w:after="0" w:line="255" w:lineRule="auto"/>
        <w:rPr>
          <w:sz w:val="20"/>
          <w:szCs w:val="20"/>
          <w:color w:val="auto"/>
        </w:rPr>
      </w:pPr>
      <w:r>
        <w:rPr>
          <w:rFonts w:ascii="Courier New" w:cs="Courier New" w:eastAsia="Courier New" w:hAnsi="Courier New"/>
          <w:sz w:val="14"/>
          <w:szCs w:val="14"/>
          <w:color w:val="auto"/>
        </w:rPr>
        <w:t>PREMIUM RECOGNITION Property and casualty premiums are earned over the terms of the policies on a pro rata basis. Unearned premiums represent that portion of premiums written which is applicable to the unexpired terms of policies in force. On reinsurance assumed from other insurance companies or written through various underwriting organizations, unearned premiums are based on reports received from such companies and organizations. For traditional life, accident and health products, premiums are recognized as revenue when legally collectible from policyholders. For interest-sensitive life and universal life products, premiums are recorded in a policyholder account which is reflected as a liability. Revenue is recognized as amounts are assessed against the policyholder account for mortality coverage and contract expenses.</w:t>
      </w:r>
    </w:p>
    <w:p>
      <w:pPr>
        <w:spacing w:after="0" w:line="164" w:lineRule="exact"/>
        <w:rPr>
          <w:sz w:val="20"/>
          <w:szCs w:val="20"/>
          <w:color w:val="auto"/>
        </w:rPr>
      </w:pPr>
    </w:p>
    <w:p>
      <w:pPr>
        <w:ind w:left="6" w:right="3239" w:firstLine="612"/>
        <w:spacing w:after="0" w:line="236" w:lineRule="auto"/>
        <w:rPr>
          <w:sz w:val="20"/>
          <w:szCs w:val="20"/>
          <w:color w:val="auto"/>
        </w:rPr>
      </w:pPr>
      <w:r>
        <w:rPr>
          <w:rFonts w:ascii="Courier New" w:cs="Courier New" w:eastAsia="Courier New" w:hAnsi="Courier New"/>
          <w:sz w:val="15"/>
          <w:szCs w:val="15"/>
          <w:color w:val="auto"/>
        </w:rPr>
        <w:t>POLICYHOLDER DIVIDENDS Dividends payable to policyholders are included in "Accounts payable, accrued expenses and other liabilities" and represent estimates of amounts payable on participating policies which share in favorable underwriting results. Estimates are accrued during the period in which premiums are earned. Changes in estimates are included in income in the period determined. Policyholder dividends do not become legal liabilities unless and until declared by the boards of directors of the insurance companies.</w:t>
      </w:r>
    </w:p>
    <w:p>
      <w:pPr>
        <w:spacing w:after="0" w:line="171"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9705"/>
          </w:cols>
          <w:pgMar w:left="754" w:top="960" w:right="1440" w:bottom="1440" w:gutter="0" w:footer="0" w:header="0"/>
        </w:sectPr>
      </w:pPr>
    </w:p>
    <w:bookmarkStart w:id="80" w:name="page81"/>
    <w:bookmarkEnd w:id="80"/>
    <w:p>
      <w:pPr>
        <w:ind w:left="6"/>
        <w:spacing w:after="0"/>
        <w:rPr>
          <w:sz w:val="20"/>
          <w:szCs w:val="20"/>
          <w:color w:val="auto"/>
        </w:rPr>
      </w:pPr>
      <w:r>
        <w:rPr>
          <w:rFonts w:ascii="Courier New" w:cs="Courier New" w:eastAsia="Courier New" w:hAnsi="Courier New"/>
          <w:sz w:val="14"/>
          <w:szCs w:val="14"/>
          <w:color w:val="auto"/>
        </w:rPr>
        <w:t>MINORITY INTEREST For balance sheet purposes, minority interest represents</w:t>
      </w:r>
    </w:p>
    <w:p>
      <w:pPr>
        <w:spacing w:after="0" w:line="10" w:lineRule="exact"/>
        <w:rPr>
          <w:sz w:val="20"/>
          <w:szCs w:val="20"/>
          <w:color w:val="auto"/>
        </w:rPr>
      </w:pPr>
    </w:p>
    <w:p>
      <w:pPr>
        <w:ind w:left="6" w:right="3399" w:hanging="6"/>
        <w:spacing w:after="0" w:line="254" w:lineRule="auto"/>
        <w:tabs>
          <w:tab w:leader="none" w:pos="35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interests of noncontrolling shareholders in AFC subsidiaries, including preferred securities issued by trust subsidiaries of GAFRI and</w:t>
      </w:r>
    </w:p>
    <w:p>
      <w:pPr>
        <w:ind w:left="6" w:right="3239" w:hanging="6"/>
        <w:spacing w:after="0" w:line="236" w:lineRule="auto"/>
        <w:tabs>
          <w:tab w:leader="none" w:pos="44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Financial Group, Inc.'s ("AFG") direct ownership interest in American Premier Underwriters, Inc. ("American Premier" or "APU") and American Financial Enterprises, Inc. For income statement purposes, minority interest expense represents those shareholders' interest in the earnings of AFC subsidiaries as well as AFC preferred dividends and accrued distributions on the trust preferred securities.</w:t>
      </w:r>
    </w:p>
    <w:p>
      <w:pPr>
        <w:spacing w:after="0" w:line="175" w:lineRule="exact"/>
        <w:rPr>
          <w:sz w:val="20"/>
          <w:szCs w:val="20"/>
          <w:color w:val="auto"/>
        </w:rPr>
      </w:pPr>
    </w:p>
    <w:p>
      <w:pPr>
        <w:ind w:left="6" w:right="3239"/>
        <w:spacing w:after="0" w:line="236" w:lineRule="auto"/>
        <w:rPr>
          <w:sz w:val="20"/>
          <w:szCs w:val="20"/>
          <w:color w:val="auto"/>
        </w:rPr>
      </w:pPr>
      <w:r>
        <w:rPr>
          <w:rFonts w:ascii="Courier New" w:cs="Courier New" w:eastAsia="Courier New" w:hAnsi="Courier New"/>
          <w:sz w:val="15"/>
          <w:szCs w:val="15"/>
          <w:color w:val="auto"/>
        </w:rPr>
        <w:t>INCOME TAXES AFC files consolidated federal income tax returns which include all 80%-owned U.S. subsidiaries, except for certain life insurance subsidiaries and their subsidiaries. Deferred income taxes are calculated using the liability method. Under this method, deferred income tax assets and liabilities are determined based on differences between financial reporting and tax bases and are measured using enacted tax rates. Deferred tax assets are recognized if it is more likely than not that a benefit will be realized.</w:t>
      </w:r>
    </w:p>
    <w:p>
      <w:pPr>
        <w:spacing w:after="0" w:line="177" w:lineRule="exact"/>
        <w:rPr>
          <w:sz w:val="20"/>
          <w:szCs w:val="20"/>
          <w:color w:val="auto"/>
        </w:rPr>
      </w:pPr>
    </w:p>
    <w:p>
      <w:pPr>
        <w:ind w:left="6" w:right="3239"/>
        <w:spacing w:after="0" w:line="255" w:lineRule="auto"/>
        <w:rPr>
          <w:sz w:val="20"/>
          <w:szCs w:val="20"/>
          <w:color w:val="auto"/>
        </w:rPr>
      </w:pPr>
      <w:r>
        <w:rPr>
          <w:rFonts w:ascii="Courier New" w:cs="Courier New" w:eastAsia="Courier New" w:hAnsi="Courier New"/>
          <w:sz w:val="14"/>
          <w:szCs w:val="14"/>
          <w:color w:val="auto"/>
        </w:rPr>
        <w:t>BENEFIT PLANS AFC provides retirement benefits to qualified employees of participating companies through the AFG Retirement and Savings Plan, a defined contribution plan. AFC makes all contributions to the retirement fund portion of the plan and matches a percentage of employee contributions to the savings fund. Employees have been permitted to direct the investment of their contributions to independently managed investment funds, while Company contributions have been invested primarily in securities of AFG and affiliates. Employees may direct the investment of a portion of their vested retirement fund account balances (increasing from 12.5% in July 2002 to 100% in April 2004) from securities of AFG and its affiliates to independently managed investment funds. As of March 31, 2003, the Plan owned 12% of AFG's outstanding common stock. Company contributions are expensed in the year for which they are declared.</w:t>
      </w:r>
    </w:p>
    <w:p>
      <w:pPr>
        <w:spacing w:after="0" w:line="164" w:lineRule="exact"/>
        <w:rPr>
          <w:sz w:val="20"/>
          <w:szCs w:val="20"/>
          <w:color w:val="auto"/>
        </w:rPr>
      </w:pPr>
    </w:p>
    <w:p>
      <w:pPr>
        <w:ind w:left="6" w:right="3239"/>
        <w:spacing w:after="0" w:line="236" w:lineRule="auto"/>
        <w:rPr>
          <w:sz w:val="20"/>
          <w:szCs w:val="20"/>
          <w:color w:val="auto"/>
        </w:rPr>
      </w:pPr>
      <w:r>
        <w:rPr>
          <w:rFonts w:ascii="Courier New" w:cs="Courier New" w:eastAsia="Courier New" w:hAnsi="Courier New"/>
          <w:sz w:val="15"/>
          <w:szCs w:val="15"/>
          <w:color w:val="auto"/>
        </w:rPr>
        <w:t>AFC and many of its subsidiaries provide health care and life insurance benefits to eligible retirees. AFC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175" w:lineRule="exact"/>
        <w:rPr>
          <w:sz w:val="20"/>
          <w:szCs w:val="20"/>
          <w:color w:val="auto"/>
        </w:rPr>
      </w:pPr>
    </w:p>
    <w:p>
      <w:pPr>
        <w:ind w:left="6" w:right="3239"/>
        <w:spacing w:after="0" w:line="255" w:lineRule="auto"/>
        <w:rPr>
          <w:sz w:val="20"/>
          <w:szCs w:val="20"/>
          <w:color w:val="auto"/>
        </w:rPr>
      </w:pPr>
      <w:r>
        <w:rPr>
          <w:rFonts w:ascii="Courier New" w:cs="Courier New" w:eastAsia="Courier New" w:hAnsi="Courier New"/>
          <w:sz w:val="14"/>
          <w:szCs w:val="14"/>
          <w:color w:val="auto"/>
        </w:rPr>
        <w:t>DERIVATIVES Derivatives included in AFC's Balance Sheet consist primarily of investments in common stock warrants (valued at $8.4 million at March 31, 2003; included in other stocks), the equity-based component of certain annuity products (included in annuity benefits accumulated) and related call options (included in other investments) designed to be consistent with the characteristics of the liabilities and used to mitigate the risk embedded in those annuity products. Changes in the fair value of derivatives are included in current earnings.</w:t>
      </w:r>
    </w:p>
    <w:p>
      <w:pPr>
        <w:spacing w:after="0" w:line="166" w:lineRule="exact"/>
        <w:rPr>
          <w:sz w:val="20"/>
          <w:szCs w:val="20"/>
          <w:color w:val="auto"/>
        </w:rPr>
      </w:pPr>
    </w:p>
    <w:p>
      <w:pPr>
        <w:ind w:left="6" w:right="3239"/>
        <w:spacing w:after="0" w:line="236" w:lineRule="auto"/>
        <w:rPr>
          <w:sz w:val="20"/>
          <w:szCs w:val="20"/>
          <w:color w:val="auto"/>
        </w:rPr>
      </w:pPr>
      <w:r>
        <w:rPr>
          <w:rFonts w:ascii="Courier New" w:cs="Courier New" w:eastAsia="Courier New" w:hAnsi="Courier New"/>
          <w:sz w:val="15"/>
          <w:szCs w:val="15"/>
          <w:color w:val="auto"/>
        </w:rPr>
        <w:t>STATEMENT OF CASH FLOWS For cash flow purposes, "investing activities" are defined as making and collecting loans and acquiring and disposing of debt or equity instruments and property and equipment. "Financing activities" include obtaining resources from owners and providing them with a return on their investments, borrowing money and repaying amounts borrowed. Annuity receipts, benefits and withdrawals are also reflected as financing activities. All other activities are considered "operating". Short-term investments having original maturities of three months or less when purchased are considered to be cash equivalents for purposes of the financial statements.</w:t>
      </w:r>
    </w:p>
    <w:p>
      <w:pPr>
        <w:spacing w:after="0" w:line="173"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9705"/>
          </w:cols>
          <w:pgMar w:left="754" w:top="1296" w:right="1440" w:bottom="1440" w:gutter="0" w:footer="0" w:header="0"/>
        </w:sectPr>
      </w:pPr>
    </w:p>
    <w:bookmarkStart w:id="81" w:name="page82"/>
    <w:bookmarkEnd w:id="81"/>
    <w:p>
      <w:pPr>
        <w:ind w:left="530" w:hanging="530"/>
        <w:spacing w:after="0"/>
        <w:tabs>
          <w:tab w:leader="none" w:pos="53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SALES OF SUBSIDIARIES</w:t>
      </w:r>
    </w:p>
    <w:p>
      <w:pPr>
        <w:spacing w:after="0" w:line="172" w:lineRule="exact"/>
        <w:rPr>
          <w:rFonts w:ascii="Courier New" w:cs="Courier New" w:eastAsia="Courier New" w:hAnsi="Courier New"/>
          <w:sz w:val="15"/>
          <w:szCs w:val="15"/>
          <w:color w:val="auto"/>
        </w:rPr>
      </w:pPr>
    </w:p>
    <w:p>
      <w:pPr>
        <w:ind w:left="5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INFINITY PROPERTY AND CASUALTY CORPORATION On December 31, 2002, AFC transferred to Infinity Property and Casualty Corporation ("Infinity", a newly formed subsidiary) the following subsidiaries involved primarily in the issuance of nonstandard auto policies: Atlanta Casualty Company, Infinity Insurance Company, Leader Insurance Company and Windsor Insurance Company. Effective January 1, 2003, Great American Insurance Company, an AFC subsidiary, transferred to Infinity its personal insurance business written through independent agents. In February 2003, AFC sold 61% of Infinity in a public offering. AFC realized a pretax loss of $39.4 million on the sale. In addition, AFC realized a $5.5 million tax benefit related to its basis in Infinity stock. The businesses transferred generated aggregate net written premiums of approximately $690 million in 2002.</w:t>
      </w:r>
    </w:p>
    <w:p>
      <w:pPr>
        <w:spacing w:after="0" w:line="164" w:lineRule="exact"/>
        <w:rPr>
          <w:rFonts w:ascii="Courier New" w:cs="Courier New" w:eastAsia="Courier New" w:hAnsi="Courier New"/>
          <w:sz w:val="15"/>
          <w:szCs w:val="15"/>
          <w:color w:val="auto"/>
        </w:rPr>
      </w:pPr>
    </w:p>
    <w:p>
      <w:pPr>
        <w:ind w:left="5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DIRECT AUTOMOBILE INSURANCE BUSINESS In January 2003, AFC reached an agreement to sell two of its subsidiaries that market automobile insurance directly to customers. The transaction was completed on April 25, 2003, and included the transfer of Great American Insurance's right to renew certain of its personal automobile insurance business written on a direct basis in selected markets. Premiums generated by the businesses sold were approximately $79 million in 2002. AFC does not expect to report a significant gain or loss on the sale.</w:t>
      </w:r>
    </w:p>
    <w:p>
      <w:pPr>
        <w:spacing w:after="0" w:line="177" w:lineRule="exact"/>
        <w:rPr>
          <w:rFonts w:ascii="Courier New" w:cs="Courier New" w:eastAsia="Courier New" w:hAnsi="Courier New"/>
          <w:sz w:val="15"/>
          <w:szCs w:val="15"/>
          <w:color w:val="auto"/>
        </w:rPr>
      </w:pPr>
    </w:p>
    <w:p>
      <w:pPr>
        <w:ind w:left="5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JERSEY PRIVATE PASSENGER AUTOMOBILE INSURANCE BUSINESS In September 2002, an AFC subsidiary entered into an agreement under which Palisades Safety and Insurance Association and Palisades Insurance Company will assume the subsidiary's obligations to renew its private passenger automobile insurance business written in New Jersey. As of September 9, 2002, AFC no longer accepts any new private passenger automobile insurance in that state.</w:t>
      </w:r>
    </w:p>
    <w:p>
      <w:pPr>
        <w:spacing w:after="0" w:line="175" w:lineRule="exact"/>
        <w:rPr>
          <w:rFonts w:ascii="Courier New" w:cs="Courier New" w:eastAsia="Courier New" w:hAnsi="Courier New"/>
          <w:sz w:val="15"/>
          <w:szCs w:val="15"/>
          <w:color w:val="auto"/>
        </w:rPr>
      </w:pPr>
    </w:p>
    <w:p>
      <w:pPr>
        <w:ind w:left="53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MANHATTAN NATIONAL LIFE INSURANCE On June 28, 2002, GAFRI acquired Manhattan National Life Insurance Company ("MNL") from Conseco, Inc. for $48.5 million in cash. At December 31, 2002, MNL reinsured 90% of its in-force business.</w:t>
      </w:r>
    </w:p>
    <w:p>
      <w:pPr>
        <w:spacing w:after="0" w:line="169"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9"/>
          </w:cols>
          <w:pgMar w:left="230" w:top="1290" w:right="1440" w:bottom="1440" w:gutter="0" w:footer="0" w:header="0"/>
        </w:sectPr>
      </w:pPr>
    </w:p>
    <w:bookmarkStart w:id="82" w:name="page83"/>
    <w:bookmarkEnd w:id="82"/>
    <w:p>
      <w:pPr>
        <w:ind w:left="530" w:right="3239" w:hanging="530"/>
        <w:spacing w:after="0" w:line="255" w:lineRule="auto"/>
        <w:tabs>
          <w:tab w:leader="none" w:pos="53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SEGMENTS OF OPERATIONS AFC's property and casualty group writes primarily specialized commercial products for businesses through a highly diversified group of specialty business units. Some of the more significant areas are inland and ocean marine, California workers' compensation, agricultural-related coverages, executive and professional liability, fidelity and surety bonds, collateral protection, and umbrella and excess coverages. In February 2003, AFC sold a substantial portion of its Personal segment; see Note B - "Acquisitions and Sales of Subsidiaries." The Personal group wrote nonstandard and preferred/standard private passenger auto and other personal insurance coverage. AFC's annuity, life and health business markets primarily retirement products as well as life and supplemental health insurance.</w:t>
      </w:r>
    </w:p>
    <w:p>
      <w:pPr>
        <w:spacing w:after="0" w:line="164" w:lineRule="exact"/>
        <w:rPr>
          <w:rFonts w:ascii="Courier New" w:cs="Courier New" w:eastAsia="Courier New" w:hAnsi="Courier New"/>
          <w:sz w:val="14"/>
          <w:szCs w:val="14"/>
          <w:color w:val="auto"/>
        </w:rPr>
      </w:pPr>
    </w:p>
    <w:p>
      <w:pPr>
        <w:ind w:left="530" w:right="35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following table (in thousands) shows AFC's revenues and operating profit (loss) by significant business segment. Operating profit (loss) represents total revenues less operating expenses.</w:t>
      </w:r>
    </w:p>
    <w:p>
      <w:pPr>
        <w:spacing w:after="0" w:line="200" w:lineRule="exact"/>
        <w:rPr>
          <w:sz w:val="20"/>
          <w:szCs w:val="20"/>
          <w:color w:val="auto"/>
        </w:rPr>
      </w:pPr>
    </w:p>
    <w:p>
      <w:pPr>
        <w:spacing w:after="0" w:line="304" w:lineRule="exact"/>
        <w:rPr>
          <w:sz w:val="20"/>
          <w:szCs w:val="20"/>
          <w:color w:val="auto"/>
        </w:rPr>
      </w:pPr>
    </w:p>
    <w:tbl>
      <w:tblPr>
        <w:tblLayout w:type="fixed"/>
        <w:tblInd w:w="69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8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REVENUES (a)</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casualty insurance:</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6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Premiums earned:</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Specialty</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$427,848</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$356,415</w:t>
            </w:r>
          </w:p>
        </w:tc>
      </w:tr>
      <w:tr>
        <w:trPr>
          <w:trHeight w:val="168"/>
        </w:trPr>
        <w:tc>
          <w:tcPr>
            <w:tcW w:w="320" w:type="dxa"/>
            <w:vAlign w:val="bottom"/>
          </w:tcPr>
          <w:p>
            <w:pPr>
              <w:spacing w:after="0"/>
              <w:rPr>
                <w:sz w:val="14"/>
                <w:szCs w:val="14"/>
                <w:color w:val="auto"/>
              </w:rPr>
            </w:pP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Personal</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114,938</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247,203</w:t>
            </w:r>
          </w:p>
        </w:tc>
      </w:tr>
      <w:tr>
        <w:trPr>
          <w:trHeight w:val="168"/>
        </w:trPr>
        <w:tc>
          <w:tcPr>
            <w:tcW w:w="320" w:type="dxa"/>
            <w:vAlign w:val="bottom"/>
          </w:tcPr>
          <w:p>
            <w:pPr>
              <w:spacing w:after="0"/>
              <w:rPr>
                <w:sz w:val="14"/>
                <w:szCs w:val="14"/>
                <w:color w:val="auto"/>
              </w:rPr>
            </w:pP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 lines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542,785</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603,908</w:t>
            </w:r>
          </w:p>
        </w:tc>
      </w:tr>
      <w:tr>
        <w:trPr>
          <w:trHeight w:val="168"/>
        </w:trPr>
        <w:tc>
          <w:tcPr>
            <w:tcW w:w="6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Investment and other income</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120,050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100,259</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662,835</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704,167</w:t>
            </w: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Annuities, life and health (b)</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218,446</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217,422</w:t>
            </w: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(41,090)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4,025</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$840,191</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$925,614</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PROFIT (LOSS)</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Property and casualty insurance:</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Underwriting:</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Specialty</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9,521</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5,294</w:t>
            </w:r>
          </w:p>
        </w:tc>
      </w:tr>
      <w:tr>
        <w:trPr>
          <w:trHeight w:val="168"/>
        </w:trPr>
        <w:tc>
          <w:tcPr>
            <w:tcW w:w="320" w:type="dxa"/>
            <w:vAlign w:val="bottom"/>
          </w:tcPr>
          <w:p>
            <w:pPr>
              <w:spacing w:after="0"/>
              <w:rPr>
                <w:sz w:val="14"/>
                <w:szCs w:val="14"/>
                <w:color w:val="auto"/>
              </w:rPr>
            </w:pP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Personal</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5,212</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(5,239)</w:t>
            </w:r>
          </w:p>
        </w:tc>
      </w:tr>
      <w:tr>
        <w:trPr>
          <w:trHeight w:val="168"/>
        </w:trPr>
        <w:tc>
          <w:tcPr>
            <w:tcW w:w="320" w:type="dxa"/>
            <w:vAlign w:val="bottom"/>
          </w:tcPr>
          <w:p>
            <w:pPr>
              <w:spacing w:after="0"/>
              <w:rPr>
                <w:sz w:val="14"/>
                <w:szCs w:val="14"/>
                <w:color w:val="auto"/>
              </w:rPr>
            </w:pP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 lines (c)</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(355)</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(9,326)</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14,378</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(9,271)</w:t>
            </w:r>
          </w:p>
        </w:tc>
      </w:tr>
      <w:tr>
        <w:trPr>
          <w:trHeight w:val="168"/>
        </w:trPr>
        <w:tc>
          <w:tcPr>
            <w:tcW w:w="6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Investment and other income</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71,290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63,251</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85,668</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53,980</w:t>
            </w: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Annuities, life and health</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15,563</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21,981</w:t>
            </w: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(d)</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(55,931)</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(19,376)</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$ 45,300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$ 56,585</w:t>
            </w:r>
          </w:p>
        </w:tc>
      </w:tr>
      <w:tr>
        <w:trPr>
          <w:trHeight w:val="168"/>
        </w:trPr>
        <w:tc>
          <w:tcPr>
            <w:tcW w:w="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6080" w:type="dxa"/>
            <w:vAlign w:val="bottom"/>
          </w:tcPr>
          <w:p>
            <w:pPr>
              <w:ind w:left="120"/>
              <w:spacing w:after="0"/>
              <w:rPr>
                <w:sz w:val="20"/>
                <w:szCs w:val="20"/>
                <w:color w:val="auto"/>
              </w:rPr>
            </w:pPr>
            <w:r>
              <w:rPr>
                <w:rFonts w:ascii="Courier New" w:cs="Courier New" w:eastAsia="Courier New" w:hAnsi="Courier New"/>
                <w:sz w:val="15"/>
                <w:szCs w:val="15"/>
                <w:color w:val="auto"/>
              </w:rPr>
              <w:t>Revenues include sales of products and services as well as other</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6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income earned by the respective segments.</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6400" w:type="dxa"/>
            <w:vAlign w:val="bottom"/>
            <w:gridSpan w:val="2"/>
          </w:tcPr>
          <w:p>
            <w:pPr>
              <w:spacing w:after="0"/>
              <w:rPr>
                <w:sz w:val="20"/>
                <w:szCs w:val="20"/>
                <w:color w:val="auto"/>
              </w:rPr>
            </w:pPr>
            <w:r>
              <w:rPr>
                <w:rFonts w:ascii="Courier New" w:cs="Courier New" w:eastAsia="Courier New" w:hAnsi="Courier New"/>
                <w:sz w:val="15"/>
                <w:szCs w:val="15"/>
                <w:color w:val="auto"/>
              </w:rPr>
              <w:t>(b) Represents primarily investment income.</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6080" w:type="dxa"/>
            <w:vAlign w:val="bottom"/>
          </w:tcPr>
          <w:p>
            <w:pPr>
              <w:ind w:left="120"/>
              <w:spacing w:after="0"/>
              <w:rPr>
                <w:sz w:val="20"/>
                <w:szCs w:val="20"/>
                <w:color w:val="auto"/>
              </w:rPr>
            </w:pPr>
            <w:r>
              <w:rPr>
                <w:rFonts w:ascii="Courier New" w:cs="Courier New" w:eastAsia="Courier New" w:hAnsi="Courier New"/>
                <w:sz w:val="15"/>
                <w:szCs w:val="15"/>
                <w:color w:val="auto"/>
              </w:rPr>
              <w:t>Represents development of lines in "run-off"; AFC has ceased</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ind w:left="1130"/>
        <w:spacing w:after="0" w:line="237" w:lineRule="auto"/>
        <w:rPr>
          <w:sz w:val="20"/>
          <w:szCs w:val="20"/>
          <w:color w:val="auto"/>
        </w:rPr>
      </w:pPr>
      <w:r>
        <w:rPr>
          <w:rFonts w:ascii="Courier New" w:cs="Courier New" w:eastAsia="Courier New" w:hAnsi="Courier New"/>
          <w:sz w:val="15"/>
          <w:szCs w:val="15"/>
          <w:color w:val="auto"/>
        </w:rPr>
        <w:t>underwriting new business in these operations.</w:t>
      </w:r>
    </w:p>
    <w:p>
      <w:pPr>
        <w:spacing w:after="0" w:line="167" w:lineRule="exact"/>
        <w:rPr>
          <w:sz w:val="20"/>
          <w:szCs w:val="20"/>
          <w:color w:val="auto"/>
        </w:rPr>
      </w:pPr>
    </w:p>
    <w:p>
      <w:pPr>
        <w:ind w:left="690"/>
        <w:spacing w:after="0"/>
        <w:rPr>
          <w:sz w:val="20"/>
          <w:szCs w:val="20"/>
          <w:color w:val="auto"/>
        </w:rPr>
      </w:pPr>
      <w:r>
        <w:rPr>
          <w:rFonts w:ascii="Courier New" w:cs="Courier New" w:eastAsia="Courier New" w:hAnsi="Courier New"/>
          <w:sz w:val="15"/>
          <w:szCs w:val="15"/>
          <w:color w:val="auto"/>
        </w:rPr>
        <w:t>(d) Includes holding company expenses.</w:t>
      </w:r>
    </w:p>
    <w:p>
      <w:pPr>
        <w:spacing w:after="0" w:line="166"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9"/>
          </w:cols>
          <w:pgMar w:left="230" w:top="1296" w:right="1440" w:bottom="1440" w:gutter="0" w:footer="0" w:header="0"/>
        </w:sectPr>
      </w:pPr>
    </w:p>
    <w:bookmarkStart w:id="83" w:name="page84"/>
    <w:bookmarkEnd w:id="83"/>
    <w:p>
      <w:pPr>
        <w:ind w:left="530" w:right="3239" w:hanging="530"/>
        <w:spacing w:after="0" w:line="236" w:lineRule="auto"/>
        <w:tabs>
          <w:tab w:leader="none" w:pos="53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INVESTEES Investment in investee corporations reflects AFC's ownership of 7.9 million shares (38%) of Infinity common stock and a $55 million 8.5% note receivable from Infinity. The market value of the investment in Infinity stock was $143 million at March 31, 2003 and $165 million at May 1, 2003. Prior to AFC's sale of 12.5 million shares of Infinity in February 2003, an AFC subsidiary owned 100% of Infinity (see Note B). Infinity is a national provider of personal automobile insurance with an emphasis on the nonstandard market.</w:t>
      </w:r>
    </w:p>
    <w:p>
      <w:pPr>
        <w:spacing w:after="0" w:line="177" w:lineRule="exact"/>
        <w:rPr>
          <w:rFonts w:ascii="Courier New" w:cs="Courier New" w:eastAsia="Courier New" w:hAnsi="Courier New"/>
          <w:sz w:val="15"/>
          <w:szCs w:val="15"/>
          <w:color w:val="auto"/>
        </w:rPr>
      </w:pPr>
    </w:p>
    <w:p>
      <w:pPr>
        <w:ind w:left="53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Summarized financial information for Infinity is shown below for the three months ended March 31, 2003 (in millions).</w:t>
      </w:r>
    </w:p>
    <w:p>
      <w:pPr>
        <w:spacing w:after="0" w:line="335" w:lineRule="exact"/>
        <w:rPr>
          <w:sz w:val="20"/>
          <w:szCs w:val="20"/>
          <w:color w:val="auto"/>
        </w:rPr>
      </w:pPr>
    </w:p>
    <w:tbl>
      <w:tblPr>
        <w:tblLayout w:type="fixed"/>
        <w:tblInd w:w="279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Earned premiums</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$165.5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r>
    </w:tbl>
    <w:p>
      <w:pPr>
        <w:spacing w:after="0" w:line="341" w:lineRule="exact"/>
        <w:rPr>
          <w:sz w:val="20"/>
          <w:szCs w:val="20"/>
          <w:color w:val="auto"/>
        </w:rPr>
      </w:pPr>
    </w:p>
    <w:p>
      <w:pPr>
        <w:ind w:left="530" w:right="3239"/>
        <w:spacing w:after="0" w:line="256" w:lineRule="auto"/>
        <w:rPr>
          <w:sz w:val="20"/>
          <w:szCs w:val="20"/>
          <w:color w:val="auto"/>
        </w:rPr>
      </w:pPr>
      <w:r>
        <w:rPr>
          <w:rFonts w:ascii="Courier New" w:cs="Courier New" w:eastAsia="Courier New" w:hAnsi="Courier New"/>
          <w:sz w:val="14"/>
          <w:szCs w:val="14"/>
          <w:color w:val="auto"/>
        </w:rPr>
        <w:t>Equity in net earnings (losses) of investees for the first quarter of 2002 represents AFC's share of the losses from two start-up manufacturing businesses that were formerly subsidiaries. One of these businesses was sold in the fourth quarter of 2002; equity in the net loss of the remaining business for the first quarter of 2003 was $865,000.</w:t>
      </w:r>
    </w:p>
    <w:p>
      <w:pPr>
        <w:spacing w:after="0" w:line="163" w:lineRule="exact"/>
        <w:rPr>
          <w:sz w:val="20"/>
          <w:szCs w:val="20"/>
          <w:color w:val="auto"/>
        </w:rPr>
      </w:pPr>
    </w:p>
    <w:p>
      <w:pPr>
        <w:ind w:left="530" w:right="3239" w:hanging="530"/>
        <w:spacing w:after="0" w:line="254" w:lineRule="auto"/>
        <w:tabs>
          <w:tab w:leader="none" w:pos="53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GOODWILL Effective January 1, 2002, goodwill is no longer amortized but is subject to annual impairment testing under a two step process. Under the first step, an entity's net assets are classified by reporting units and compared to their fair value. Fair value is estimated based primarily on the present value of expected future cash flows. If the carrying amount of a reporting unit exceeds its fair value, the second step of the goodwill impairment test is performed to measure the amount of impairment loss, if any. The second step of the initial impairment test, measuring the amount of impairment loss, was completed in the fourth quarter with a resulting $40.4 million impairment charge, net of tax, reported by restating first quarter 2002 results for the cumulative effect of a change in accounting principle. The impairment charge included $21.2 million (pretax) for the annuities and life insurance segment related to a decrease in estimated future earnings based upon lower forecasted new business sales over the next few years and $39.6 million (pretax) for the personal lines segment related primarily to planned future reductions in new business volume written through the direct channel.</w:t>
      </w:r>
    </w:p>
    <w:p>
      <w:pPr>
        <w:spacing w:after="0" w:line="174" w:lineRule="exact"/>
        <w:rPr>
          <w:rFonts w:ascii="Courier New" w:cs="Courier New" w:eastAsia="Courier New" w:hAnsi="Courier New"/>
          <w:sz w:val="14"/>
          <w:szCs w:val="14"/>
          <w:color w:val="auto"/>
        </w:rPr>
      </w:pPr>
    </w:p>
    <w:p>
      <w:pPr>
        <w:ind w:left="530" w:right="331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in goodwill during the first quarter of 2003 reflects $75.3 million in goodwill related to Infinity, which was sold in February 2003.</w:t>
      </w:r>
    </w:p>
    <w:p>
      <w:pPr>
        <w:spacing w:after="0" w:line="159" w:lineRule="exact"/>
        <w:rPr>
          <w:rFonts w:ascii="Courier New" w:cs="Courier New" w:eastAsia="Courier New" w:hAnsi="Courier New"/>
          <w:sz w:val="14"/>
          <w:szCs w:val="14"/>
          <w:color w:val="auto"/>
        </w:rPr>
      </w:pPr>
    </w:p>
    <w:p>
      <w:pPr>
        <w:ind w:left="530" w:right="33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deferred acquisition costs in AFC's Balance Sheet are $68.4 million and $66.8 million at March 31, 2003, and December 31, 2002, respectively, representing the present value of future profits ("PVFP") related to acquisitions by AFC's annuity and life business. The PVFP amounts are net of $59.5 million and $57.3 million of accumulated amortization. Amortization of the PVFP was $2.2 million and $1.7 million during the first three months of 2003 and 2002. During each of the next five years, the PVFP is expected to decrease at a rate of approximately 13% of the balance at the beginning of each respective year.</w:t>
      </w:r>
    </w:p>
    <w:p>
      <w:pPr>
        <w:spacing w:after="0" w:line="159"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9"/>
          </w:cols>
          <w:pgMar w:left="230" w:top="1296" w:right="1440" w:bottom="1440" w:gutter="0" w:footer="0" w:header="0"/>
        </w:sectPr>
      </w:pPr>
    </w:p>
    <w:bookmarkStart w:id="84" w:name="page85"/>
    <w:bookmarkEnd w:id="84"/>
    <w:p>
      <w:pPr>
        <w:ind w:left="530" w:right="511" w:hanging="530"/>
        <w:spacing w:after="0" w:line="236" w:lineRule="auto"/>
        <w:tabs>
          <w:tab w:leader="none" w:pos="53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PAYABLE TO AMERICAN FINANCIAL GROUP Payable to AFG represents the net amount owed by AFC to AFG under a reciprocal Master Credit Agreement between various AFG holding companies under which these companies make funds available to each other for general corporate purposes. Amounts borrowed under the Master Credit Agreement generally bear interest at 1% over LIBOR. In January 2003, AFC agreed to guarantee the obligations of AFG with respect to $382 million principal amount of AFG senior debentures, in consideration of a payment of approximately $350,000 and an increase in the interest rate which AFG pays AFC under the Master Credit Agreement to 1.125% over LIBOR.</w:t>
      </w:r>
    </w:p>
    <w:p>
      <w:pPr>
        <w:spacing w:after="0" w:line="179" w:lineRule="exact"/>
        <w:rPr>
          <w:rFonts w:ascii="Courier New" w:cs="Courier New" w:eastAsia="Courier New" w:hAnsi="Courier New"/>
          <w:sz w:val="15"/>
          <w:szCs w:val="15"/>
          <w:color w:val="auto"/>
        </w:rPr>
      </w:pPr>
    </w:p>
    <w:p>
      <w:pPr>
        <w:ind w:left="530" w:right="1031" w:hanging="530"/>
        <w:spacing w:after="0" w:line="234" w:lineRule="auto"/>
        <w:tabs>
          <w:tab w:leader="none" w:pos="53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TERM DEBT The carrying value of long-term debt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HOLDING COMPANIES:</w:t>
      </w:r>
    </w:p>
    <w:p>
      <w:pPr>
        <w:ind w:left="1130"/>
        <w:spacing w:after="0" w:line="237" w:lineRule="auto"/>
        <w:rPr>
          <w:sz w:val="20"/>
          <w:szCs w:val="20"/>
          <w:color w:val="auto"/>
        </w:rPr>
      </w:pPr>
      <w:r>
        <w:rPr>
          <w:rFonts w:ascii="Courier New" w:cs="Courier New" w:eastAsia="Courier New" w:hAnsi="Courier New"/>
          <w:sz w:val="15"/>
          <w:szCs w:val="15"/>
          <w:color w:val="auto"/>
        </w:rPr>
        <w:t>AFC notes payable under bank line</w:t>
      </w:r>
    </w:p>
    <w:p>
      <w:pPr>
        <w:ind w:left="1130"/>
        <w:spacing w:after="0" w:line="238" w:lineRule="auto"/>
        <w:rPr>
          <w:sz w:val="20"/>
          <w:szCs w:val="20"/>
          <w:color w:val="auto"/>
        </w:rPr>
      </w:pPr>
      <w:r>
        <w:rPr>
          <w:rFonts w:ascii="Courier New" w:cs="Courier New" w:eastAsia="Courier New" w:hAnsi="Courier New"/>
          <w:sz w:val="15"/>
          <w:szCs w:val="15"/>
          <w:color w:val="auto"/>
        </w:rPr>
        <w:t>APU 10-7/8% Subordinated Notes due May 2011</w:t>
      </w:r>
    </w:p>
    <w:p>
      <w:pPr>
        <w:ind w:left="1130"/>
        <w:spacing w:after="0" w:line="237" w:lineRule="auto"/>
        <w:rPr>
          <w:sz w:val="20"/>
          <w:szCs w:val="20"/>
          <w:color w:val="auto"/>
        </w:rPr>
      </w:pPr>
      <w:r>
        <w:rPr>
          <w:rFonts w:ascii="Courier New" w:cs="Courier New" w:eastAsia="Courier New" w:hAnsi="Courier New"/>
          <w:sz w:val="15"/>
          <w:szCs w:val="15"/>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SUBSIDIARIES:</w:t>
      </w:r>
    </w:p>
    <w:p>
      <w:pPr>
        <w:ind w:left="1130"/>
        <w:spacing w:after="0" w:line="237" w:lineRule="auto"/>
        <w:rPr>
          <w:sz w:val="20"/>
          <w:szCs w:val="20"/>
          <w:color w:val="auto"/>
        </w:rPr>
      </w:pPr>
      <w:r>
        <w:rPr>
          <w:rFonts w:ascii="Courier New" w:cs="Courier New" w:eastAsia="Courier New" w:hAnsi="Courier New"/>
          <w:sz w:val="15"/>
          <w:szCs w:val="15"/>
          <w:color w:val="auto"/>
        </w:rPr>
        <w:t>GAFRI 6-7/8% Senior Notes due June 2008</w:t>
      </w:r>
    </w:p>
    <w:p>
      <w:pPr>
        <w:ind w:left="1130"/>
        <w:spacing w:after="0" w:line="238" w:lineRule="auto"/>
        <w:rPr>
          <w:sz w:val="20"/>
          <w:szCs w:val="20"/>
          <w:color w:val="auto"/>
        </w:rPr>
      </w:pPr>
      <w:r>
        <w:rPr>
          <w:rFonts w:ascii="Courier New" w:cs="Courier New" w:eastAsia="Courier New" w:hAnsi="Courier New"/>
          <w:sz w:val="15"/>
          <w:szCs w:val="15"/>
          <w:color w:val="auto"/>
        </w:rPr>
        <w:t>GAFRI notes payable under bank line</w:t>
      </w:r>
    </w:p>
    <w:p>
      <w:pPr>
        <w:ind w:left="1130"/>
        <w:spacing w:after="0" w:line="237" w:lineRule="auto"/>
        <w:rPr>
          <w:sz w:val="20"/>
          <w:szCs w:val="20"/>
          <w:color w:val="auto"/>
        </w:rPr>
      </w:pPr>
      <w:r>
        <w:rPr>
          <w:rFonts w:ascii="Courier New" w:cs="Courier New" w:eastAsia="Courier New" w:hAnsi="Courier New"/>
          <w:sz w:val="15"/>
          <w:szCs w:val="15"/>
          <w:color w:val="auto"/>
        </w:rPr>
        <w:t>Notes payable secured by real estate</w:t>
      </w:r>
    </w:p>
    <w:p>
      <w:pPr>
        <w:ind w:left="1130"/>
        <w:spacing w:after="0" w:line="238" w:lineRule="auto"/>
        <w:rPr>
          <w:sz w:val="20"/>
          <w:szCs w:val="20"/>
          <w:color w:val="auto"/>
        </w:rPr>
      </w:pPr>
      <w:r>
        <w:rPr>
          <w:rFonts w:ascii="Courier New" w:cs="Courier New" w:eastAsia="Courier New" w:hAnsi="Courier New"/>
          <w:sz w:val="15"/>
          <w:szCs w:val="15"/>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30" w:right="511"/>
        <w:spacing w:after="0" w:line="234" w:lineRule="auto"/>
        <w:rPr>
          <w:sz w:val="20"/>
          <w:szCs w:val="20"/>
          <w:color w:val="auto"/>
        </w:rPr>
      </w:pPr>
      <w:r>
        <w:rPr>
          <w:rFonts w:ascii="Courier New" w:cs="Courier New" w:eastAsia="Courier New" w:hAnsi="Courier New"/>
          <w:sz w:val="15"/>
          <w:szCs w:val="15"/>
          <w:color w:val="auto"/>
        </w:rPr>
        <w:t>At March 31, 2003, scheduled principal payments on debt for the balance of 2003 and the subsequent five years were as follows (in millions):</w:t>
      </w:r>
    </w:p>
    <w:p>
      <w:pPr>
        <w:spacing w:after="0" w:line="200" w:lineRule="exact"/>
        <w:rPr>
          <w:sz w:val="20"/>
          <w:szCs w:val="20"/>
          <w:color w:val="auto"/>
        </w:rPr>
      </w:pPr>
    </w:p>
    <w:p>
      <w:pPr>
        <w:spacing w:after="0" w:line="303" w:lineRule="exact"/>
        <w:rPr>
          <w:sz w:val="20"/>
          <w:szCs w:val="20"/>
          <w:color w:val="auto"/>
        </w:rPr>
      </w:pPr>
    </w:p>
    <w:tbl>
      <w:tblPr>
        <w:tblLayout w:type="fixed"/>
        <w:tblInd w:w="139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24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Holding</w:t>
            </w:r>
          </w:p>
        </w:tc>
        <w:tc>
          <w:tcPr>
            <w:tcW w:w="172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4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Companies</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Subsidiaries</w:t>
            </w:r>
          </w:p>
        </w:tc>
      </w:tr>
      <w:tr>
        <w:trPr>
          <w:trHeight w:val="168"/>
        </w:trPr>
        <w:tc>
          <w:tcPr>
            <w:tcW w:w="1320" w:type="dxa"/>
            <w:vAlign w:val="bottom"/>
          </w:tcPr>
          <w:p>
            <w:pPr>
              <w:spacing w:after="0"/>
              <w:rPr>
                <w:sz w:val="14"/>
                <w:szCs w:val="14"/>
                <w:color w:val="auto"/>
              </w:rPr>
            </w:pPr>
          </w:p>
        </w:tc>
        <w:tc>
          <w:tcPr>
            <w:tcW w:w="24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4"/>
              </w:rPr>
              <w:t>2003</w:t>
            </w:r>
          </w:p>
        </w:tc>
        <w:tc>
          <w:tcPr>
            <w:tcW w:w="2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  9.5</w:t>
            </w:r>
          </w:p>
        </w:tc>
      </w:tr>
      <w:tr>
        <w:trPr>
          <w:trHeight w:val="168"/>
        </w:trPr>
        <w:tc>
          <w:tcPr>
            <w:tcW w:w="13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4"/>
              </w:rPr>
              <w:t>2004</w:t>
            </w:r>
          </w:p>
        </w:tc>
        <w:tc>
          <w:tcPr>
            <w:tcW w:w="2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150.6</w:t>
            </w:r>
          </w:p>
        </w:tc>
      </w:tr>
      <w:tr>
        <w:trPr>
          <w:trHeight w:val="168"/>
        </w:trPr>
        <w:tc>
          <w:tcPr>
            <w:tcW w:w="13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4"/>
              </w:rPr>
              <w:t>2005</w:t>
            </w:r>
          </w:p>
        </w:tc>
        <w:tc>
          <w:tcPr>
            <w:tcW w:w="24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95.0</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13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4"/>
              </w:rPr>
              <w:t>2006</w:t>
            </w:r>
          </w:p>
        </w:tc>
        <w:tc>
          <w:tcPr>
            <w:tcW w:w="2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w:t>
            </w:r>
          </w:p>
        </w:tc>
      </w:tr>
      <w:tr>
        <w:trPr>
          <w:trHeight w:val="168"/>
        </w:trPr>
        <w:tc>
          <w:tcPr>
            <w:tcW w:w="13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4"/>
              </w:rPr>
              <w:t>2007</w:t>
            </w:r>
          </w:p>
        </w:tc>
        <w:tc>
          <w:tcPr>
            <w:tcW w:w="24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5.3</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3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4"/>
              </w:rPr>
              <w:t>2008</w:t>
            </w:r>
          </w:p>
        </w:tc>
        <w:tc>
          <w:tcPr>
            <w:tcW w:w="2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100.1</w:t>
            </w:r>
          </w:p>
        </w:tc>
      </w:tr>
    </w:tbl>
    <w:p>
      <w:pPr>
        <w:spacing w:after="0" w:line="341" w:lineRule="exact"/>
        <w:rPr>
          <w:sz w:val="20"/>
          <w:szCs w:val="20"/>
          <w:color w:val="auto"/>
        </w:rPr>
      </w:pPr>
    </w:p>
    <w:p>
      <w:pPr>
        <w:ind w:left="530" w:right="511"/>
        <w:spacing w:after="0" w:line="236" w:lineRule="auto"/>
        <w:rPr>
          <w:sz w:val="20"/>
          <w:szCs w:val="20"/>
          <w:color w:val="auto"/>
        </w:rPr>
      </w:pPr>
      <w:r>
        <w:rPr>
          <w:rFonts w:ascii="Courier New" w:cs="Courier New" w:eastAsia="Courier New" w:hAnsi="Courier New"/>
          <w:sz w:val="15"/>
          <w:szCs w:val="15"/>
          <w:color w:val="auto"/>
        </w:rPr>
        <w:t>AFC may borrow up to $280 million under its credit agreement; the line may be expanded to $300 million through the end of 2003. The new line consists of two facilities: a 364-day revolving facility, extendable annually, for one-third of the total line and a three-year revolving facility for the remaining two-thirds. Amounts borrowed bear interest at rates ranging from 1.25% to 2.25% over LIBOR based on AFG's credit rating. In addition, GAFRI has an unsecured credit agreement under which it can borrow up to $155 million at floating rates based on prime or Eurodollar rates through December 2004.</w:t>
      </w:r>
    </w:p>
    <w:p>
      <w:pPr>
        <w:spacing w:after="0" w:line="178" w:lineRule="exact"/>
        <w:rPr>
          <w:sz w:val="20"/>
          <w:szCs w:val="20"/>
          <w:color w:val="auto"/>
        </w:rPr>
      </w:pPr>
    </w:p>
    <w:p>
      <w:pPr>
        <w:ind w:left="530" w:right="511" w:hanging="530"/>
        <w:spacing w:after="0" w:line="234" w:lineRule="auto"/>
        <w:tabs>
          <w:tab w:leader="none" w:pos="53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MINORITY INTEREST Minority interest in AFC's balance sheet is comprised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Interest of AFG (parent) and noncontrolling</w:t>
      </w:r>
    </w:p>
    <w:p>
      <w:pPr>
        <w:ind w:left="970"/>
        <w:spacing w:after="0" w:line="237" w:lineRule="auto"/>
        <w:rPr>
          <w:sz w:val="20"/>
          <w:szCs w:val="20"/>
          <w:color w:val="auto"/>
        </w:rPr>
      </w:pPr>
      <w:r>
        <w:rPr>
          <w:rFonts w:ascii="Courier New" w:cs="Courier New" w:eastAsia="Courier New" w:hAnsi="Courier New"/>
          <w:sz w:val="15"/>
          <w:szCs w:val="15"/>
          <w:color w:val="auto"/>
        </w:rPr>
        <w:t>shareholders in subsidiaries' common stock</w:t>
      </w:r>
    </w:p>
    <w:p>
      <w:pPr>
        <w:ind w:left="790"/>
        <w:spacing w:after="0" w:line="238" w:lineRule="auto"/>
        <w:rPr>
          <w:sz w:val="20"/>
          <w:szCs w:val="20"/>
          <w:color w:val="auto"/>
        </w:rPr>
      </w:pPr>
      <w:r>
        <w:rPr>
          <w:rFonts w:ascii="Courier New" w:cs="Courier New" w:eastAsia="Courier New" w:hAnsi="Courier New"/>
          <w:sz w:val="15"/>
          <w:szCs w:val="15"/>
          <w:color w:val="auto"/>
        </w:rPr>
        <w:t>Preferred securities issued by subsidiary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169" w:type="dxa"/>
        <w:tblCellMar>
          <w:top w:w="0" w:type="dxa"/>
          <w:left w:w="0" w:type="dxa"/>
          <w:bottom w:w="0" w:type="dxa"/>
          <w:right w:w="0" w:type="dxa"/>
        </w:tblCellMar>
      </w:tblPr>
      <w:tr>
        <w:trPr>
          <w:trHeight w:val="170"/>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March 31,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2003</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$ 95,000</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$248,000</w:t>
            </w:r>
          </w:p>
        </w:tc>
      </w:tr>
      <w:tr>
        <w:trPr>
          <w:trHeight w:val="168"/>
        </w:trPr>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11,482</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11,498</w:t>
            </w:r>
          </w:p>
        </w:tc>
      </w:tr>
      <w:tr>
        <w:trPr>
          <w:trHeight w:val="168"/>
        </w:trPr>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8,241</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8,014</w:t>
            </w:r>
          </w:p>
        </w:tc>
      </w:tr>
      <w:tr>
        <w:trPr>
          <w:trHeight w:val="168"/>
        </w:trPr>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$114,723</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$267,512</w:t>
            </w:r>
          </w:p>
        </w:tc>
      </w:tr>
      <w:tr>
        <w:trPr>
          <w:trHeight w:val="168"/>
        </w:trPr>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$100,000</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$100,000</w:t>
            </w:r>
          </w:p>
        </w:tc>
      </w:tr>
      <w:tr>
        <w:trPr>
          <w:trHeight w:val="168"/>
        </w:trPr>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148,600</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148,600</w:t>
            </w:r>
          </w:p>
        </w:tc>
      </w:tr>
      <w:tr>
        <w:trPr>
          <w:trHeight w:val="168"/>
        </w:trPr>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35,457</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35,610</w:t>
            </w:r>
          </w:p>
        </w:tc>
      </w:tr>
      <w:tr>
        <w:trPr>
          <w:trHeight w:val="168"/>
        </w:trPr>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12,312</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12,561</w:t>
            </w:r>
          </w:p>
        </w:tc>
      </w:tr>
      <w:tr>
        <w:trPr>
          <w:trHeight w:val="168"/>
        </w:trPr>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$296,369</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$296,771</w:t>
            </w:r>
          </w:p>
        </w:tc>
      </w:tr>
      <w:tr>
        <w:trPr>
          <w:trHeight w:val="168"/>
        </w:trPr>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Total</w:t>
      </w:r>
    </w:p>
    <w:p>
      <w:pPr>
        <w:ind w:left="8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9" w:hanging="269"/>
        <w:spacing w:after="0"/>
        <w:tabs>
          <w:tab w:leader="none" w:pos="26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w:t>
      </w:r>
    </w:p>
    <w:p>
      <w:pPr>
        <w:ind w:left="8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150.6</w:t>
      </w:r>
    </w:p>
    <w:p>
      <w:pPr>
        <w:ind w:left="8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106.2</w:t>
      </w:r>
    </w:p>
    <w:p>
      <w:pPr>
        <w:ind w:left="16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19.4</w:t>
      </w:r>
    </w:p>
    <w:p>
      <w:pPr>
        <w:ind w:left="26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5.4</w:t>
      </w:r>
    </w:p>
    <w:p>
      <w:pPr>
        <w:ind w:left="8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March 31,</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$348,638</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$351,559</w:t>
            </w:r>
          </w:p>
        </w:tc>
      </w:tr>
      <w:tr>
        <w:trPr>
          <w:trHeight w:val="168"/>
        </w:trPr>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142,913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142,913</w:t>
            </w:r>
          </w:p>
        </w:tc>
      </w:tr>
      <w:tr>
        <w:trPr>
          <w:trHeight w:val="168"/>
        </w:trPr>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$491,551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$494,472</w:t>
            </w:r>
          </w:p>
        </w:tc>
      </w:tr>
      <w:tr>
        <w:trPr>
          <w:trHeight w:val="168"/>
        </w:trPr>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501" w:space="720"/>
            <w:col w:w="3069"/>
          </w:cols>
          <w:pgMar w:left="230" w:top="1296" w:right="379" w:bottom="349" w:gutter="0" w:footer="0" w:header="0"/>
        </w:sectPr>
      </w:pPr>
    </w:p>
    <w:bookmarkStart w:id="85" w:name="page86"/>
    <w:bookmarkEnd w:id="85"/>
    <w:p>
      <w:pPr>
        <w:ind w:left="540" w:right="4020"/>
        <w:spacing w:after="0" w:line="255" w:lineRule="auto"/>
        <w:rPr>
          <w:sz w:val="20"/>
          <w:szCs w:val="20"/>
          <w:color w:val="auto"/>
        </w:rPr>
      </w:pPr>
      <w:r>
        <w:rPr>
          <w:rFonts w:ascii="Courier New" w:cs="Courier New" w:eastAsia="Courier New" w:hAnsi="Courier New"/>
          <w:sz w:val="14"/>
          <w:szCs w:val="14"/>
          <w:color w:val="auto"/>
        </w:rPr>
        <w:t>SUBSIDIARY PREFERRED SECURITIES Wholly-owned subsidiary trusts of GAFRI have issued preferred securities and, in turn, purchased a like amount of subordinated debt which provides interest and principal payments to fund the respective trusts' obligations. The preferred securities must be redeemed upon maturity or redemption of the subordinated debt. GAFRI effectively provides unconditional guarantees of its trusts' obligations.</w:t>
      </w:r>
    </w:p>
    <w:p>
      <w:pPr>
        <w:spacing w:after="0" w:line="16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preferred securities consisted of the following (in thousands):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Amount Outstanding</w:t>
            </w:r>
          </w:p>
        </w:tc>
        <w:tc>
          <w:tcPr>
            <w:tcW w:w="19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Date of</w:t>
            </w:r>
          </w:p>
        </w:tc>
        <w:tc>
          <w:tcPr>
            <w:tcW w:w="3160" w:type="dxa"/>
            <w:vAlign w:val="bottom"/>
          </w:tcPr>
          <w:p>
            <w:pPr>
              <w:spacing w:after="0"/>
              <w:rPr>
                <w:sz w:val="14"/>
                <w:szCs w:val="14"/>
                <w:color w:val="auto"/>
              </w:rPr>
            </w:pPr>
          </w:p>
        </w:tc>
        <w:tc>
          <w:tcPr>
            <w:tcW w:w="2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Optional</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w:t>
            </w:r>
          </w:p>
        </w:tc>
        <w:tc>
          <w:tcPr>
            <w:tcW w:w="3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Issue (Maturity Date)</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3/31/03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12/31/02</w:t>
            </w:r>
          </w:p>
        </w:tc>
        <w:tc>
          <w:tcPr>
            <w:tcW w:w="19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Redemption Dates</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9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November 1996</w:t>
            </w:r>
          </w:p>
        </w:tc>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rPr>
              <w:t>GAFRI 9-1/4% TOPrS (2026)</w:t>
            </w:r>
          </w:p>
        </w:tc>
        <w:tc>
          <w:tcPr>
            <w:tcW w:w="1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$72,913</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$72,913</w:t>
            </w:r>
          </w:p>
        </w:tc>
        <w:tc>
          <w:tcPr>
            <w:tcW w:w="1980" w:type="dxa"/>
            <w:vAlign w:val="bottom"/>
          </w:tcPr>
          <w:p>
            <w:pPr>
              <w:ind w:left="220"/>
              <w:spacing w:after="0"/>
              <w:rPr>
                <w:sz w:val="20"/>
                <w:szCs w:val="20"/>
                <w:color w:val="auto"/>
              </w:rPr>
            </w:pPr>
            <w:r>
              <w:rPr>
                <w:rFonts w:ascii="Courier New" w:cs="Courier New" w:eastAsia="Courier New" w:hAnsi="Courier New"/>
                <w:sz w:val="15"/>
                <w:szCs w:val="15"/>
                <w:color w:val="auto"/>
                <w:w w:val="96"/>
              </w:rPr>
              <w:t>Currently redeemable</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1997</w:t>
            </w:r>
          </w:p>
        </w:tc>
        <w:tc>
          <w:tcPr>
            <w:tcW w:w="3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GAFRI 8-7/8% Pfd   (2027)</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70,000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70,000</w:t>
            </w:r>
          </w:p>
        </w:tc>
        <w:tc>
          <w:tcPr>
            <w:tcW w:w="19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On or after 3/1/2007</w:t>
            </w:r>
          </w:p>
        </w:tc>
      </w:tr>
    </w:tbl>
    <w:p>
      <w:pPr>
        <w:spacing w:after="0" w:line="341" w:lineRule="exact"/>
        <w:rPr>
          <w:sz w:val="20"/>
          <w:szCs w:val="20"/>
          <w:color w:val="auto"/>
        </w:rPr>
      </w:pPr>
    </w:p>
    <w:p>
      <w:pPr>
        <w:ind w:right="4200" w:firstLine="525"/>
        <w:spacing w:after="0" w:line="234" w:lineRule="auto"/>
        <w:rPr>
          <w:sz w:val="20"/>
          <w:szCs w:val="20"/>
          <w:color w:val="auto"/>
        </w:rPr>
      </w:pPr>
      <w:r>
        <w:rPr>
          <w:rFonts w:ascii="Courier New" w:cs="Courier New" w:eastAsia="Courier New" w:hAnsi="Courier New"/>
          <w:sz w:val="15"/>
          <w:szCs w:val="15"/>
          <w:color w:val="auto"/>
        </w:rPr>
        <w:t>MINORITY INTEREST EXPENSE Minority interest expense is comprised of (in thousands):</w:t>
      </w:r>
    </w:p>
    <w:p>
      <w:pPr>
        <w:spacing w:after="0" w:line="200" w:lineRule="exact"/>
        <w:rPr>
          <w:sz w:val="20"/>
          <w:szCs w:val="20"/>
          <w:color w:val="auto"/>
        </w:rPr>
      </w:pPr>
    </w:p>
    <w:p>
      <w:pPr>
        <w:spacing w:after="0" w:line="303" w:lineRule="exact"/>
        <w:rPr>
          <w:sz w:val="20"/>
          <w:szCs w:val="20"/>
          <w:color w:val="auto"/>
        </w:rPr>
      </w:pPr>
    </w:p>
    <w:p>
      <w:pPr>
        <w:ind w:left="9100"/>
        <w:spacing w:after="0"/>
        <w:rPr>
          <w:sz w:val="20"/>
          <w:szCs w:val="20"/>
          <w:color w:val="auto"/>
        </w:rPr>
      </w:pPr>
      <w:r>
        <w:rPr>
          <w:rFonts w:ascii="Courier New" w:cs="Courier New" w:eastAsia="Courier New" w:hAnsi="Courier New"/>
          <w:sz w:val="15"/>
          <w:szCs w:val="15"/>
          <w:color w:val="auto"/>
        </w:rPr>
        <w:t>Three months ended</w:t>
      </w:r>
    </w:p>
    <w:p>
      <w:pPr>
        <w:ind w:left="9540"/>
        <w:spacing w:after="0" w:line="237" w:lineRule="auto"/>
        <w:rPr>
          <w:sz w:val="20"/>
          <w:szCs w:val="20"/>
          <w:color w:val="auto"/>
        </w:rPr>
      </w:pPr>
      <w:r>
        <w:rPr>
          <w:rFonts w:ascii="Courier New" w:cs="Courier New" w:eastAsia="Courier New" w:hAnsi="Courier New"/>
          <w:sz w:val="15"/>
          <w:szCs w:val="15"/>
          <w:color w:val="auto"/>
        </w:rPr>
        <w:t>March 31,</w:t>
      </w:r>
    </w:p>
    <w:p>
      <w:pPr>
        <w:spacing w:after="0" w:line="5" w:lineRule="exact"/>
        <w:rPr>
          <w:sz w:val="20"/>
          <w:szCs w:val="20"/>
          <w:color w:val="auto"/>
        </w:rPr>
      </w:pPr>
    </w:p>
    <w:p>
      <w:pPr>
        <w:ind w:left="88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840"/>
        <w:spacing w:after="0"/>
        <w:tabs>
          <w:tab w:leader="none" w:pos="10580" w:val="left"/>
        </w:tabs>
        <w:rPr>
          <w:sz w:val="20"/>
          <w:szCs w:val="20"/>
          <w:color w:val="auto"/>
        </w:rPr>
      </w:pP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p>
    <w:p>
      <w:pPr>
        <w:spacing w:after="0" w:line="10" w:lineRule="exact"/>
        <w:rPr>
          <w:sz w:val="20"/>
          <w:szCs w:val="20"/>
          <w:color w:val="auto"/>
        </w:rPr>
      </w:pPr>
    </w:p>
    <w:p>
      <w:pPr>
        <w:ind w:left="8840"/>
        <w:spacing w:after="0"/>
        <w:tabs>
          <w:tab w:leader="none" w:pos="10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Interest of AFG (parent) and noncontrolling</w:t>
      </w:r>
    </w:p>
    <w:p>
      <w:pPr>
        <w:sectPr>
          <w:pgSz w:w="11900" w:h="16838" w:orient="portrait"/>
          <w:cols w:equalWidth="0" w:num="1">
            <w:col w:w="10940"/>
          </w:cols>
          <w:pgMar w:left="220" w:top="1296" w:right="739" w:bottom="1440" w:gutter="0" w:footer="0" w:header="0"/>
        </w:sectPr>
      </w:pP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shareholders in earnings of subsidiaries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$1,912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$2,962</w:t>
      </w:r>
    </w:p>
    <w:p>
      <w:pPr>
        <w:spacing w:after="0" w:line="9" w:lineRule="exact"/>
        <w:rPr>
          <w:sz w:val="20"/>
          <w:szCs w:val="20"/>
          <w:color w:val="auto"/>
        </w:rPr>
      </w:pPr>
    </w:p>
    <w:p>
      <w:pPr>
        <w:sectPr>
          <w:pgSz w:w="11900" w:h="16838" w:orient="portrait"/>
          <w:cols w:equalWidth="0" w:num="3">
            <w:col w:w="7940" w:space="720"/>
            <w:col w:w="1040" w:space="720"/>
            <w:col w:w="520"/>
          </w:cols>
          <w:pgMar w:left="220" w:top="1296" w:right="739" w:bottom="1440" w:gutter="0" w:footer="0" w:header="0"/>
          <w:type w:val="continuous"/>
        </w:sectPr>
      </w:pPr>
    </w:p>
    <w:p>
      <w:pPr>
        <w:ind w:left="980"/>
        <w:spacing w:after="0"/>
        <w:rPr>
          <w:sz w:val="20"/>
          <w:szCs w:val="20"/>
          <w:color w:val="auto"/>
        </w:rPr>
      </w:pPr>
      <w:r>
        <w:rPr>
          <w:rFonts w:ascii="Courier New" w:cs="Courier New" w:eastAsia="Courier New" w:hAnsi="Courier New"/>
          <w:sz w:val="14"/>
          <w:szCs w:val="14"/>
          <w:color w:val="auto"/>
        </w:rPr>
        <w:t>Accrued distributions by subsidiaries</w:t>
      </w:r>
    </w:p>
    <w:p>
      <w:pPr>
        <w:sectPr>
          <w:pgSz w:w="11900" w:h="16838" w:orient="portrait"/>
          <w:cols w:equalWidth="0" w:num="1">
            <w:col w:w="10940"/>
          </w:cols>
          <w:pgMar w:left="220" w:top="1296" w:right="739" w:bottom="1440" w:gutter="0" w:footer="0" w:header="0"/>
          <w:type w:val="continuous"/>
        </w:sectPr>
      </w:pPr>
    </w:p>
    <w:p>
      <w:pPr>
        <w:spacing w:after="0" w:line="10"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on preferred securities, net of tax</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2,106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$4,018</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2,106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$5,068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3">
            <w:col w:w="7940" w:space="720"/>
            <w:col w:w="1040" w:space="720"/>
            <w:col w:w="520"/>
          </w:cols>
          <w:pgMar w:left="220" w:top="1296" w:right="739" w:bottom="1440" w:gutter="0" w:footer="0" w:header="0"/>
          <w:type w:val="continuous"/>
        </w:sectPr>
      </w:pPr>
    </w:p>
    <w:p>
      <w:pPr>
        <w:spacing w:after="0" w:line="142" w:lineRule="exact"/>
        <w:rPr>
          <w:sz w:val="20"/>
          <w:szCs w:val="20"/>
          <w:color w:val="auto"/>
        </w:rPr>
      </w:pPr>
    </w:p>
    <w:p>
      <w:pPr>
        <w:ind w:left="540" w:right="4020" w:hanging="539"/>
        <w:spacing w:after="0" w:line="235" w:lineRule="auto"/>
        <w:tabs>
          <w:tab w:leader="none" w:pos="52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SHAREHOLDERS' EQUITY At March 31, 2003, and December 31, 2002, American Financial Group beneficially owned all of the outstanding shares of AFC's Common Stock.</w:t>
      </w:r>
    </w:p>
    <w:p>
      <w:pPr>
        <w:sectPr>
          <w:pgSz w:w="11900" w:h="16838" w:orient="portrait"/>
          <w:cols w:equalWidth="0" w:num="1">
            <w:col w:w="10940"/>
          </w:cols>
          <w:pgMar w:left="220" w:top="1296" w:right="739" w:bottom="1440" w:gutter="0" w:footer="0" w:header="0"/>
          <w:type w:val="continuous"/>
        </w:sectPr>
      </w:pPr>
    </w:p>
    <w:p>
      <w:pPr>
        <w:spacing w:after="0" w:line="174" w:lineRule="exact"/>
        <w:rPr>
          <w:sz w:val="20"/>
          <w:szCs w:val="20"/>
          <w:color w:val="auto"/>
        </w:rPr>
      </w:pPr>
    </w:p>
    <w:p>
      <w:pPr>
        <w:ind w:left="540" w:right="4020"/>
        <w:spacing w:after="0" w:line="236" w:lineRule="auto"/>
        <w:rPr>
          <w:sz w:val="20"/>
          <w:szCs w:val="20"/>
          <w:color w:val="auto"/>
        </w:rPr>
      </w:pPr>
      <w:r>
        <w:rPr>
          <w:rFonts w:ascii="Courier New" w:cs="Courier New" w:eastAsia="Courier New" w:hAnsi="Courier New"/>
          <w:sz w:val="15"/>
          <w:szCs w:val="15"/>
          <w:color w:val="auto"/>
        </w:rPr>
        <w:t>PREFERRED STOCK See Note K - "Subsequent Event." Under provisions of both the Nonvoting (4.0 million shares authorized) and Voting (4.0 million shares authorized) Cumulative Preferred Stock, the Board of Directors may divide the authorized stock into series and set specific terms and conditions of each series. At March 31, 2003, and December 31, 2002, the outstanding voting shares of AFC's Preferred Stock consisted of the following:</w:t>
      </w:r>
    </w:p>
    <w:p>
      <w:pPr>
        <w:spacing w:after="0" w:line="176" w:lineRule="exact"/>
        <w:rPr>
          <w:sz w:val="20"/>
          <w:szCs w:val="20"/>
          <w:color w:val="auto"/>
        </w:rPr>
      </w:pPr>
    </w:p>
    <w:p>
      <w:pPr>
        <w:ind w:left="880" w:right="3940"/>
        <w:spacing w:after="0" w:line="236" w:lineRule="auto"/>
        <w:rPr>
          <w:sz w:val="20"/>
          <w:szCs w:val="20"/>
          <w:color w:val="auto"/>
        </w:rPr>
      </w:pPr>
      <w:r>
        <w:rPr>
          <w:rFonts w:ascii="Courier New" w:cs="Courier New" w:eastAsia="Courier New" w:hAnsi="Courier New"/>
          <w:sz w:val="15"/>
          <w:szCs w:val="15"/>
          <w:color w:val="auto"/>
        </w:rPr>
        <w:t>SERIES J, no par value; $25.00 liquidating value per share; annual dividends per share $2.00; redeemable at AFC's option at $25.75 per share beginning December 2005 declining to $25.00 at December 2007 and thereafter; 2,886,161 shares (stated value $72.2 million) outstanding at March 31, 2003, and December 31, 2002.</w:t>
      </w:r>
    </w:p>
    <w:p>
      <w:pPr>
        <w:spacing w:after="0" w:line="174" w:lineRule="exact"/>
        <w:rPr>
          <w:sz w:val="20"/>
          <w:szCs w:val="20"/>
          <w:color w:val="auto"/>
        </w:rPr>
      </w:pPr>
    </w:p>
    <w:p>
      <w:pPr>
        <w:ind w:left="540" w:right="4200" w:hanging="530"/>
        <w:spacing w:after="0" w:line="235" w:lineRule="auto"/>
        <w:tabs>
          <w:tab w:leader="none" w:pos="5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There have been no significant changes to the matters discussed and referred to in Note L "Commitments and Contingencies" of AFC's Annual Report on Form 10-K for 2002.</w:t>
      </w:r>
    </w:p>
    <w:p>
      <w:pPr>
        <w:spacing w:after="0" w:line="173" w:lineRule="exact"/>
        <w:rPr>
          <w:rFonts w:ascii="Courier New" w:cs="Courier New" w:eastAsia="Courier New" w:hAnsi="Courier New"/>
          <w:sz w:val="15"/>
          <w:szCs w:val="15"/>
          <w:color w:val="auto"/>
        </w:rPr>
      </w:pPr>
    </w:p>
    <w:p>
      <w:pPr>
        <w:ind w:left="540" w:right="3940" w:hanging="530"/>
        <w:spacing w:after="0" w:line="237" w:lineRule="auto"/>
        <w:tabs>
          <w:tab w:leader="none" w:pos="5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 On April 17, 2003, AFG announced a proposal to merge with AFC. Under the proposal, AFC Series J Preferred shareholders would receive $22.00 in AFG common stock in exchange for each share of Series J Preferred Stock. This transaction is subject to (i) the negotiation of specific terms and final documentation, (ii) the approval of the Board of Directors of each of AFG, AFC, and a special committee of independent directors of AFC, and (iii) the receipt of all required shareholder, stock exchange listing and regulatory approvals. In addition, the merger would eliminate the deferred tax liabilities associated with AFC's holding of AFG stock. Assuming that the proposed transaction is completed, these changes are expected to result in a 12% to 15% increase in AFG's shareholders' equity. AFG and AFC hope to complete the merger in the third quarter of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940"/>
          </w:cols>
          <w:pgMar w:left="220" w:top="1296" w:right="739" w:bottom="1440" w:gutter="0" w:footer="0" w:header="0"/>
          <w:type w:val="continuous"/>
        </w:sectPr>
      </w:pPr>
    </w:p>
    <w:bookmarkStart w:id="86" w:name="page87"/>
    <w:bookmarkEnd w:id="86"/>
    <w:p>
      <w:pPr>
        <w:jc w:val="center"/>
        <w:ind w:right="3239"/>
        <w:spacing w:after="0"/>
        <w:rPr>
          <w:sz w:val="20"/>
          <w:szCs w:val="20"/>
          <w:color w:val="auto"/>
        </w:rPr>
      </w:pPr>
      <w:r>
        <w:rPr>
          <w:rFonts w:ascii="Courier New" w:cs="Courier New" w:eastAsia="Courier New" w:hAnsi="Courier New"/>
          <w:sz w:val="15"/>
          <w:szCs w:val="15"/>
          <w:color w:val="auto"/>
        </w:rPr>
        <w:t>MANAGEMENT'S DISCUSSION AND ANALYSIS</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FINANCIAL CONDITION AND RESULTS OF OPERATIONS</w:t>
      </w:r>
    </w:p>
    <w:p>
      <w:pPr>
        <w:jc w:val="center"/>
        <w:ind w:right="3239"/>
        <w:spacing w:after="0" w:line="238" w:lineRule="auto"/>
        <w:rPr>
          <w:sz w:val="20"/>
          <w:szCs w:val="20"/>
          <w:color w:val="auto"/>
        </w:rPr>
      </w:pPr>
      <w:r>
        <w:rPr>
          <w:rFonts w:ascii="Courier New" w:cs="Courier New" w:eastAsia="Courier New" w:hAnsi="Courier New"/>
          <w:sz w:val="15"/>
          <w:szCs w:val="15"/>
          <w:color w:val="auto"/>
        </w:rPr>
        <w:t>YEAR ENDED DECEMBER 31,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99" w:firstLine="525"/>
        <w:spacing w:after="0" w:line="256" w:lineRule="auto"/>
        <w:rPr>
          <w:sz w:val="20"/>
          <w:szCs w:val="20"/>
          <w:color w:val="auto"/>
        </w:rPr>
      </w:pPr>
      <w:r>
        <w:rPr>
          <w:rFonts w:ascii="Courier New" w:cs="Courier New" w:eastAsia="Courier New" w:hAnsi="Courier New"/>
          <w:sz w:val="14"/>
          <w:szCs w:val="14"/>
          <w:color w:val="auto"/>
        </w:rPr>
        <w:t>Following is a discussion and analysis of the financial statements and other statistical data that management believes will enhance the understanding of AFC's financial condition and results of operations. This discussion should be read in conjunction with the financial statements beginning on page F-43.</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Significant accounting policies are summarized in Note A to the financial statements. The preparation of financial statements in conformity with generally accepted accounting principles requires management to make estimates and assumptions that can have a significant effect on amounts reported in the financial statements. As more information becomes known, these estimates and assumptions could change and thus impact amounts reported in the future. Management believes that the establishment of insurance reserves, especially asbestos and environmental-related reserves, and the determination of "other than temporary" impairment on investments are the two areas where the degree of judgment required to determine amounts recorded in the financial statements make the accounting policies critical. For further discussion of these policies, see "Liquidity and Capital Resources - Investments" and "Liquidity and Capital Resources - Uncertainties."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RATIOS AFC's debt to total capital ratio at the parent holding company level (excluding amounts due AFG) was approximately 13% at December 31, 2002 and 2001. Including amounts due AFG, the ratio was 25% at the end of 2002 and 28% at the end of 2000. AFC used a portion of the proceeds from the Infinity sale in February 2003 to repay parent debt. Adjusting to reflect this repayment reduces the ratio to 6% excluding amounts due AFG and 20% including amounts due AFG at December 31, 2002.</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AFC's ratio of earnings to fixed charges excluding and including preferred dividends, on a total enterprise basis for the year ended December 31, 2002, was 3.36 and 3.09, respectively. Including annuity benefits as a fixed charge, this ratio was 1.48 and 1.46 respectively. Although not required to be disclosed, the ratio excluding interest on annuities is presented because interest credited to annuity policyholder accounts is not always considered a borrowing cost for an insurance company.</w:t>
      </w:r>
    </w:p>
    <w:p>
      <w:pPr>
        <w:spacing w:after="0" w:line="17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National Association of Insurance Commissioners' model law for risk based capital ("RBC") applies to both life and property and casualty companies. RBC formulas determine the amount of capital that an insurance company needs to ensure that it has an acceptable expectation of not becoming financially impaired. At December 31, 2002, the capital ratios of all AFC insurance companies substantially exceeded the RBC requirements (the lowest capital ratio of any AFC subsidiary was 2.3 times its authorized control level RBC; weighted average of all AFC subsidiaries was 5.0 times).</w:t>
      </w:r>
    </w:p>
    <w:p>
      <w:pPr>
        <w:spacing w:after="0" w:line="177"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SOURCES OF FUNDS AFC and American Premier are organized as holding companies with almost all of their operations being conducted by subsidiaries. These parent corporations, however, have continuing cash needs for administrative expenses, the payment of principal and interest on borrowings, shareholder dividends, and taxes. Funds to meet these obligations come primarily from dividend and tax payments from their subsidiaries.</w:t>
      </w:r>
    </w:p>
    <w:p>
      <w:pPr>
        <w:spacing w:after="0" w:line="166" w:lineRule="exact"/>
        <w:rPr>
          <w:sz w:val="20"/>
          <w:szCs w:val="20"/>
          <w:color w:val="auto"/>
        </w:rPr>
      </w:pPr>
    </w:p>
    <w:p>
      <w:pPr>
        <w:ind w:right="3759" w:firstLine="525"/>
        <w:spacing w:after="0" w:line="236" w:lineRule="auto"/>
        <w:rPr>
          <w:sz w:val="20"/>
          <w:szCs w:val="20"/>
          <w:color w:val="auto"/>
        </w:rPr>
      </w:pPr>
      <w:r>
        <w:rPr>
          <w:rFonts w:ascii="Courier New" w:cs="Courier New" w:eastAsia="Courier New" w:hAnsi="Courier New"/>
          <w:sz w:val="15"/>
          <w:szCs w:val="15"/>
          <w:color w:val="auto"/>
        </w:rPr>
        <w:t>Management believes these parent holding companies have sufficient resources to meet their liquidity requirements. If funds generated from operations, including dividends and tax payments from subsidiaries, are insufficient to meet fixed charges in any period, these companies would be required to generate cash through borrowings, sales of securities or other assets, or similar transactions.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449" w:right="1440" w:bottom="1440" w:gutter="0" w:footer="0" w:header="0"/>
        </w:sectPr>
      </w:pPr>
    </w:p>
    <w:bookmarkStart w:id="87" w:name="page88"/>
    <w:bookmarkEnd w:id="87"/>
    <w:p>
      <w:pPr>
        <w:ind w:right="3319"/>
        <w:spacing w:after="0" w:line="235" w:lineRule="auto"/>
        <w:rPr>
          <w:sz w:val="20"/>
          <w:szCs w:val="20"/>
          <w:color w:val="auto"/>
        </w:rPr>
      </w:pPr>
      <w:r>
        <w:rPr>
          <w:rFonts w:ascii="Courier New" w:cs="Courier New" w:eastAsia="Courier New" w:hAnsi="Courier New"/>
          <w:sz w:val="15"/>
          <w:szCs w:val="15"/>
          <w:color w:val="auto"/>
        </w:rPr>
        <w:t>AFC has a reciprocal Master Credit Agreement with various AFG holding companies under which these companies make funds available to each other for general corporate purposes.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November 2002, AFC replaced its $300 million bank credit line with a new bank credit agreement. Currently, AFC may borrow up to $280 million under the new agreement; the line may be expanded to $300 million through the end of 2003. The new line consists of two facilities: a 364-day revolving facility, extendable annually, for one-third of the total line and a three-year revolving facility for the remaining two-thirds. Amounts borrowed bear interest at rates ranging from 1.25% to 2.25% over LIBOR based on AFG's credit rating. This credit agreement provides ample liquidity and can be used to obtain funds for operating subsidiaries or, if necessary, for the parent companies. At December 31, 2002, there was $248 million borrowed under the agreement. At March 14, 2003, there was $95 million borrowed under the line.</w:t>
      </w:r>
    </w:p>
    <w:p>
      <w:pPr>
        <w:spacing w:after="0" w:line="180" w:lineRule="exact"/>
        <w:rPr>
          <w:sz w:val="20"/>
          <w:szCs w:val="20"/>
          <w:color w:val="auto"/>
        </w:rPr>
      </w:pPr>
    </w:p>
    <w:p>
      <w:pPr>
        <w:ind w:right="3319" w:firstLine="525"/>
        <w:spacing w:after="0" w:line="261" w:lineRule="auto"/>
        <w:rPr>
          <w:sz w:val="20"/>
          <w:szCs w:val="20"/>
          <w:color w:val="auto"/>
        </w:rPr>
      </w:pPr>
      <w:r>
        <w:rPr>
          <w:rFonts w:ascii="Courier New" w:cs="Courier New" w:eastAsia="Courier New" w:hAnsi="Courier New"/>
          <w:sz w:val="14"/>
          <w:szCs w:val="14"/>
          <w:color w:val="auto"/>
        </w:rPr>
        <w:t>In December 2000, AFC borrowed $155 million under its credit agreement with AFG to make capital contributions to its property and casualty operations.</w:t>
      </w:r>
    </w:p>
    <w:p>
      <w:pPr>
        <w:spacing w:after="0" w:line="160"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For statutory accounting purposes, equity securities of non-affiliates are generally carried at market value. At December 31, 2002, AFC's insurance companies owned publicly traded equity securities with a market value of $297 million. In addition, Great American owns GAFRI common stock with a market value of $603 million and a carrying value of $422 million. Since significant amounts of these are concentrated in a relatively small number of companies, decreases in the market prices could adversely affect the insurance group's capital, potentially impacting the amount of dividends available or necessitating a capital contribution. Conversely, increases in the market prices could have a favorable impact on the group's dividend-paying capability.</w:t>
      </w:r>
    </w:p>
    <w:p>
      <w:pPr>
        <w:spacing w:after="0" w:line="16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Under tax allocation agreements with AFC, its 80%-owned U.S. subsidiaries generally compute tax provisions as if filing separate returns based on book taxable income computed in accordance with generally accepted accounting principles. The resulting provision (or credit) is currently payable to (or receivable from) AFC.</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INVESTMENTS Approximately two-thirds of AFC's consolidated assets are invested in marketable securities. AFC's investment portfolio at December 31, 2002, contained $12 billion in "Fixed maturities" and $299 million in "Other stocks", all carried at market value with unrealized gains and losses reported as a separate component of shareholders' equity on an after-tax basis. At December 31, 2002, AFC had pretax net unrealized gains of $457.2 million on fixed maturities and $125.2 million on other stocks. AFC attempts to optimize investment income while building the value of its portfolio, placing emphasis upon long-term performance. AFC's goal is to maximize return on an ongoing basis rather than focusing on short-term performance.</w:t>
      </w:r>
    </w:p>
    <w:p>
      <w:pPr>
        <w:spacing w:after="0" w:line="179" w:lineRule="exact"/>
        <w:rPr>
          <w:sz w:val="20"/>
          <w:szCs w:val="20"/>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Fixed income investment funds are generally invested in securities with intermediate-term maturities with an objective of optimizing total return while allowing flexibility to react to changes in market conditions. At December 31, 2002, the average life of AFC's fixed maturities was about six years.</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Approximately 93% of the fixed maturities held by AFC were rated "investment grade" (credit rating of AAA to BBB) by nationally recognized rating agencies at December 31, 2002. Investment grade securities generally bear lower yields and lower degrees of risk than those that are unrated or noninvestment grade. Management believes that the high quality investment portfolio should generate a stable and predictable investment return.</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Investments in mortgage backed securities ("MBSs") represented approximately one-fourth of AFC's fixed maturities at December 31, 2002. MBSs are subject to significant prepayment risk due to the fact that, in periods of declining interest rates, mortgages may be repaid more rapidly than scheduled as borrowers refinance higher rate mortgages to take advantage of lower rates. Due to the significant decline in the general level of interest rates in 2002, AFC has experienced an increase in the level of prepayments on its MBSs; these prepayments have not been reinvested at interest rates comparable to the rates earned on the prepaid MBSs. Substantially all of AFC's MBSs are investment grade quality, with over 95% rated "AAA" at December 31, 2002.</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792" w:right="1440" w:bottom="1440" w:gutter="0" w:footer="0" w:header="0"/>
        </w:sectPr>
      </w:pPr>
    </w:p>
    <w:bookmarkStart w:id="88" w:name="page89"/>
    <w:bookmarkEnd w:id="88"/>
    <w:p>
      <w:pPr>
        <w:ind w:right="880" w:firstLine="525"/>
        <w:spacing w:after="0" w:line="236" w:lineRule="auto"/>
        <w:rPr>
          <w:sz w:val="20"/>
          <w:szCs w:val="20"/>
          <w:color w:val="auto"/>
        </w:rPr>
      </w:pPr>
      <w:r>
        <w:rPr>
          <w:rFonts w:ascii="Courier New" w:cs="Courier New" w:eastAsia="Courier New" w:hAnsi="Courier New"/>
          <w:sz w:val="15"/>
          <w:szCs w:val="15"/>
          <w:color w:val="auto"/>
        </w:rPr>
        <w:t>Summarized information for the unrealized gains and losses recorded in AFC's balance sheet at December 31, 2002, is shown in the following table (dollars in millions). Approximately $170 million of "Fixed maturities" and $21 million of "Other stocks" had no unrealized gains or losses at December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Fixed Maturities</w:t>
      </w:r>
    </w:p>
    <w:p>
      <w:pPr>
        <w:ind w:left="800"/>
        <w:spacing w:after="0" w:line="237" w:lineRule="auto"/>
        <w:rPr>
          <w:sz w:val="20"/>
          <w:szCs w:val="20"/>
          <w:color w:val="auto"/>
        </w:rPr>
      </w:pPr>
      <w:r>
        <w:rPr>
          <w:rFonts w:ascii="Courier New" w:cs="Courier New" w:eastAsia="Courier New" w:hAnsi="Courier New"/>
          <w:sz w:val="15"/>
          <w:szCs w:val="15"/>
          <w:color w:val="auto"/>
        </w:rPr>
        <w:t>----------------</w:t>
      </w:r>
    </w:p>
    <w:p>
      <w:pPr>
        <w:ind w:left="980"/>
        <w:spacing w:after="0" w:line="238" w:lineRule="auto"/>
        <w:rPr>
          <w:sz w:val="20"/>
          <w:szCs w:val="20"/>
          <w:color w:val="auto"/>
        </w:rPr>
      </w:pPr>
      <w:r>
        <w:rPr>
          <w:rFonts w:ascii="Courier New" w:cs="Courier New" w:eastAsia="Courier New" w:hAnsi="Courier New"/>
          <w:sz w:val="15"/>
          <w:szCs w:val="15"/>
          <w:color w:val="auto"/>
        </w:rPr>
        <w:t>Market value of securities</w:t>
      </w:r>
    </w:p>
    <w:p>
      <w:pPr>
        <w:ind w:left="980"/>
        <w:spacing w:after="0" w:line="237" w:lineRule="auto"/>
        <w:rPr>
          <w:sz w:val="20"/>
          <w:szCs w:val="20"/>
          <w:color w:val="auto"/>
        </w:rPr>
      </w:pPr>
      <w:r>
        <w:rPr>
          <w:rFonts w:ascii="Courier New" w:cs="Courier New" w:eastAsia="Courier New" w:hAnsi="Courier New"/>
          <w:sz w:val="15"/>
          <w:szCs w:val="15"/>
          <w:color w:val="auto"/>
        </w:rPr>
        <w:t>Amortized cost of securities</w:t>
      </w:r>
    </w:p>
    <w:p>
      <w:pPr>
        <w:ind w:left="980"/>
        <w:spacing w:after="0" w:line="238" w:lineRule="auto"/>
        <w:rPr>
          <w:sz w:val="20"/>
          <w:szCs w:val="20"/>
          <w:color w:val="auto"/>
        </w:rPr>
      </w:pPr>
      <w:r>
        <w:rPr>
          <w:rFonts w:ascii="Courier New" w:cs="Courier New" w:eastAsia="Courier New" w:hAnsi="Courier New"/>
          <w:sz w:val="15"/>
          <w:szCs w:val="15"/>
          <w:color w:val="auto"/>
        </w:rPr>
        <w:t>Gross unrealized gain (loss)</w:t>
      </w:r>
    </w:p>
    <w:p>
      <w:pPr>
        <w:ind w:left="980"/>
        <w:spacing w:after="0" w:line="237" w:lineRule="auto"/>
        <w:rPr>
          <w:sz w:val="20"/>
          <w:szCs w:val="20"/>
          <w:color w:val="auto"/>
        </w:rPr>
      </w:pPr>
      <w:r>
        <w:rPr>
          <w:rFonts w:ascii="Courier New" w:cs="Courier New" w:eastAsia="Courier New" w:hAnsi="Courier New"/>
          <w:sz w:val="15"/>
          <w:szCs w:val="15"/>
          <w:color w:val="auto"/>
        </w:rPr>
        <w:t>Market value as % of amortized cost</w:t>
      </w:r>
    </w:p>
    <w:p>
      <w:pPr>
        <w:ind w:left="980"/>
        <w:spacing w:after="0" w:line="238" w:lineRule="auto"/>
        <w:rPr>
          <w:sz w:val="20"/>
          <w:szCs w:val="20"/>
          <w:color w:val="auto"/>
        </w:rPr>
      </w:pPr>
      <w:r>
        <w:rPr>
          <w:rFonts w:ascii="Courier New" w:cs="Courier New" w:eastAsia="Courier New" w:hAnsi="Courier New"/>
          <w:sz w:val="15"/>
          <w:szCs w:val="15"/>
          <w:color w:val="auto"/>
        </w:rPr>
        <w:t>Number of security positions</w:t>
      </w:r>
    </w:p>
    <w:p>
      <w:pPr>
        <w:ind w:left="980"/>
        <w:spacing w:after="0" w:line="237" w:lineRule="auto"/>
        <w:rPr>
          <w:sz w:val="20"/>
          <w:szCs w:val="20"/>
          <w:color w:val="auto"/>
        </w:rPr>
      </w:pPr>
      <w:r>
        <w:rPr>
          <w:rFonts w:ascii="Courier New" w:cs="Courier New" w:eastAsia="Courier New" w:hAnsi="Courier New"/>
          <w:sz w:val="15"/>
          <w:szCs w:val="15"/>
          <w:color w:val="auto"/>
        </w:rPr>
        <w:t>Number individually exceeding</w:t>
      </w:r>
    </w:p>
    <w:p>
      <w:pPr>
        <w:ind w:left="1140"/>
        <w:spacing w:after="0" w:line="238" w:lineRule="auto"/>
        <w:rPr>
          <w:sz w:val="20"/>
          <w:szCs w:val="20"/>
          <w:color w:val="auto"/>
        </w:rPr>
      </w:pPr>
      <w:r>
        <w:rPr>
          <w:rFonts w:ascii="Courier New" w:cs="Courier New" w:eastAsia="Courier New" w:hAnsi="Courier New"/>
          <w:sz w:val="15"/>
          <w:szCs w:val="15"/>
          <w:color w:val="auto"/>
        </w:rPr>
        <w:t>$2 million gain or loss</w:t>
      </w:r>
    </w:p>
    <w:p>
      <w:pPr>
        <w:ind w:left="980"/>
        <w:spacing w:after="0" w:line="238" w:lineRule="auto"/>
        <w:rPr>
          <w:sz w:val="20"/>
          <w:szCs w:val="20"/>
          <w:color w:val="auto"/>
        </w:rPr>
      </w:pPr>
      <w:r>
        <w:rPr>
          <w:rFonts w:ascii="Courier New" w:cs="Courier New" w:eastAsia="Courier New" w:hAnsi="Courier New"/>
          <w:sz w:val="15"/>
          <w:szCs w:val="15"/>
          <w:color w:val="auto"/>
        </w:rPr>
        <w:t>Concentration of gains (losses) by</w:t>
      </w:r>
    </w:p>
    <w:p>
      <w:pPr>
        <w:ind w:left="1140"/>
        <w:spacing w:after="0" w:line="237" w:lineRule="auto"/>
        <w:rPr>
          <w:sz w:val="20"/>
          <w:szCs w:val="20"/>
          <w:color w:val="auto"/>
        </w:rPr>
      </w:pPr>
      <w:r>
        <w:rPr>
          <w:rFonts w:ascii="Courier New" w:cs="Courier New" w:eastAsia="Courier New" w:hAnsi="Courier New"/>
          <w:sz w:val="15"/>
          <w:szCs w:val="15"/>
          <w:color w:val="auto"/>
        </w:rPr>
        <w:t>type or industry (exceeding 5% of</w:t>
      </w:r>
    </w:p>
    <w:p>
      <w:pPr>
        <w:ind w:left="1140"/>
        <w:spacing w:after="0" w:line="238" w:lineRule="auto"/>
        <w:rPr>
          <w:sz w:val="20"/>
          <w:szCs w:val="20"/>
          <w:color w:val="auto"/>
        </w:rPr>
      </w:pPr>
      <w:r>
        <w:rPr>
          <w:rFonts w:ascii="Courier New" w:cs="Courier New" w:eastAsia="Courier New" w:hAnsi="Courier New"/>
          <w:sz w:val="15"/>
          <w:szCs w:val="15"/>
          <w:color w:val="auto"/>
        </w:rPr>
        <w:t>unrealized):</w:t>
      </w:r>
    </w:p>
    <w:p>
      <w:pPr>
        <w:ind w:left="1320"/>
        <w:spacing w:after="0" w:line="237" w:lineRule="auto"/>
        <w:rPr>
          <w:sz w:val="20"/>
          <w:szCs w:val="20"/>
          <w:color w:val="auto"/>
        </w:rPr>
      </w:pPr>
      <w:r>
        <w:rPr>
          <w:rFonts w:ascii="Courier New" w:cs="Courier New" w:eastAsia="Courier New" w:hAnsi="Courier New"/>
          <w:sz w:val="15"/>
          <w:szCs w:val="15"/>
          <w:color w:val="auto"/>
        </w:rPr>
        <w:t>Mortgage-backed securities</w:t>
      </w:r>
    </w:p>
    <w:p>
      <w:pPr>
        <w:ind w:left="1320"/>
        <w:spacing w:after="0" w:line="238" w:lineRule="auto"/>
        <w:rPr>
          <w:sz w:val="20"/>
          <w:szCs w:val="20"/>
          <w:color w:val="auto"/>
        </w:rPr>
      </w:pPr>
      <w:r>
        <w:rPr>
          <w:rFonts w:ascii="Courier New" w:cs="Courier New" w:eastAsia="Courier New" w:hAnsi="Courier New"/>
          <w:sz w:val="15"/>
          <w:szCs w:val="15"/>
          <w:color w:val="auto"/>
        </w:rPr>
        <w:t>Banks and savings institutions</w:t>
      </w:r>
    </w:p>
    <w:p>
      <w:pPr>
        <w:ind w:left="1320"/>
        <w:spacing w:after="0" w:line="237" w:lineRule="auto"/>
        <w:rPr>
          <w:sz w:val="20"/>
          <w:szCs w:val="20"/>
          <w:color w:val="auto"/>
        </w:rPr>
      </w:pPr>
      <w:r>
        <w:rPr>
          <w:rFonts w:ascii="Courier New" w:cs="Courier New" w:eastAsia="Courier New" w:hAnsi="Courier New"/>
          <w:sz w:val="15"/>
          <w:szCs w:val="15"/>
          <w:color w:val="auto"/>
        </w:rPr>
        <w:t>U.S. government and government agencies</w:t>
      </w:r>
    </w:p>
    <w:p>
      <w:pPr>
        <w:ind w:left="1320"/>
        <w:spacing w:after="0" w:line="238" w:lineRule="auto"/>
        <w:rPr>
          <w:sz w:val="20"/>
          <w:szCs w:val="20"/>
          <w:color w:val="auto"/>
        </w:rPr>
      </w:pPr>
      <w:r>
        <w:rPr>
          <w:rFonts w:ascii="Courier New" w:cs="Courier New" w:eastAsia="Courier New" w:hAnsi="Courier New"/>
          <w:sz w:val="15"/>
          <w:szCs w:val="15"/>
          <w:color w:val="auto"/>
        </w:rPr>
        <w:t>State and municipal</w:t>
      </w:r>
    </w:p>
    <w:p>
      <w:pPr>
        <w:ind w:left="1320"/>
        <w:spacing w:after="0" w:line="238" w:lineRule="auto"/>
        <w:rPr>
          <w:sz w:val="20"/>
          <w:szCs w:val="20"/>
          <w:color w:val="auto"/>
        </w:rPr>
      </w:pPr>
      <w:r>
        <w:rPr>
          <w:rFonts w:ascii="Courier New" w:cs="Courier New" w:eastAsia="Courier New" w:hAnsi="Courier New"/>
          <w:sz w:val="15"/>
          <w:szCs w:val="15"/>
          <w:color w:val="auto"/>
        </w:rPr>
        <w:t>Electric services</w:t>
      </w:r>
    </w:p>
    <w:p>
      <w:pPr>
        <w:ind w:left="1320"/>
        <w:spacing w:after="0" w:line="237" w:lineRule="auto"/>
        <w:rPr>
          <w:sz w:val="20"/>
          <w:szCs w:val="20"/>
          <w:color w:val="auto"/>
        </w:rPr>
      </w:pPr>
      <w:r>
        <w:rPr>
          <w:rFonts w:ascii="Courier New" w:cs="Courier New" w:eastAsia="Courier New" w:hAnsi="Courier New"/>
          <w:sz w:val="15"/>
          <w:szCs w:val="15"/>
          <w:color w:val="auto"/>
        </w:rPr>
        <w:t>Asset-backed securities</w:t>
      </w:r>
    </w:p>
    <w:p>
      <w:pPr>
        <w:ind w:left="1320"/>
        <w:spacing w:after="0" w:line="238" w:lineRule="auto"/>
        <w:rPr>
          <w:sz w:val="20"/>
          <w:szCs w:val="20"/>
          <w:color w:val="auto"/>
        </w:rPr>
      </w:pPr>
      <w:r>
        <w:rPr>
          <w:rFonts w:ascii="Courier New" w:cs="Courier New" w:eastAsia="Courier New" w:hAnsi="Courier New"/>
          <w:sz w:val="15"/>
          <w:szCs w:val="15"/>
          <w:color w:val="auto"/>
        </w:rPr>
        <w:t>Air transportation (generally collateralized)</w:t>
      </w:r>
    </w:p>
    <w:p>
      <w:pPr>
        <w:ind w:left="980"/>
        <w:spacing w:after="0" w:line="237" w:lineRule="auto"/>
        <w:rPr>
          <w:sz w:val="20"/>
          <w:szCs w:val="20"/>
          <w:color w:val="auto"/>
        </w:rPr>
      </w:pPr>
      <w:r>
        <w:rPr>
          <w:rFonts w:ascii="Courier New" w:cs="Courier New" w:eastAsia="Courier New" w:hAnsi="Courier New"/>
          <w:sz w:val="15"/>
          <w:szCs w:val="15"/>
          <w:color w:val="auto"/>
        </w:rPr>
        <w:t>Percentage rated investment grade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 Stocks</w:t>
      </w:r>
    </w:p>
    <w:p>
      <w:pPr>
        <w:ind w:left="800"/>
        <w:spacing w:after="0" w:line="237" w:lineRule="auto"/>
        <w:rPr>
          <w:sz w:val="20"/>
          <w:szCs w:val="20"/>
          <w:color w:val="auto"/>
        </w:rPr>
      </w:pPr>
      <w:r>
        <w:rPr>
          <w:rFonts w:ascii="Courier New" w:cs="Courier New" w:eastAsia="Courier New" w:hAnsi="Courier New"/>
          <w:sz w:val="15"/>
          <w:szCs w:val="15"/>
          <w:color w:val="auto"/>
        </w:rPr>
        <w:t>------------</w:t>
      </w:r>
    </w:p>
    <w:p>
      <w:pPr>
        <w:ind w:left="980"/>
        <w:spacing w:after="0" w:line="238" w:lineRule="auto"/>
        <w:rPr>
          <w:sz w:val="20"/>
          <w:szCs w:val="20"/>
          <w:color w:val="auto"/>
        </w:rPr>
      </w:pPr>
      <w:r>
        <w:rPr>
          <w:rFonts w:ascii="Courier New" w:cs="Courier New" w:eastAsia="Courier New" w:hAnsi="Courier New"/>
          <w:sz w:val="15"/>
          <w:szCs w:val="15"/>
          <w:color w:val="auto"/>
        </w:rPr>
        <w:t>Market value of securities</w:t>
      </w:r>
    </w:p>
    <w:p>
      <w:pPr>
        <w:ind w:left="980"/>
        <w:spacing w:after="0" w:line="237" w:lineRule="auto"/>
        <w:rPr>
          <w:sz w:val="20"/>
          <w:szCs w:val="20"/>
          <w:color w:val="auto"/>
        </w:rPr>
      </w:pPr>
      <w:r>
        <w:rPr>
          <w:rFonts w:ascii="Courier New" w:cs="Courier New" w:eastAsia="Courier New" w:hAnsi="Courier New"/>
          <w:sz w:val="15"/>
          <w:szCs w:val="15"/>
          <w:color w:val="auto"/>
        </w:rPr>
        <w:t>Cost of securities</w:t>
      </w:r>
    </w:p>
    <w:p>
      <w:pPr>
        <w:ind w:left="980"/>
        <w:spacing w:after="0" w:line="238" w:lineRule="auto"/>
        <w:rPr>
          <w:sz w:val="20"/>
          <w:szCs w:val="20"/>
          <w:color w:val="auto"/>
        </w:rPr>
      </w:pPr>
      <w:r>
        <w:rPr>
          <w:rFonts w:ascii="Courier New" w:cs="Courier New" w:eastAsia="Courier New" w:hAnsi="Courier New"/>
          <w:sz w:val="15"/>
          <w:szCs w:val="15"/>
          <w:color w:val="auto"/>
        </w:rPr>
        <w:t>Gross unrealized gain (loss)</w:t>
      </w:r>
    </w:p>
    <w:p>
      <w:pPr>
        <w:ind w:left="980"/>
        <w:spacing w:after="0" w:line="237" w:lineRule="auto"/>
        <w:rPr>
          <w:sz w:val="20"/>
          <w:szCs w:val="20"/>
          <w:color w:val="auto"/>
        </w:rPr>
      </w:pPr>
      <w:r>
        <w:rPr>
          <w:rFonts w:ascii="Courier New" w:cs="Courier New" w:eastAsia="Courier New" w:hAnsi="Courier New"/>
          <w:sz w:val="15"/>
          <w:szCs w:val="15"/>
          <w:color w:val="auto"/>
        </w:rPr>
        <w:t>Market value as % of cost</w:t>
      </w:r>
    </w:p>
    <w:p>
      <w:pPr>
        <w:ind w:left="980"/>
        <w:spacing w:after="0" w:line="238" w:lineRule="auto"/>
        <w:rPr>
          <w:sz w:val="20"/>
          <w:szCs w:val="20"/>
          <w:color w:val="auto"/>
        </w:rPr>
      </w:pPr>
      <w:r>
        <w:rPr>
          <w:rFonts w:ascii="Courier New" w:cs="Courier New" w:eastAsia="Courier New" w:hAnsi="Courier New"/>
          <w:sz w:val="15"/>
          <w:szCs w:val="15"/>
          <w:color w:val="auto"/>
        </w:rPr>
        <w:t>Number individually exceeding</w:t>
      </w:r>
    </w:p>
    <w:p>
      <w:pPr>
        <w:ind w:left="1140"/>
        <w:spacing w:after="0" w:line="237" w:lineRule="auto"/>
        <w:rPr>
          <w:sz w:val="20"/>
          <w:szCs w:val="20"/>
          <w:color w:val="auto"/>
        </w:rPr>
      </w:pPr>
      <w:r>
        <w:rPr>
          <w:rFonts w:ascii="Courier New" w:cs="Courier New" w:eastAsia="Courier New" w:hAnsi="Courier New"/>
          <w:sz w:val="15"/>
          <w:szCs w:val="15"/>
          <w:color w:val="auto"/>
        </w:rPr>
        <w:t>$2 million gain or loss</w:t>
      </w:r>
    </w:p>
    <w:p>
      <w:pPr>
        <w:spacing w:after="0" w:line="342" w:lineRule="exact"/>
        <w:rPr>
          <w:sz w:val="20"/>
          <w:szCs w:val="20"/>
          <w:color w:val="auto"/>
        </w:rPr>
      </w:pPr>
    </w:p>
    <w:p>
      <w:pPr>
        <w:ind w:right="800" w:firstLine="525"/>
        <w:spacing w:after="0" w:line="236" w:lineRule="auto"/>
        <w:rPr>
          <w:sz w:val="20"/>
          <w:szCs w:val="20"/>
          <w:color w:val="auto"/>
        </w:rPr>
      </w:pPr>
      <w:r>
        <w:rPr>
          <w:rFonts w:ascii="Courier New" w:cs="Courier New" w:eastAsia="Courier New" w:hAnsi="Courier New"/>
          <w:sz w:val="15"/>
          <w:szCs w:val="15"/>
          <w:color w:val="auto"/>
        </w:rPr>
        <w:t>AFC's investment in equity securities of Provident Financial Group, a Cincinnati-based commercial banking and financial services company, represents $117 million of the $130 million in unrealized gains on other stocks at December 31, 2002. At March 14, 2003, the unrealized gain on Provident was approximately $86 million.</w:t>
      </w:r>
    </w:p>
    <w:p>
      <w:pPr>
        <w:spacing w:after="0" w:line="174" w:lineRule="exact"/>
        <w:rPr>
          <w:sz w:val="20"/>
          <w:szCs w:val="20"/>
          <w:color w:val="auto"/>
        </w:rPr>
      </w:pPr>
    </w:p>
    <w:p>
      <w:pPr>
        <w:jc w:val="both"/>
        <w:ind w:right="1240" w:firstLine="525"/>
        <w:spacing w:after="0" w:line="256" w:lineRule="auto"/>
        <w:rPr>
          <w:sz w:val="20"/>
          <w:szCs w:val="20"/>
          <w:color w:val="auto"/>
        </w:rPr>
      </w:pPr>
      <w:r>
        <w:rPr>
          <w:rFonts w:ascii="Courier New" w:cs="Courier New" w:eastAsia="Courier New" w:hAnsi="Courier New"/>
          <w:sz w:val="14"/>
          <w:szCs w:val="14"/>
          <w:color w:val="auto"/>
        </w:rPr>
        <w:t>The table below sets forth the scheduled maturities of fixed maturity securities at December 31, 2002, based on their market values. Asset backed securities and other securities with sinking funds are reported at average maturity. Actual maturities may differ from contractual maturities because certain securities may be called or prepaid by the issuers.</w:t>
      </w:r>
    </w:p>
    <w:p>
      <w:pPr>
        <w:spacing w:after="0" w:line="325"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228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7"/>
              </w:rPr>
              <w:t>Securities</w:t>
            </w:r>
          </w:p>
        </w:tc>
      </w:tr>
      <w:tr>
        <w:trPr>
          <w:trHeight w:val="168"/>
        </w:trPr>
        <w:tc>
          <w:tcPr>
            <w:tcW w:w="4540" w:type="dxa"/>
            <w:vAlign w:val="bottom"/>
          </w:tcPr>
          <w:p>
            <w:pPr>
              <w:spacing w:after="0"/>
              <w:rPr>
                <w:sz w:val="14"/>
                <w:szCs w:val="14"/>
                <w:color w:val="auto"/>
              </w:rPr>
            </w:pPr>
          </w:p>
        </w:tc>
        <w:tc>
          <w:tcPr>
            <w:tcW w:w="2280" w:type="dxa"/>
            <w:vAlign w:val="bottom"/>
          </w:tcPr>
          <w:p>
            <w:pPr>
              <w:jc w:val="center"/>
              <w:ind w:left="1327"/>
              <w:spacing w:after="0" w:line="168" w:lineRule="exact"/>
              <w:rPr>
                <w:sz w:val="20"/>
                <w:szCs w:val="20"/>
                <w:color w:val="auto"/>
              </w:rPr>
            </w:pPr>
            <w:r>
              <w:rPr>
                <w:rFonts w:ascii="Courier New" w:cs="Courier New" w:eastAsia="Courier New" w:hAnsi="Courier New"/>
                <w:sz w:val="15"/>
                <w:szCs w:val="15"/>
                <w:color w:val="auto"/>
                <w:w w:val="99"/>
              </w:rPr>
              <w:t>with</w:t>
            </w:r>
          </w:p>
        </w:tc>
      </w:tr>
      <w:tr>
        <w:trPr>
          <w:trHeight w:val="168"/>
        </w:trPr>
        <w:tc>
          <w:tcPr>
            <w:tcW w:w="4540" w:type="dxa"/>
            <w:vAlign w:val="bottom"/>
          </w:tcPr>
          <w:p>
            <w:pPr>
              <w:spacing w:after="0"/>
              <w:rPr>
                <w:sz w:val="14"/>
                <w:szCs w:val="14"/>
                <w:color w:val="auto"/>
              </w:rPr>
            </w:pPr>
          </w:p>
        </w:tc>
        <w:tc>
          <w:tcPr>
            <w:tcW w:w="2280" w:type="dxa"/>
            <w:vAlign w:val="bottom"/>
          </w:tcPr>
          <w:p>
            <w:pPr>
              <w:jc w:val="center"/>
              <w:ind w:left="1327"/>
              <w:spacing w:after="0" w:line="168" w:lineRule="exact"/>
              <w:rPr>
                <w:sz w:val="20"/>
                <w:szCs w:val="20"/>
                <w:color w:val="auto"/>
              </w:rPr>
            </w:pPr>
            <w:r>
              <w:rPr>
                <w:rFonts w:ascii="Courier New" w:cs="Courier New" w:eastAsia="Courier New" w:hAnsi="Courier New"/>
                <w:sz w:val="15"/>
                <w:szCs w:val="15"/>
                <w:color w:val="auto"/>
                <w:w w:val="97"/>
              </w:rPr>
              <w:t>Unrealized</w:t>
            </w:r>
          </w:p>
        </w:tc>
      </w:tr>
      <w:tr>
        <w:trPr>
          <w:trHeight w:val="168"/>
        </w:trPr>
        <w:tc>
          <w:tcPr>
            <w:tcW w:w="454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Maturity</w:t>
            </w:r>
          </w:p>
        </w:tc>
        <w:tc>
          <w:tcPr>
            <w:tcW w:w="2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Gains</w:t>
            </w:r>
          </w:p>
        </w:tc>
      </w:tr>
      <w:tr>
        <w:trPr>
          <w:trHeight w:val="168"/>
        </w:trPr>
        <w:tc>
          <w:tcPr>
            <w:tcW w:w="4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center"/>
              <w:ind w:left="13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540" w:type="dxa"/>
            <w:vAlign w:val="bottom"/>
          </w:tcPr>
          <w:p>
            <w:pPr>
              <w:ind w:left="160"/>
              <w:spacing w:after="0"/>
              <w:rPr>
                <w:sz w:val="20"/>
                <w:szCs w:val="20"/>
                <w:color w:val="auto"/>
              </w:rPr>
            </w:pPr>
            <w:r>
              <w:rPr>
                <w:rFonts w:ascii="Courier New" w:cs="Courier New" w:eastAsia="Courier New" w:hAnsi="Courier New"/>
                <w:sz w:val="15"/>
                <w:szCs w:val="15"/>
                <w:color w:val="auto"/>
              </w:rPr>
              <w:t>One year or less</w:t>
            </w: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r>
      <w:tr>
        <w:trPr>
          <w:trHeight w:val="168"/>
        </w:trPr>
        <w:tc>
          <w:tcPr>
            <w:tcW w:w="4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After one year through five years</w:t>
            </w:r>
          </w:p>
        </w:tc>
        <w:tc>
          <w:tcPr>
            <w:tcW w:w="2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4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After five years through ten years</w:t>
            </w:r>
          </w:p>
        </w:tc>
        <w:tc>
          <w:tcPr>
            <w:tcW w:w="2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After ten years</w:t>
            </w:r>
          </w:p>
        </w:tc>
        <w:tc>
          <w:tcPr>
            <w:tcW w:w="2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540" w:type="dxa"/>
            <w:vAlign w:val="bottom"/>
          </w:tcPr>
          <w:p>
            <w:pPr>
              <w:spacing w:after="0"/>
              <w:rPr>
                <w:sz w:val="14"/>
                <w:szCs w:val="14"/>
                <w:color w:val="auto"/>
              </w:rPr>
            </w:pPr>
          </w:p>
        </w:tc>
        <w:tc>
          <w:tcPr>
            <w:tcW w:w="2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40" w:type="dxa"/>
            <w:vAlign w:val="bottom"/>
          </w:tcPr>
          <w:p>
            <w:pPr>
              <w:spacing w:after="0"/>
              <w:rPr>
                <w:sz w:val="14"/>
                <w:szCs w:val="14"/>
                <w:color w:val="auto"/>
              </w:rPr>
            </w:pPr>
          </w:p>
        </w:tc>
        <w:tc>
          <w:tcPr>
            <w:tcW w:w="2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4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2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4540" w:type="dxa"/>
            <w:vAlign w:val="bottom"/>
          </w:tcPr>
          <w:p>
            <w:pPr>
              <w:spacing w:after="0"/>
              <w:rPr>
                <w:sz w:val="14"/>
                <w:szCs w:val="14"/>
                <w:color w:val="auto"/>
              </w:rPr>
            </w:pPr>
          </w:p>
        </w:tc>
        <w:tc>
          <w:tcPr>
            <w:tcW w:w="2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40" w:type="dxa"/>
            <w:vAlign w:val="bottom"/>
          </w:tcPr>
          <w:p>
            <w:pPr>
              <w:spacing w:after="0"/>
              <w:rPr>
                <w:sz w:val="14"/>
                <w:szCs w:val="14"/>
                <w:color w:val="auto"/>
              </w:rPr>
            </w:pPr>
          </w:p>
        </w:tc>
        <w:tc>
          <w:tcPr>
            <w:tcW w:w="2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40" w:type="dxa"/>
            <w:vAlign w:val="bottom"/>
          </w:tcPr>
          <w:p>
            <w:pPr>
              <w:spacing w:after="0"/>
              <w:rPr>
                <w:sz w:val="14"/>
                <w:szCs w:val="14"/>
                <w:color w:val="auto"/>
              </w:rPr>
            </w:pPr>
          </w:p>
        </w:tc>
        <w:tc>
          <w:tcPr>
            <w:tcW w:w="2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20" w:type="dxa"/>
            <w:vAlign w:val="bottom"/>
            <w:gridSpan w:val="2"/>
          </w:tcPr>
          <w:p>
            <w:pPr>
              <w:jc w:val="center"/>
              <w:ind w:right="367"/>
              <w:spacing w:after="0"/>
              <w:rPr>
                <w:sz w:val="20"/>
                <w:szCs w:val="20"/>
                <w:color w:val="auto"/>
              </w:rPr>
            </w:pPr>
            <w:r>
              <w:rPr>
                <w:rFonts w:ascii="Courier New" w:cs="Courier New" w:eastAsia="Courier New" w:hAnsi="Courier New"/>
                <w:sz w:val="15"/>
                <w:szCs w:val="15"/>
                <w:color w:val="auto"/>
                <w:w w:val="97"/>
              </w:rPr>
              <w:t>Securities</w:t>
            </w:r>
          </w:p>
        </w:tc>
        <w:tc>
          <w:tcPr>
            <w:tcW w:w="1320" w:type="dxa"/>
            <w:vAlign w:val="bottom"/>
            <w:gridSpan w:val="2"/>
          </w:tcPr>
          <w:p>
            <w:pPr>
              <w:jc w:val="center"/>
              <w:ind w:left="367"/>
              <w:spacing w:after="0"/>
              <w:rPr>
                <w:sz w:val="20"/>
                <w:szCs w:val="20"/>
                <w:color w:val="auto"/>
              </w:rPr>
            </w:pPr>
            <w:r>
              <w:rPr>
                <w:rFonts w:ascii="Courier New" w:cs="Courier New" w:eastAsia="Courier New" w:hAnsi="Courier New"/>
                <w:sz w:val="15"/>
                <w:szCs w:val="15"/>
                <w:color w:val="auto"/>
                <w:w w:val="97"/>
              </w:rPr>
              <w:t>Securities</w:t>
            </w:r>
          </w:p>
        </w:tc>
      </w:tr>
      <w:tr>
        <w:trPr>
          <w:trHeight w:val="168"/>
        </w:trPr>
        <w:tc>
          <w:tcPr>
            <w:tcW w:w="260" w:type="dxa"/>
            <w:vAlign w:val="bottom"/>
          </w:tcPr>
          <w:p>
            <w:pPr>
              <w:spacing w:after="0"/>
              <w:rPr>
                <w:sz w:val="14"/>
                <w:szCs w:val="14"/>
                <w:color w:val="auto"/>
              </w:rPr>
            </w:pPr>
          </w:p>
        </w:tc>
        <w:tc>
          <w:tcPr>
            <w:tcW w:w="106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9"/>
              </w:rPr>
              <w:t>With</w:t>
            </w:r>
          </w:p>
        </w:tc>
        <w:tc>
          <w:tcPr>
            <w:tcW w:w="1320" w:type="dxa"/>
            <w:vAlign w:val="bottom"/>
            <w:gridSpan w:val="2"/>
          </w:tcPr>
          <w:p>
            <w:pPr>
              <w:jc w:val="center"/>
              <w:ind w:left="347"/>
              <w:spacing w:after="0" w:line="168" w:lineRule="exact"/>
              <w:rPr>
                <w:sz w:val="20"/>
                <w:szCs w:val="20"/>
                <w:color w:val="auto"/>
              </w:rPr>
            </w:pPr>
            <w:r>
              <w:rPr>
                <w:rFonts w:ascii="Courier New" w:cs="Courier New" w:eastAsia="Courier New" w:hAnsi="Courier New"/>
                <w:sz w:val="15"/>
                <w:szCs w:val="15"/>
                <w:color w:val="auto"/>
                <w:w w:val="94"/>
              </w:rPr>
              <w:t>With</w:t>
            </w:r>
          </w:p>
        </w:tc>
      </w:tr>
      <w:tr>
        <w:trPr>
          <w:trHeight w:val="168"/>
        </w:trPr>
        <w:tc>
          <w:tcPr>
            <w:tcW w:w="1320" w:type="dxa"/>
            <w:vAlign w:val="bottom"/>
            <w:gridSpan w:val="2"/>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Unrealized</w:t>
            </w:r>
          </w:p>
        </w:tc>
        <w:tc>
          <w:tcPr>
            <w:tcW w:w="1320" w:type="dxa"/>
            <w:vAlign w:val="bottom"/>
            <w:gridSpan w:val="2"/>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Unrealized</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Gains</w:t>
            </w:r>
          </w:p>
        </w:tc>
        <w:tc>
          <w:tcPr>
            <w:tcW w:w="1320" w:type="dxa"/>
            <w:vAlign w:val="bottom"/>
            <w:gridSpan w:val="2"/>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Losses</w:t>
            </w:r>
          </w:p>
        </w:tc>
      </w:tr>
      <w:tr>
        <w:trPr>
          <w:trHeight w:val="168"/>
        </w:trPr>
        <w:tc>
          <w:tcPr>
            <w:tcW w:w="1320" w:type="dxa"/>
            <w:vAlign w:val="bottom"/>
            <w:gridSpan w:val="2"/>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673"/>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10,458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1,379</w:t>
            </w:r>
          </w:p>
        </w:tc>
      </w:tr>
      <w:tr>
        <w:trPr>
          <w:trHeight w:val="168"/>
        </w:trPr>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9,868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1,512</w:t>
            </w:r>
          </w:p>
        </w:tc>
      </w:tr>
      <w:tr>
        <w:trPr>
          <w:trHeight w:val="168"/>
        </w:trPr>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w:t>
            </w:r>
          </w:p>
        </w:tc>
        <w:tc>
          <w:tcPr>
            <w:tcW w:w="78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1,725</w:t>
            </w:r>
          </w:p>
        </w:tc>
        <w:tc>
          <w:tcPr>
            <w:tcW w:w="78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328</w:t>
            </w:r>
          </w:p>
        </w:tc>
      </w:tr>
      <w:tr>
        <w:trPr>
          <w:trHeight w:val="336"/>
        </w:trPr>
        <w:tc>
          <w:tcPr>
            <w:tcW w:w="260" w:type="dxa"/>
            <w:vAlign w:val="bottom"/>
          </w:tcPr>
          <w:p>
            <w:pPr>
              <w:spacing w:after="0"/>
              <w:rPr>
                <w:sz w:val="24"/>
                <w:szCs w:val="2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spacing w:after="0"/>
              <w:rPr>
                <w:sz w:val="24"/>
                <w:szCs w:val="2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r>
      <w:tr>
        <w:trPr>
          <w:trHeight w:val="673"/>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134.6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55.2</w:t>
            </w:r>
          </w:p>
        </w:tc>
        <w:tc>
          <w:tcPr>
            <w:tcW w:w="78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49.5</w:t>
            </w:r>
          </w:p>
        </w:tc>
        <w:tc>
          <w:tcPr>
            <w:tcW w:w="78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36.4</w:t>
            </w:r>
          </w:p>
        </w:tc>
        <w:tc>
          <w:tcPr>
            <w:tcW w:w="78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31.6</w:t>
            </w:r>
          </w:p>
        </w:tc>
        <w:tc>
          <w:tcPr>
            <w:tcW w:w="78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(15.2)</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14.4</w:t>
            </w:r>
          </w:p>
        </w:tc>
        <w:tc>
          <w:tcPr>
            <w:tcW w:w="78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(10.6)</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w:t>
            </w:r>
          </w:p>
        </w:tc>
        <w:tc>
          <w:tcPr>
            <w:tcW w:w="78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(47.7)</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w:t>
            </w:r>
          </w:p>
        </w:tc>
        <w:tc>
          <w:tcPr>
            <w:tcW w:w="78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673"/>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r>
      <w:tr>
        <w:trPr>
          <w:trHeight w:val="168"/>
        </w:trPr>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w:t>
            </w:r>
          </w:p>
        </w:tc>
        <w:tc>
          <w:tcPr>
            <w:tcW w:w="78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336"/>
        </w:trPr>
        <w:tc>
          <w:tcPr>
            <w:tcW w:w="260" w:type="dxa"/>
            <w:vAlign w:val="bottom"/>
          </w:tcPr>
          <w:p>
            <w:pPr>
              <w:spacing w:after="0"/>
              <w:rPr>
                <w:sz w:val="24"/>
                <w:szCs w:val="2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spacing w:after="0"/>
              <w:rPr>
                <w:sz w:val="24"/>
                <w:szCs w:val="2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5"/>
          <w:szCs w:val="15"/>
          <w:color w:val="auto"/>
        </w:rPr>
        <w:t>Securities</w:t>
      </w:r>
    </w:p>
    <w:p>
      <w:pPr>
        <w:jc w:val="center"/>
        <w:ind w:right="700"/>
        <w:spacing w:after="0" w:line="237" w:lineRule="auto"/>
        <w:rPr>
          <w:sz w:val="20"/>
          <w:szCs w:val="20"/>
          <w:color w:val="auto"/>
        </w:rPr>
      </w:pPr>
      <w:r>
        <w:rPr>
          <w:rFonts w:ascii="Courier New" w:cs="Courier New" w:eastAsia="Courier New" w:hAnsi="Courier New"/>
          <w:sz w:val="15"/>
          <w:szCs w:val="15"/>
          <w:color w:val="auto"/>
        </w:rPr>
        <w:t>With</w:t>
      </w:r>
    </w:p>
    <w:p>
      <w:pPr>
        <w:ind w:left="540"/>
        <w:spacing w:after="0" w:line="238" w:lineRule="auto"/>
        <w:rPr>
          <w:sz w:val="20"/>
          <w:szCs w:val="20"/>
          <w:color w:val="auto"/>
        </w:rPr>
      </w:pPr>
      <w:r>
        <w:rPr>
          <w:rFonts w:ascii="Courier New" w:cs="Courier New" w:eastAsia="Courier New" w:hAnsi="Courier New"/>
          <w:sz w:val="15"/>
          <w:szCs w:val="15"/>
          <w:color w:val="auto"/>
        </w:rPr>
        <w:t>Unrealized</w:t>
      </w:r>
    </w:p>
    <w:p>
      <w:pPr>
        <w:ind w:left="800"/>
        <w:spacing w:after="0" w:line="237" w:lineRule="auto"/>
        <w:rPr>
          <w:sz w:val="20"/>
          <w:szCs w:val="20"/>
          <w:color w:val="auto"/>
        </w:rPr>
      </w:pPr>
      <w:r>
        <w:rPr>
          <w:rFonts w:ascii="Courier New" w:cs="Courier New" w:eastAsia="Courier New" w:hAnsi="Courier New"/>
          <w:sz w:val="15"/>
          <w:szCs w:val="15"/>
          <w:color w:val="auto"/>
        </w:rPr>
        <w:t>Losses</w:t>
      </w:r>
    </w:p>
    <w:p>
      <w:pPr>
        <w:ind w:left="5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5%</w:t>
      </w:r>
    </w:p>
    <w:p>
      <w:pPr>
        <w:ind w:left="880"/>
        <w:spacing w:after="0" w:line="237" w:lineRule="auto"/>
        <w:rPr>
          <w:sz w:val="20"/>
          <w:szCs w:val="20"/>
          <w:color w:val="auto"/>
        </w:rPr>
      </w:pPr>
      <w:r>
        <w:rPr>
          <w:rFonts w:ascii="Courier New" w:cs="Courier New" w:eastAsia="Courier New" w:hAnsi="Courier New"/>
          <w:sz w:val="15"/>
          <w:szCs w:val="15"/>
          <w:color w:val="auto"/>
        </w:rPr>
        <w:t>27</w:t>
      </w:r>
    </w:p>
    <w:p>
      <w:pPr>
        <w:ind w:left="880"/>
        <w:spacing w:after="0" w:line="238" w:lineRule="auto"/>
        <w:rPr>
          <w:sz w:val="20"/>
          <w:szCs w:val="20"/>
          <w:color w:val="auto"/>
        </w:rPr>
      </w:pPr>
      <w:r>
        <w:rPr>
          <w:rFonts w:ascii="Courier New" w:cs="Courier New" w:eastAsia="Courier New" w:hAnsi="Courier New"/>
          <w:sz w:val="15"/>
          <w:szCs w:val="15"/>
          <w:color w:val="auto"/>
        </w:rPr>
        <w:t>39</w:t>
      </w:r>
    </w:p>
    <w:p>
      <w:pPr>
        <w:ind w:left="880"/>
        <w:spacing w:after="0" w:line="237" w:lineRule="auto"/>
        <w:rPr>
          <w:sz w:val="20"/>
          <w:szCs w:val="20"/>
          <w:color w:val="auto"/>
        </w:rPr>
      </w:pPr>
      <w:r>
        <w:rPr>
          <w:rFonts w:ascii="Courier New" w:cs="Courier New" w:eastAsia="Courier New" w:hAnsi="Courier New"/>
          <w:sz w:val="15"/>
          <w:szCs w:val="15"/>
          <w:color w:val="auto"/>
        </w:rPr>
        <w:t>17</w:t>
      </w:r>
    </w:p>
    <w:p>
      <w:pPr>
        <w:ind w:left="800"/>
        <w:spacing w:after="0" w:line="238" w:lineRule="auto"/>
        <w:rPr>
          <w:sz w:val="20"/>
          <w:szCs w:val="20"/>
          <w:color w:val="auto"/>
        </w:rPr>
      </w:pPr>
      <w:r>
        <w:rPr>
          <w:rFonts w:ascii="Courier New" w:cs="Courier New" w:eastAsia="Courier New" w:hAnsi="Courier New"/>
          <w:sz w:val="15"/>
          <w:szCs w:val="15"/>
          <w:color w:val="auto"/>
        </w:rPr>
        <w:t>---</w:t>
      </w:r>
    </w:p>
    <w:p>
      <w:pPr>
        <w:ind w:left="880"/>
        <w:spacing w:after="0" w:line="237" w:lineRule="auto"/>
        <w:rPr>
          <w:sz w:val="20"/>
          <w:szCs w:val="20"/>
          <w:color w:val="auto"/>
        </w:rPr>
      </w:pPr>
      <w:r>
        <w:rPr>
          <w:rFonts w:ascii="Courier New" w:cs="Courier New" w:eastAsia="Courier New" w:hAnsi="Courier New"/>
          <w:sz w:val="15"/>
          <w:szCs w:val="15"/>
          <w:color w:val="auto"/>
        </w:rPr>
        <w:t>88</w:t>
      </w:r>
    </w:p>
    <w:p>
      <w:pPr>
        <w:ind w:left="880"/>
        <w:spacing w:after="0" w:line="238" w:lineRule="auto"/>
        <w:rPr>
          <w:sz w:val="20"/>
          <w:szCs w:val="20"/>
          <w:color w:val="auto"/>
        </w:rPr>
      </w:pPr>
      <w:r>
        <w:rPr>
          <w:rFonts w:ascii="Courier New" w:cs="Courier New" w:eastAsia="Courier New" w:hAnsi="Courier New"/>
          <w:sz w:val="15"/>
          <w:szCs w:val="15"/>
          <w:color w:val="auto"/>
        </w:rPr>
        <w:t>12</w:t>
      </w:r>
    </w:p>
    <w:p>
      <w:pPr>
        <w:ind w:left="80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100%</w:t>
      </w:r>
    </w:p>
    <w:p>
      <w:pPr>
        <w:ind w:left="800"/>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800" w:space="600"/>
            <w:col w:w="2640"/>
          </w:cols>
          <w:pgMar w:left="220" w:top="792" w:right="639" w:bottom="1440" w:gutter="0" w:footer="0" w:header="0"/>
        </w:sectPr>
      </w:pPr>
    </w:p>
    <w:bookmarkStart w:id="89" w:name="page90"/>
    <w:bookmarkEnd w:id="89"/>
    <w:p>
      <w:pPr>
        <w:ind w:right="3860" w:firstLine="525"/>
        <w:spacing w:after="0" w:line="236" w:lineRule="auto"/>
        <w:rPr>
          <w:sz w:val="20"/>
          <w:szCs w:val="20"/>
          <w:color w:val="auto"/>
        </w:rPr>
      </w:pPr>
      <w:r>
        <w:rPr>
          <w:rFonts w:ascii="Courier New" w:cs="Courier New" w:eastAsia="Courier New" w:hAnsi="Courier New"/>
          <w:sz w:val="15"/>
          <w:szCs w:val="15"/>
          <w:color w:val="auto"/>
        </w:rPr>
        <w:t>AFC realized aggregate losses of $11.1 million during 2002 on $72.9 million in sales of fixed maturity securities (14 issues; 12 issuers) that had individual unrealized losses greater than $500,000 at December 31, 2001. Market values of eleven of the securities increased an aggregate of $8 million from year-end 2001 to date of sale. The market value of one of the securities did not change from year-end 2001 to the date of sale. One of the securities was a Conseco bond that decreased in value by $5 million from year-end 2001 to the date of sale due to the continued decline in Conseco's financial condition. The market value of the remaining security decreased $920,000 from year-end 2001 to the sale date.</w:t>
      </w:r>
    </w:p>
    <w:p>
      <w:pPr>
        <w:spacing w:after="0" w:line="179" w:lineRule="exact"/>
        <w:rPr>
          <w:sz w:val="20"/>
          <w:szCs w:val="20"/>
          <w:color w:val="auto"/>
        </w:rPr>
      </w:pPr>
    </w:p>
    <w:p>
      <w:pPr>
        <w:ind w:right="4120" w:firstLine="525"/>
        <w:spacing w:after="0" w:line="235" w:lineRule="auto"/>
        <w:rPr>
          <w:sz w:val="20"/>
          <w:szCs w:val="20"/>
          <w:color w:val="auto"/>
        </w:rPr>
      </w:pPr>
      <w:r>
        <w:rPr>
          <w:rFonts w:ascii="Courier New" w:cs="Courier New" w:eastAsia="Courier New" w:hAnsi="Courier New"/>
          <w:sz w:val="15"/>
          <w:szCs w:val="15"/>
          <w:color w:val="auto"/>
        </w:rPr>
        <w:t>Although AFC had the ability to continue holding these investments, its intent to hold them changed due primarily to deterioration in the issuers' creditworthiness, decisions to lessen exposure to a particular credit or industry, or to modify asset allocation within the portfolio.</w:t>
      </w:r>
    </w:p>
    <w:p>
      <w:pPr>
        <w:spacing w:after="0" w:line="175" w:lineRule="exact"/>
        <w:rPr>
          <w:sz w:val="20"/>
          <w:szCs w:val="20"/>
          <w:color w:val="auto"/>
        </w:rPr>
      </w:pPr>
    </w:p>
    <w:p>
      <w:pPr>
        <w:ind w:right="4300" w:firstLine="525"/>
        <w:spacing w:after="0" w:line="235" w:lineRule="auto"/>
        <w:rPr>
          <w:sz w:val="20"/>
          <w:szCs w:val="20"/>
          <w:color w:val="auto"/>
        </w:rPr>
      </w:pPr>
      <w:r>
        <w:rPr>
          <w:rFonts w:ascii="Courier New" w:cs="Courier New" w:eastAsia="Courier New" w:hAnsi="Courier New"/>
          <w:sz w:val="15"/>
          <w:szCs w:val="15"/>
          <w:color w:val="auto"/>
        </w:rPr>
        <w:t>The table below (dollars in millions) summarizes the length of time securities have been in an unrealized gain or loss position at December 31, 2002.</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Market</w:t>
            </w:r>
          </w:p>
        </w:tc>
      </w:tr>
      <w:tr>
        <w:trPr>
          <w:trHeight w:val="168"/>
        </w:trPr>
        <w:tc>
          <w:tcPr>
            <w:tcW w:w="5600" w:type="dxa"/>
            <w:vAlign w:val="bottom"/>
          </w:tcPr>
          <w:p>
            <w:pPr>
              <w:spacing w:after="0"/>
              <w:rPr>
                <w:sz w:val="14"/>
                <w:szCs w:val="14"/>
                <w:color w:val="auto"/>
              </w:rPr>
            </w:pP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Aggregate</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Aggregate</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Value as</w:t>
            </w:r>
          </w:p>
        </w:tc>
      </w:tr>
      <w:tr>
        <w:trPr>
          <w:trHeight w:val="168"/>
        </w:trPr>
        <w:tc>
          <w:tcPr>
            <w:tcW w:w="5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Market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Unrealized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of Cost</w:t>
            </w:r>
          </w:p>
        </w:tc>
      </w:tr>
      <w:tr>
        <w:trPr>
          <w:trHeight w:val="168"/>
        </w:trPr>
        <w:tc>
          <w:tcPr>
            <w:tcW w:w="5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Value</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Gain (Loss)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Basis</w:t>
            </w:r>
          </w:p>
        </w:tc>
      </w:tr>
      <w:tr>
        <w:trPr>
          <w:trHeight w:val="168"/>
        </w:trPr>
        <w:tc>
          <w:tcPr>
            <w:tcW w:w="5600" w:type="dxa"/>
            <w:vAlign w:val="bottom"/>
          </w:tcPr>
          <w:p>
            <w:pPr>
              <w:spacing w:after="0"/>
              <w:rPr>
                <w:sz w:val="14"/>
                <w:szCs w:val="14"/>
                <w:color w:val="auto"/>
              </w:rPr>
            </w:pP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Fixed Maturities</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SECURITIES WITH UNREALIZED GAINS:</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Exceeding $500,000 at 12/31/02 and for:</w:t>
            </w: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than one year (354 issues)</w:t>
            </w: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$ 4,561</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$327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More than one year (64 issues)</w:t>
            </w:r>
          </w:p>
        </w:tc>
        <w:tc>
          <w:tcPr>
            <w:tcW w:w="1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762</w:t>
            </w:r>
          </w:p>
        </w:tc>
        <w:tc>
          <w:tcPr>
            <w:tcW w:w="10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than $500,000 at 12/31/02 (1,307 issues)</w:t>
            </w:r>
          </w:p>
        </w:tc>
        <w:tc>
          <w:tcPr>
            <w:tcW w:w="1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5,135</w:t>
            </w:r>
          </w:p>
        </w:tc>
        <w:tc>
          <w:tcPr>
            <w:tcW w:w="10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180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5600" w:type="dxa"/>
            <w:vAlign w:val="bottom"/>
          </w:tcPr>
          <w:p>
            <w:pPr>
              <w:spacing w:after="0"/>
              <w:rPr>
                <w:sz w:val="14"/>
                <w:szCs w:val="14"/>
                <w:color w:val="auto"/>
              </w:rPr>
            </w:pP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$10,458</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$590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5600" w:type="dxa"/>
            <w:vAlign w:val="bottom"/>
          </w:tcPr>
          <w:p>
            <w:pPr>
              <w:spacing w:after="0"/>
              <w:rPr>
                <w:sz w:val="14"/>
                <w:szCs w:val="14"/>
                <w:color w:val="auto"/>
              </w:rPr>
            </w:pP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SECURITIES WITH UNREALIZED LOSSES:</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Exceeding $500,000 at 12/31/02 and for:</w:t>
            </w: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than one year (50 issues)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379</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More than one year (17 issues)</w:t>
            </w:r>
          </w:p>
        </w:tc>
        <w:tc>
          <w:tcPr>
            <w:tcW w:w="1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w:t>
            </w:r>
          </w:p>
        </w:tc>
        <w:tc>
          <w:tcPr>
            <w:tcW w:w="100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(35)</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than $500,000 at 12/31/02 (261 issues)</w:t>
            </w:r>
          </w:p>
        </w:tc>
        <w:tc>
          <w:tcPr>
            <w:tcW w:w="1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882</w:t>
            </w:r>
          </w:p>
        </w:tc>
        <w:tc>
          <w:tcPr>
            <w:tcW w:w="100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5600" w:type="dxa"/>
            <w:vAlign w:val="bottom"/>
          </w:tcPr>
          <w:p>
            <w:pPr>
              <w:spacing w:after="0"/>
              <w:rPr>
                <w:sz w:val="14"/>
                <w:szCs w:val="14"/>
                <w:color w:val="auto"/>
              </w:rPr>
            </w:pP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$ 1,379</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5600" w:type="dxa"/>
            <w:vAlign w:val="bottom"/>
          </w:tcPr>
          <w:p>
            <w:pPr>
              <w:spacing w:after="0"/>
              <w:rPr>
                <w:sz w:val="14"/>
                <w:szCs w:val="14"/>
                <w:color w:val="auto"/>
              </w:rPr>
            </w:pP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Other Stocks</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SECURITIES WITH UNREALIZED GAINS:</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Exceeding $500,000 at 12/31/02 and for:</w:t>
            </w: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than one year (4 issues)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More than one year (4 issues)</w:t>
            </w:r>
          </w:p>
        </w:tc>
        <w:tc>
          <w:tcPr>
            <w:tcW w:w="1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207</w:t>
            </w:r>
          </w:p>
        </w:tc>
        <w:tc>
          <w:tcPr>
            <w:tcW w:w="10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121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than $500,000 at 12/31/02 (66 issues)</w:t>
            </w:r>
          </w:p>
        </w:tc>
        <w:tc>
          <w:tcPr>
            <w:tcW w:w="1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10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w:t>
            </w:r>
          </w:p>
        </w:tc>
      </w:tr>
      <w:tr>
        <w:trPr>
          <w:trHeight w:val="168"/>
        </w:trPr>
        <w:tc>
          <w:tcPr>
            <w:tcW w:w="5600" w:type="dxa"/>
            <w:vAlign w:val="bottom"/>
          </w:tcPr>
          <w:p>
            <w:pPr>
              <w:spacing w:after="0"/>
              <w:rPr>
                <w:sz w:val="14"/>
                <w:szCs w:val="14"/>
                <w:color w:val="auto"/>
              </w:rPr>
            </w:pP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260</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$130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5600" w:type="dxa"/>
            <w:vAlign w:val="bottom"/>
          </w:tcPr>
          <w:p>
            <w:pPr>
              <w:spacing w:after="0"/>
              <w:rPr>
                <w:sz w:val="14"/>
                <w:szCs w:val="14"/>
                <w:color w:val="auto"/>
              </w:rPr>
            </w:pP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WITH UNREALIZED LOSSES:</w:t>
            </w: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Exceeding $500,000 at 12/31/02 and for:</w:t>
            </w: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than one year (1 issue)</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More than one year (none)</w:t>
            </w:r>
          </w:p>
        </w:tc>
        <w:tc>
          <w:tcPr>
            <w:tcW w:w="12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than $500,000 at 12/31/02 (75 issues)</w:t>
            </w:r>
          </w:p>
        </w:tc>
        <w:tc>
          <w:tcPr>
            <w:tcW w:w="122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100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5600" w:type="dxa"/>
            <w:vAlign w:val="bottom"/>
          </w:tcPr>
          <w:p>
            <w:pPr>
              <w:spacing w:after="0"/>
              <w:rPr>
                <w:sz w:val="14"/>
                <w:szCs w:val="14"/>
                <w:color w:val="auto"/>
              </w:rPr>
            </w:pP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5600" w:type="dxa"/>
            <w:vAlign w:val="bottom"/>
          </w:tcPr>
          <w:p>
            <w:pPr>
              <w:spacing w:after="0"/>
              <w:rPr>
                <w:sz w:val="14"/>
                <w:szCs w:val="14"/>
                <w:color w:val="auto"/>
              </w:rPr>
            </w:pP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860"/>
          </w:cols>
          <w:pgMar w:left="220" w:top="792" w:right="819" w:bottom="517" w:gutter="0" w:footer="0" w:header="0"/>
        </w:sectPr>
      </w:pPr>
    </w:p>
    <w:bookmarkStart w:id="90" w:name="page91"/>
    <w:bookmarkEnd w:id="90"/>
    <w:p>
      <w:pPr>
        <w:ind w:right="3399" w:firstLine="525"/>
        <w:spacing w:after="0" w:line="255" w:lineRule="auto"/>
        <w:rPr>
          <w:sz w:val="20"/>
          <w:szCs w:val="20"/>
          <w:color w:val="auto"/>
        </w:rPr>
      </w:pPr>
      <w:r>
        <w:rPr>
          <w:rFonts w:ascii="Courier New" w:cs="Courier New" w:eastAsia="Courier New" w:hAnsi="Courier New"/>
          <w:sz w:val="14"/>
          <w:szCs w:val="14"/>
          <w:color w:val="auto"/>
        </w:rPr>
        <w:t>When a decline in the value of a specific investment is considered to be "other than temporary," a provision for impairment is charged to earnings (accounted for as a realized loss) and the cost basis of that investment is reduced. The determination of whether unrealized losses are "other than temporary" requires judgment based on subjective as well as objective factors. Factors considered and resources used by management include:</w:t>
      </w:r>
    </w:p>
    <w:p>
      <w:pPr>
        <w:spacing w:after="0" w:line="166" w:lineRule="exact"/>
        <w:rPr>
          <w:sz w:val="20"/>
          <w:szCs w:val="20"/>
          <w:color w:val="auto"/>
        </w:rPr>
      </w:pPr>
    </w:p>
    <w:p>
      <w:pPr>
        <w:ind w:left="540" w:right="3579" w:hanging="530"/>
        <w:spacing w:after="0" w:line="234" w:lineRule="auto"/>
        <w:tabs>
          <w:tab w:leader="none" w:pos="5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unrealized loss is credit-driven or a result of changes in market interest rates,</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to which market value is less than cost basis,</w:t>
      </w:r>
    </w:p>
    <w:p>
      <w:pPr>
        <w:spacing w:after="0" w:line="172" w:lineRule="exact"/>
        <w:rPr>
          <w:rFonts w:ascii="Courier New" w:cs="Courier New" w:eastAsia="Courier New" w:hAnsi="Courier New"/>
          <w:sz w:val="15"/>
          <w:szCs w:val="15"/>
          <w:color w:val="auto"/>
        </w:rPr>
      </w:pPr>
    </w:p>
    <w:p>
      <w:pPr>
        <w:ind w:left="540" w:right="3239" w:hanging="530"/>
        <w:spacing w:after="0" w:line="234" w:lineRule="auto"/>
        <w:tabs>
          <w:tab w:leader="none" w:pos="5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operating, balance sheet and cash flow data contained in issuer SEC filings,</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 news releases,</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near-term prospects for improvement in the issuer and/or its industry,</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research and communications with industry specialists,</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research and credit rating reports,</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internally generated financial models and forecasts,</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discussions with issuer management, and</w:t>
      </w:r>
    </w:p>
    <w:p>
      <w:pPr>
        <w:spacing w:after="0" w:line="172" w:lineRule="exact"/>
        <w:rPr>
          <w:rFonts w:ascii="Courier New" w:cs="Courier New" w:eastAsia="Courier New" w:hAnsi="Courier New"/>
          <w:sz w:val="15"/>
          <w:szCs w:val="15"/>
          <w:color w:val="auto"/>
        </w:rPr>
      </w:pPr>
    </w:p>
    <w:p>
      <w:pPr>
        <w:ind w:left="540" w:right="3319" w:hanging="530"/>
        <w:spacing w:after="0" w:line="234" w:lineRule="auto"/>
        <w:tabs>
          <w:tab w:leader="none" w:pos="5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and intent to hold the investment for a period of time sufficient to allow for any anticipated recovery in market value.</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Based on its analysis of the factors enumerated above, management believes</w:t>
      </w:r>
    </w:p>
    <w:p>
      <w:pPr>
        <w:ind w:left="360" w:hanging="350"/>
        <w:spacing w:after="0" w:line="237" w:lineRule="auto"/>
        <w:tabs>
          <w:tab w:leader="none" w:pos="3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AFC will recover its cost basis in the securities with unrealized losses and</w:t>
      </w:r>
    </w:p>
    <w:p>
      <w:pPr>
        <w:spacing w:after="0" w:line="5" w:lineRule="exact"/>
        <w:rPr>
          <w:rFonts w:ascii="Courier New" w:cs="Courier New" w:eastAsia="Courier New" w:hAnsi="Courier New"/>
          <w:sz w:val="15"/>
          <w:szCs w:val="15"/>
          <w:color w:val="auto"/>
        </w:rPr>
      </w:pPr>
    </w:p>
    <w:p>
      <w:pPr>
        <w:ind w:right="3239" w:firstLine="10"/>
        <w:spacing w:after="0" w:line="236" w:lineRule="auto"/>
        <w:tabs>
          <w:tab w:leader="none" w:pos="43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AFC has the ability and intent to hold the securities until they mature or recover in value. Should either of these beliefs change with regard to a particular security, a charge for impairment would likely be required. While it is not possible to accurately predict if or when a specific security will become impaired, charges for other than temporary impairment could be material to results of operations in a future period. Management believes it is not likely that future impairment charges will have a significant effect on AFC's liquidity.</w:t>
      </w:r>
    </w:p>
    <w:p>
      <w:pPr>
        <w:spacing w:after="0" w:line="177" w:lineRule="exact"/>
        <w:rPr>
          <w:sz w:val="20"/>
          <w:szCs w:val="20"/>
          <w:color w:val="auto"/>
        </w:rPr>
      </w:pPr>
    </w:p>
    <w:p>
      <w:pPr>
        <w:ind w:right="3239" w:firstLine="525"/>
        <w:spacing w:after="0" w:line="234" w:lineRule="auto"/>
        <w:rPr>
          <w:sz w:val="20"/>
          <w:szCs w:val="20"/>
          <w:color w:val="auto"/>
        </w:rPr>
      </w:pPr>
      <w:r>
        <w:rPr>
          <w:rFonts w:ascii="Courier New" w:cs="Courier New" w:eastAsia="Courier New" w:hAnsi="Courier New"/>
          <w:sz w:val="15"/>
          <w:szCs w:val="15"/>
          <w:color w:val="auto"/>
        </w:rPr>
        <w:t>Net realized gains (losses) on securities sold and charges for "other than temporary" impairment on securities held were as follows (in millions):</w:t>
      </w:r>
    </w:p>
    <w:p>
      <w:pPr>
        <w:spacing w:after="0" w:line="33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2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Net Realized</w:t>
            </w: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220" w:type="dxa"/>
            <w:vAlign w:val="bottom"/>
          </w:tcPr>
          <w:p>
            <w:pPr>
              <w:spacing w:after="0"/>
              <w:rPr>
                <w:sz w:val="14"/>
                <w:szCs w:val="14"/>
                <w:color w:val="auto"/>
              </w:rPr>
            </w:pPr>
          </w:p>
        </w:tc>
        <w:tc>
          <w:tcPr>
            <w:tcW w:w="2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Gains (Losses)</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Charges for</w:t>
            </w: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220" w:type="dxa"/>
            <w:vAlign w:val="bottom"/>
          </w:tcPr>
          <w:p>
            <w:pPr>
              <w:spacing w:after="0"/>
              <w:rPr>
                <w:sz w:val="14"/>
                <w:szCs w:val="14"/>
                <w:color w:val="auto"/>
              </w:rPr>
            </w:pPr>
          </w:p>
        </w:tc>
        <w:tc>
          <w:tcPr>
            <w:tcW w:w="2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on Sales</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Impairment</w:t>
            </w:r>
          </w:p>
        </w:tc>
        <w:tc>
          <w:tcPr>
            <w:tcW w:w="700" w:type="dxa"/>
            <w:vAlign w:val="bottom"/>
          </w:tcPr>
          <w:p>
            <w:pPr>
              <w:spacing w:after="0"/>
              <w:rPr>
                <w:sz w:val="14"/>
                <w:szCs w:val="14"/>
                <w:color w:val="auto"/>
              </w:rPr>
            </w:pP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Other(a)</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220" w:type="dxa"/>
            <w:vAlign w:val="bottom"/>
          </w:tcPr>
          <w:p>
            <w:pPr>
              <w:spacing w:after="0"/>
              <w:rPr>
                <w:sz w:val="14"/>
                <w:szCs w:val="14"/>
                <w:color w:val="auto"/>
              </w:rPr>
            </w:pPr>
          </w:p>
        </w:tc>
        <w:tc>
          <w:tcPr>
            <w:tcW w:w="2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2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88"/>
              </w:rPr>
              <w:t>2002</w:t>
            </w:r>
          </w:p>
        </w:tc>
        <w:tc>
          <w:tcPr>
            <w:tcW w:w="2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$112.9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c>
          <w:tcPr>
            <w:tcW w:w="700" w:type="dxa"/>
            <w:vAlign w:val="bottom"/>
          </w:tcPr>
          <w:p>
            <w:pPr>
              <w:spacing w:after="0"/>
              <w:rPr>
                <w:sz w:val="24"/>
                <w:szCs w:val="24"/>
                <w:color w:val="auto"/>
              </w:rPr>
            </w:pP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($78.9)</w:t>
            </w:r>
          </w:p>
        </w:tc>
      </w:tr>
      <w:tr>
        <w:trPr>
          <w:trHeight w:val="168"/>
        </w:trPr>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88"/>
              </w:rPr>
              <w:t>2001</w:t>
            </w:r>
          </w:p>
        </w:tc>
        <w:tc>
          <w:tcPr>
            <w:tcW w:w="2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89.8</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(125.5)</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88"/>
              </w:rPr>
              <w:t>2000</w:t>
            </w:r>
          </w:p>
        </w:tc>
        <w:tc>
          <w:tcPr>
            <w:tcW w:w="2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w:t>
            </w:r>
          </w:p>
        </w:tc>
        <w:tc>
          <w:tcPr>
            <w:tcW w:w="700" w:type="dxa"/>
            <w:vAlign w:val="bottom"/>
          </w:tcPr>
          <w:p>
            <w:pPr>
              <w:spacing w:after="0"/>
              <w:rPr>
                <w:sz w:val="14"/>
                <w:szCs w:val="14"/>
                <w:color w:val="auto"/>
              </w:rPr>
            </w:pP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88"/>
              </w:rPr>
              <w:t>1999</w:t>
            </w:r>
          </w:p>
        </w:tc>
        <w:tc>
          <w:tcPr>
            <w:tcW w:w="2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31.0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c>
          <w:tcPr>
            <w:tcW w:w="700" w:type="dxa"/>
            <w:vAlign w:val="bottom"/>
          </w:tcPr>
          <w:p>
            <w:pPr>
              <w:spacing w:after="0"/>
              <w:rPr>
                <w:sz w:val="14"/>
                <w:szCs w:val="14"/>
                <w:color w:val="auto"/>
              </w:rPr>
            </w:pP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88"/>
              </w:rPr>
              <w:t>1998</w:t>
            </w:r>
          </w:p>
        </w:tc>
        <w:tc>
          <w:tcPr>
            <w:tcW w:w="2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40.2</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w:t>
            </w:r>
          </w:p>
        </w:tc>
        <w:tc>
          <w:tcPr>
            <w:tcW w:w="700" w:type="dxa"/>
            <w:vAlign w:val="bottom"/>
          </w:tcPr>
          <w:p>
            <w:pPr>
              <w:spacing w:after="0"/>
              <w:rPr>
                <w:sz w:val="14"/>
                <w:szCs w:val="14"/>
                <w:color w:val="auto"/>
              </w:rPr>
            </w:pP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bl>
    <w:p>
      <w:pPr>
        <w:spacing w:after="0" w:line="341" w:lineRule="exact"/>
        <w:rPr>
          <w:sz w:val="20"/>
          <w:szCs w:val="20"/>
          <w:color w:val="auto"/>
        </w:rPr>
      </w:pPr>
    </w:p>
    <w:p>
      <w:pPr>
        <w:ind w:left="1240" w:right="3239" w:hanging="1230"/>
        <w:spacing w:after="0" w:line="235" w:lineRule="auto"/>
        <w:tabs>
          <w:tab w:leader="none" w:pos="124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adjustments to carry derivatives at market and to reflect the impact of realized gains and losses on the amortization of deferred policy acquisition costs.</w:t>
      </w:r>
    </w:p>
    <w:p>
      <w:pPr>
        <w:spacing w:after="0" w:line="173" w:lineRule="exact"/>
        <w:rPr>
          <w:rFonts w:ascii="Courier New" w:cs="Courier New" w:eastAsia="Courier New" w:hAnsi="Courier New"/>
          <w:sz w:val="15"/>
          <w:szCs w:val="15"/>
          <w:color w:val="auto"/>
        </w:rPr>
      </w:pPr>
    </w:p>
    <w:p>
      <w:pPr>
        <w:jc w:val="both"/>
        <w:ind w:left="1240" w:right="3239" w:hanging="1230"/>
        <w:spacing w:after="0" w:line="258" w:lineRule="auto"/>
        <w:tabs>
          <w:tab w:leader="none" w:pos="124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$16.9 million writedown of certain collateralized debt obligations which was recorded as the cumulative effect of an adoption of an accounting change at April 1, 2001.</w:t>
      </w:r>
    </w:p>
    <w:p>
      <w:pPr>
        <w:spacing w:after="0" w:line="161"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Increased impairment charges in recent years reflect a rise in corporate defaults in the marketplace resulting from the weakened economy.</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UNCERTAINTIES As more fully explained in the following paragraphs, management believes that the areas posing the greatest risk of material loss are the adequacy of its insurance reserves and American Premier's contingencies arising out of its former operations.</w:t>
      </w:r>
    </w:p>
    <w:p>
      <w:pPr>
        <w:spacing w:after="0" w:line="175"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PROPERTY AND CASUALTY INSURANCE RESERVES The liability for unpaid losses and loss adjustment expenses was as follows (in millions):</w:t>
      </w:r>
    </w:p>
    <w:p>
      <w:pPr>
        <w:spacing w:after="0" w:line="335"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4200" w:type="dxa"/>
            <w:vAlign w:val="bottom"/>
          </w:tcPr>
          <w:p>
            <w:pPr>
              <w:spacing w:after="0"/>
              <w:rPr>
                <w:sz w:val="14"/>
                <w:szCs w:val="14"/>
                <w:color w:val="auto"/>
              </w:rPr>
            </w:pPr>
          </w:p>
        </w:tc>
        <w:tc>
          <w:tcPr>
            <w:tcW w:w="3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200" w:type="dxa"/>
            <w:vAlign w:val="bottom"/>
          </w:tcPr>
          <w:p>
            <w:pPr>
              <w:spacing w:after="0"/>
              <w:rPr>
                <w:sz w:val="14"/>
                <w:szCs w:val="14"/>
                <w:color w:val="auto"/>
              </w:rPr>
            </w:pP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Specialty</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$3,712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$3,295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Personal</w:t>
            </w: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lines (including asbestos</w:t>
            </w:r>
          </w:p>
        </w:tc>
        <w:tc>
          <w:tcPr>
            <w:tcW w:w="20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2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and environmental)</w:t>
            </w: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640</w:t>
            </w:r>
          </w:p>
        </w:tc>
      </w:tr>
      <w:tr>
        <w:trPr>
          <w:trHeight w:val="168"/>
        </w:trPr>
        <w:tc>
          <w:tcPr>
            <w:tcW w:w="4200" w:type="dxa"/>
            <w:vAlign w:val="bottom"/>
          </w:tcPr>
          <w:p>
            <w:pPr>
              <w:spacing w:after="0"/>
              <w:rPr>
                <w:sz w:val="14"/>
                <w:szCs w:val="14"/>
                <w:color w:val="auto"/>
              </w:rPr>
            </w:pP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$4,778</w:t>
            </w:r>
          </w:p>
        </w:tc>
      </w:tr>
      <w:tr>
        <w:trPr>
          <w:trHeight w:val="168"/>
        </w:trPr>
        <w:tc>
          <w:tcPr>
            <w:tcW w:w="4200" w:type="dxa"/>
            <w:vAlign w:val="bottom"/>
          </w:tcPr>
          <w:p>
            <w:pPr>
              <w:spacing w:after="0"/>
              <w:rPr>
                <w:sz w:val="14"/>
                <w:szCs w:val="14"/>
                <w:color w:val="auto"/>
              </w:rPr>
            </w:pP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ind w:left="2100"/>
              <w:spacing w:after="0"/>
              <w:rPr>
                <w:sz w:val="20"/>
                <w:szCs w:val="20"/>
                <w:color w:val="auto"/>
              </w:rPr>
            </w:pPr>
            <w:r>
              <w:rPr>
                <w:rFonts w:ascii="Courier New" w:cs="Courier New" w:eastAsia="Courier New" w:hAnsi="Courier New"/>
                <w:sz w:val="15"/>
                <w:szCs w:val="15"/>
                <w:color w:val="auto"/>
              </w:rPr>
              <w:t>F-30</w:t>
            </w:r>
          </w:p>
        </w:tc>
        <w:tc>
          <w:tcPr>
            <w:tcW w:w="20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39"/>
          </w:cols>
          <w:pgMar w:left="220" w:top="792" w:right="1440" w:bottom="12" w:gutter="0" w:footer="0" w:header="0"/>
        </w:sectPr>
      </w:pPr>
    </w:p>
    <w:bookmarkStart w:id="91" w:name="page92"/>
    <w:bookmarkEnd w:id="91"/>
    <w:p>
      <w:pPr>
        <w:ind w:right="3319" w:firstLine="525"/>
        <w:spacing w:after="0" w:line="237" w:lineRule="auto"/>
        <w:rPr>
          <w:sz w:val="20"/>
          <w:szCs w:val="20"/>
          <w:color w:val="auto"/>
        </w:rPr>
      </w:pPr>
      <w:r>
        <w:rPr>
          <w:rFonts w:ascii="Courier New" w:cs="Courier New" w:eastAsia="Courier New" w:hAnsi="Courier New"/>
          <w:sz w:val="15"/>
          <w:szCs w:val="15"/>
          <w:color w:val="auto"/>
        </w:rPr>
        <w:t>The liabilities for unpaid claims and for expenses of investigation and adjustment of unpaid claims are based upon: (a) the accumulation of case estimates for losses reported prior to the close of the accounting periods on direct business written; (b) estimates received from ceding reinsurers and insurance pools and associations; (c) estimates of unreported losses based on past experience; (d) estimates based on experience of expense for investigating and adjusting claims; and (e) the current state of law and coverage litigation. Using these items as well as historical trends adjusted for changes in underwriting standards, policy provisions, product mix and other factors, company actuaries determine a single or "point" estimate which management utilizes in recording its best estimate of the liabilities. Ranges of loss reserves are not developed by company actuaries.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Estimating the liability for unpaid losses and LAE is inherently judgmental and is influenced by factors which are subject to significant variation. Through the use of analytical reserve development techniques, management utilizes items such as the effect of inflation on medical, hospitalization, material, repair and replacement costs, general economic trends and the legal environment.</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Quarterly reviews of unpaid loss and LAE reserves are prepared using standard actuarial techniques. These may include: Case Incurred Development Method; Paid Development Method; Bornhuetter-Ferguson Method; and Incremental Paid LAE to Paid Loss Methods. Generally, data is segmented by major product or coverage within product using countrywide data; however, in some situations data may be reviewed by state for large volume states.</w:t>
      </w:r>
    </w:p>
    <w:p>
      <w:pPr>
        <w:spacing w:after="0" w:line="17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ASBESTOS AND ENVIRONMENTAL-RELATED ("A&amp;E") RESERVES Establishing reserves for A&amp;E claims relating to policies and participations in reinsurance treaties and former operations is subject to uncertainties that are significantly greater than those presented by other types of claims. For this group of claims, traditional actuarial techniques that rely on historical loss development trends cannot be used. Case reserves and expense reserves are established by the claims department as specific policies are identified. In addition to the case reserves established for known claims, management establishes additional reserves for claims not yet known or reported and for possible development on known claims. These additional reserves are management's best estimate based on its review of industry trends and other industry information about such claims, with due consideration to individual claim situations like A.P. Green. Estimating ultimate liability for asbestos claims presents a unique and difficult challenge to the insurance industry due to, among other things, inconsistent court decisions, an increase in bankruptcy filings as a result of asbestos-related liabilities, novel theories of coverage, and judicial interpretations that often expand theories of recovery and broaden the scope of coverage. The casualty insurance industry is engaged in extensive litigation over these coverage and liability issues as the volume and severity of claims against asbestos defendants continue to increase.</w:t>
      </w:r>
    </w:p>
    <w:p>
      <w:pPr>
        <w:spacing w:after="0" w:line="34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While management believes that AFC's reserves for A&amp;E claims are a reasonable estimate of ultimate liability for such claims, actual results may vary materially from the amounts currently recorded due to the difficulty in predicting the number of future claims and the impact of recent bankruptcy filings, and unresolved issues such as whether coverage exists, whether policies are subject to aggregate limits on coverage, whether claims are to be allocated among triggered policies and implicated years, and whether claimants who exhibit no signs of illness will be successful in pursuing their claims.</w:t>
      </w:r>
    </w:p>
    <w:p>
      <w:pPr>
        <w:spacing w:after="0" w:line="16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In February 2003, Great American Insurance Company entered into an agreement for the settlement of asbestos related coverage litigation under insurance polices issued during the 1970's and 1980's to Bigelow-Liptak Corporation and related companies, subsequently known as A.P. Green Industries, Inc. ("A.P. Green"). Management believes that this settlement will enhance financial certainty and provides resolution to litigation that represents AFC's largest known asbestos-related claim and the only such claim that management believes to be material.</w:t>
      </w:r>
    </w:p>
    <w:p>
      <w:pPr>
        <w:spacing w:after="0" w:line="17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settlement is for $123.5 million (Great American has the option to pay in cash or over time with 5.25% interest), all but $30 million of which will be covered by reserves established prior to September 30, 2002, and anticipated reinsurance recoverables for this matter. As a result, AFC recorded a $30 million pretax charge ($19.5 million after tax) in the fourth quarter of 2002. The agreement allows up to 10% of the settlement to be paid in AFG common stock.</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792" w:right="1440" w:bottom="1440" w:gutter="0" w:footer="0" w:header="0"/>
        </w:sectPr>
      </w:pPr>
    </w:p>
    <w:bookmarkStart w:id="92" w:name="page93"/>
    <w:bookmarkEnd w:id="92"/>
    <w:p>
      <w:pPr>
        <w:ind w:right="4100" w:firstLine="525"/>
        <w:spacing w:after="0" w:line="255" w:lineRule="auto"/>
        <w:rPr>
          <w:sz w:val="20"/>
          <w:szCs w:val="20"/>
          <w:color w:val="auto"/>
        </w:rPr>
      </w:pPr>
      <w:r>
        <w:rPr>
          <w:rFonts w:ascii="Courier New" w:cs="Courier New" w:eastAsia="Courier New" w:hAnsi="Courier New"/>
          <w:sz w:val="14"/>
          <w:szCs w:val="14"/>
          <w:color w:val="auto"/>
        </w:rPr>
        <w:t>The settlement is subject to a number of contingencies, including the approval of the bankruptcy court supervising the reorganization of A.P. Green and subsequent confirmation of a plan of reorganization that includes an injunction prohibiting the assertion against Great American of any present or future asbestos personal injury claims under policies issued to A.P. Green and related companies. This process could take a year or more and no assurance can be made that all of these consents and approvals will be obtained; no payments are required until completion of the process. If not obtained, the outcome of this litigation will again be subject to the complexities and uncertainties associated with a Chapter 11 proceeding and asbestos coverage litigation.</w:t>
      </w:r>
    </w:p>
    <w:p>
      <w:pPr>
        <w:spacing w:after="0" w:line="165" w:lineRule="exact"/>
        <w:rPr>
          <w:sz w:val="20"/>
          <w:szCs w:val="20"/>
          <w:color w:val="auto"/>
        </w:rPr>
      </w:pPr>
    </w:p>
    <w:p>
      <w:pPr>
        <w:ind w:right="4020" w:firstLine="525"/>
        <w:spacing w:after="0" w:line="261" w:lineRule="auto"/>
        <w:rPr>
          <w:sz w:val="20"/>
          <w:szCs w:val="20"/>
          <w:color w:val="auto"/>
        </w:rPr>
      </w:pPr>
      <w:r>
        <w:rPr>
          <w:rFonts w:ascii="Courier New" w:cs="Courier New" w:eastAsia="Courier New" w:hAnsi="Courier New"/>
          <w:sz w:val="14"/>
          <w:szCs w:val="14"/>
          <w:color w:val="auto"/>
        </w:rPr>
        <w:t>The payments, reserve balances and policy count information for asbestos, environmental and other mass torts were as follows (dollars in millions):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Net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Net</w:t>
            </w:r>
          </w:p>
        </w:tc>
        <w:tc>
          <w:tcPr>
            <w:tcW w:w="2000" w:type="dxa"/>
            <w:vAlign w:val="bottom"/>
          </w:tcPr>
          <w:p>
            <w:pPr>
              <w:spacing w:after="0"/>
              <w:rPr>
                <w:sz w:val="14"/>
                <w:szCs w:val="14"/>
                <w:color w:val="auto"/>
              </w:rPr>
            </w:pPr>
          </w:p>
        </w:tc>
        <w:tc>
          <w:tcPr>
            <w:tcW w:w="2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Policyholder Counts</w:t>
            </w:r>
          </w:p>
        </w:tc>
        <w:tc>
          <w:tcPr>
            <w:tcW w:w="92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Amounts</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Reserve</w:t>
            </w:r>
          </w:p>
        </w:tc>
        <w:tc>
          <w:tcPr>
            <w:tcW w:w="2000" w:type="dxa"/>
            <w:vAlign w:val="bottom"/>
          </w:tcPr>
          <w:p>
            <w:pPr>
              <w:spacing w:after="0"/>
              <w:rPr>
                <w:sz w:val="14"/>
                <w:szCs w:val="14"/>
                <w:color w:val="auto"/>
              </w:rPr>
            </w:pPr>
          </w:p>
        </w:tc>
        <w:tc>
          <w:tcPr>
            <w:tcW w:w="2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(Direct and Assumed)</w:t>
            </w:r>
          </w:p>
        </w:tc>
        <w:tc>
          <w:tcPr>
            <w:tcW w:w="92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Paid in</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Balance</w:t>
            </w:r>
          </w:p>
        </w:tc>
        <w:tc>
          <w:tcPr>
            <w:tcW w:w="26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2002</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12/31/02</w:t>
            </w:r>
          </w:p>
        </w:tc>
        <w:tc>
          <w:tcPr>
            <w:tcW w:w="2000" w:type="dxa"/>
            <w:vAlign w:val="bottom"/>
          </w:tcPr>
          <w:p>
            <w:pPr>
              <w:jc w:val="right"/>
              <w:ind w:right="789"/>
              <w:spacing w:after="0" w:line="168" w:lineRule="exact"/>
              <w:rPr>
                <w:sz w:val="20"/>
                <w:szCs w:val="20"/>
                <w:color w:val="auto"/>
              </w:rPr>
            </w:pPr>
            <w:r>
              <w:rPr>
                <w:rFonts w:ascii="Courier New" w:cs="Courier New" w:eastAsia="Courier New" w:hAnsi="Courier New"/>
                <w:sz w:val="15"/>
                <w:szCs w:val="15"/>
                <w:color w:val="auto"/>
              </w:rPr>
              <w:t>12/31/01</w:t>
            </w: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New</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Closed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12/31/02</w:t>
            </w:r>
          </w:p>
        </w:tc>
      </w:tr>
      <w:tr>
        <w:trPr>
          <w:trHeight w:val="168"/>
        </w:trPr>
        <w:tc>
          <w:tcPr>
            <w:tcW w:w="2380" w:type="dxa"/>
            <w:vAlign w:val="bottom"/>
          </w:tcPr>
          <w:p>
            <w:pPr>
              <w:spacing w:after="0"/>
              <w:rPr>
                <w:sz w:val="14"/>
                <w:szCs w:val="14"/>
                <w:color w:val="auto"/>
              </w:rPr>
            </w:pPr>
          </w:p>
        </w:tc>
        <w:tc>
          <w:tcPr>
            <w:tcW w:w="2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Asbestos</w:t>
            </w:r>
          </w:p>
        </w:tc>
        <w:tc>
          <w:tcPr>
            <w:tcW w:w="2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$16.8</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$302.3</w:t>
            </w:r>
          </w:p>
        </w:tc>
        <w:tc>
          <w:tcPr>
            <w:tcW w:w="2000" w:type="dxa"/>
            <w:vAlign w:val="bottom"/>
          </w:tcPr>
          <w:p>
            <w:pPr>
              <w:jc w:val="right"/>
              <w:ind w:right="789"/>
              <w:spacing w:after="0"/>
              <w:rPr>
                <w:sz w:val="20"/>
                <w:szCs w:val="20"/>
                <w:color w:val="auto"/>
              </w:rPr>
            </w:pPr>
            <w:r>
              <w:rPr>
                <w:rFonts w:ascii="Courier New" w:cs="Courier New" w:eastAsia="Courier New" w:hAnsi="Courier New"/>
                <w:sz w:val="15"/>
                <w:szCs w:val="15"/>
                <w:color w:val="auto"/>
              </w:rPr>
              <w:t>429</w:t>
            </w: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Environmental</w:t>
            </w:r>
          </w:p>
        </w:tc>
        <w:tc>
          <w:tcPr>
            <w:tcW w:w="2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139.4</w:t>
            </w:r>
          </w:p>
        </w:tc>
        <w:tc>
          <w:tcPr>
            <w:tcW w:w="2000" w:type="dxa"/>
            <w:vAlign w:val="bottom"/>
          </w:tcPr>
          <w:p>
            <w:pPr>
              <w:jc w:val="right"/>
              <w:ind w:right="789"/>
              <w:spacing w:after="0" w:line="168" w:lineRule="exact"/>
              <w:rPr>
                <w:sz w:val="20"/>
                <w:szCs w:val="20"/>
                <w:color w:val="auto"/>
              </w:rPr>
            </w:pPr>
            <w:r>
              <w:rPr>
                <w:rFonts w:ascii="Courier New" w:cs="Courier New" w:eastAsia="Courier New" w:hAnsi="Courier New"/>
                <w:sz w:val="15"/>
                <w:szCs w:val="15"/>
                <w:color w:val="auto"/>
              </w:rPr>
              <w:t>715</w:t>
            </w: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Mass Tort</w:t>
            </w:r>
          </w:p>
        </w:tc>
        <w:tc>
          <w:tcPr>
            <w:tcW w:w="2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w:t>
            </w:r>
          </w:p>
        </w:tc>
        <w:tc>
          <w:tcPr>
            <w:tcW w:w="2000" w:type="dxa"/>
            <w:vAlign w:val="bottom"/>
          </w:tcPr>
          <w:p>
            <w:pPr>
              <w:jc w:val="right"/>
              <w:ind w:right="789"/>
              <w:spacing w:after="0" w:line="168" w:lineRule="exact"/>
              <w:rPr>
                <w:sz w:val="20"/>
                <w:szCs w:val="20"/>
                <w:color w:val="auto"/>
              </w:rPr>
            </w:pPr>
            <w:r>
              <w:rPr>
                <w:rFonts w:ascii="Courier New" w:cs="Courier New" w:eastAsia="Courier New" w:hAnsi="Courier New"/>
                <w:sz w:val="15"/>
                <w:szCs w:val="15"/>
                <w:color w:val="auto"/>
              </w:rPr>
              <w:t>109</w:t>
            </w: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2380" w:type="dxa"/>
            <w:vAlign w:val="bottom"/>
          </w:tcPr>
          <w:p>
            <w:pPr>
              <w:spacing w:after="0"/>
              <w:rPr>
                <w:sz w:val="14"/>
                <w:szCs w:val="14"/>
                <w:color w:val="auto"/>
              </w:rPr>
            </w:pPr>
          </w:p>
        </w:tc>
        <w:tc>
          <w:tcPr>
            <w:tcW w:w="2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$28.7</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$466.7</w:t>
            </w:r>
          </w:p>
        </w:tc>
        <w:tc>
          <w:tcPr>
            <w:tcW w:w="2000" w:type="dxa"/>
            <w:vAlign w:val="bottom"/>
          </w:tcPr>
          <w:p>
            <w:pPr>
              <w:jc w:val="right"/>
              <w:ind w:right="789"/>
              <w:spacing w:after="0" w:line="168" w:lineRule="exact"/>
              <w:rPr>
                <w:sz w:val="20"/>
                <w:szCs w:val="20"/>
                <w:color w:val="auto"/>
              </w:rPr>
            </w:pPr>
            <w:r>
              <w:rPr>
                <w:rFonts w:ascii="Courier New" w:cs="Courier New" w:eastAsia="Courier New" w:hAnsi="Courier New"/>
                <w:sz w:val="15"/>
                <w:szCs w:val="15"/>
                <w:color w:val="auto"/>
              </w:rPr>
              <w:t>1,253</w:t>
            </w: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200</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1,234</w:t>
            </w:r>
          </w:p>
        </w:tc>
      </w:tr>
      <w:tr>
        <w:trPr>
          <w:trHeight w:val="168"/>
        </w:trPr>
        <w:tc>
          <w:tcPr>
            <w:tcW w:w="2380" w:type="dxa"/>
            <w:vAlign w:val="bottom"/>
          </w:tcPr>
          <w:p>
            <w:pPr>
              <w:spacing w:after="0"/>
              <w:rPr>
                <w:sz w:val="14"/>
                <w:szCs w:val="14"/>
                <w:color w:val="auto"/>
              </w:rPr>
            </w:pPr>
          </w:p>
        </w:tc>
        <w:tc>
          <w:tcPr>
            <w:tcW w:w="2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020" w:firstLine="525"/>
        <w:spacing w:after="0" w:line="255" w:lineRule="auto"/>
        <w:rPr>
          <w:sz w:val="20"/>
          <w:szCs w:val="20"/>
          <w:color w:val="auto"/>
        </w:rPr>
      </w:pPr>
      <w:r>
        <w:rPr>
          <w:rFonts w:ascii="Courier New" w:cs="Courier New" w:eastAsia="Courier New" w:hAnsi="Courier New"/>
          <w:sz w:val="14"/>
          <w:szCs w:val="14"/>
          <w:color w:val="auto"/>
        </w:rPr>
        <w:t>Of the open asbestos accounts, approximately 270 are holders of policies written by AFC subsidiaries and approximately 200 represent assumed reinsurance business. The direct policyholders with asbestos claims consist of limited exposures, dominated by small to mid-sized commercial entities that are mostly regional policyholders with few national target defendants. With respect to non-products exposures, there are few accounts with potentially significant exposure, none of which is considered to be material to the Company.</w:t>
      </w:r>
    </w:p>
    <w:p>
      <w:pPr>
        <w:spacing w:after="0" w:line="166" w:lineRule="exact"/>
        <w:rPr>
          <w:sz w:val="20"/>
          <w:szCs w:val="20"/>
          <w:color w:val="auto"/>
        </w:rPr>
      </w:pPr>
    </w:p>
    <w:p>
      <w:pPr>
        <w:ind w:right="4100" w:firstLine="525"/>
        <w:spacing w:after="0" w:line="255" w:lineRule="auto"/>
        <w:rPr>
          <w:sz w:val="20"/>
          <w:szCs w:val="20"/>
          <w:color w:val="auto"/>
        </w:rPr>
      </w:pPr>
      <w:r>
        <w:rPr>
          <w:rFonts w:ascii="Courier New" w:cs="Courier New" w:eastAsia="Courier New" w:hAnsi="Courier New"/>
          <w:sz w:val="14"/>
          <w:szCs w:val="14"/>
          <w:color w:val="auto"/>
        </w:rPr>
        <w:t>The assumed reinsurance business includes exposures for the periods 1954 to 1983. The asbestos and environmental assumed claims are ceded by various insurance companies under reinsurance treaties. A majority of the individual assumed claims have exposures of less than $100,000 to AFC. Asbestos losses assumed include some of the industry known manufacturers, distributors and installers. Pollution losses include industry known insured names and sites.</w:t>
      </w:r>
    </w:p>
    <w:p>
      <w:pPr>
        <w:spacing w:after="0" w:line="166" w:lineRule="exact"/>
        <w:rPr>
          <w:sz w:val="20"/>
          <w:szCs w:val="20"/>
          <w:color w:val="auto"/>
        </w:rPr>
      </w:pPr>
    </w:p>
    <w:p>
      <w:pPr>
        <w:ind w:right="4020" w:firstLine="525"/>
        <w:spacing w:after="0" w:line="234" w:lineRule="auto"/>
        <w:rPr>
          <w:sz w:val="20"/>
          <w:szCs w:val="20"/>
          <w:color w:val="auto"/>
        </w:rPr>
      </w:pPr>
      <w:r>
        <w:rPr>
          <w:rFonts w:ascii="Courier New" w:cs="Courier New" w:eastAsia="Courier New" w:hAnsi="Courier New"/>
          <w:sz w:val="15"/>
          <w:szCs w:val="15"/>
          <w:color w:val="auto"/>
        </w:rPr>
        <w:t>Other mass tort losses include Agent Orange, breast implants, DES, Dalkon Shield, lead, silicon and various chemical exposures.</w:t>
      </w:r>
    </w:p>
    <w:p>
      <w:pPr>
        <w:spacing w:after="0" w:line="173" w:lineRule="exact"/>
        <w:rPr>
          <w:sz w:val="20"/>
          <w:szCs w:val="20"/>
          <w:color w:val="auto"/>
        </w:rPr>
      </w:pPr>
    </w:p>
    <w:p>
      <w:pPr>
        <w:ind w:right="3940" w:firstLine="525"/>
        <w:spacing w:after="0" w:line="236" w:lineRule="auto"/>
        <w:rPr>
          <w:sz w:val="20"/>
          <w:szCs w:val="20"/>
          <w:color w:val="auto"/>
        </w:rPr>
      </w:pPr>
      <w:r>
        <w:rPr>
          <w:rFonts w:ascii="Courier New" w:cs="Courier New" w:eastAsia="Courier New" w:hAnsi="Courier New"/>
          <w:sz w:val="15"/>
          <w:szCs w:val="15"/>
          <w:color w:val="auto"/>
        </w:rPr>
        <w:t>EXPOSURE TO MARKET RISK Market risk represents the potential economic loss arising from adverse changes in the fair value of financial instruments. AFC's exposures to market risk relate primarily to its investment portfolio and annuity contracts which are exposed to interest rate risk and, to a lesser extent, equity price risk. To a much lesser extent, AFC's long-term debt is also exposed to interest rate risk.</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940"/>
          </w:cols>
          <w:pgMar w:left="220" w:top="792" w:right="739" w:bottom="1440" w:gutter="0" w:footer="0" w:header="0"/>
        </w:sectPr>
      </w:pPr>
    </w:p>
    <w:bookmarkStart w:id="93" w:name="page94"/>
    <w:bookmarkEnd w:id="93"/>
    <w:p>
      <w:pPr>
        <w:ind w:right="3940" w:firstLine="525"/>
        <w:spacing w:after="0" w:line="255" w:lineRule="auto"/>
        <w:rPr>
          <w:sz w:val="20"/>
          <w:szCs w:val="20"/>
          <w:color w:val="auto"/>
        </w:rPr>
      </w:pPr>
      <w:r>
        <w:rPr>
          <w:rFonts w:ascii="Courier New" w:cs="Courier New" w:eastAsia="Courier New" w:hAnsi="Courier New"/>
          <w:sz w:val="14"/>
          <w:szCs w:val="14"/>
          <w:color w:val="auto"/>
        </w:rPr>
        <w:t>FIXED MATURITY PORTFOLIO The fair value of AFC's fixed maturity portfolio is directly impacted by changes in market interest rates. AFC's fixed maturity portfolio is comprised of substantially all fixed rate investments with primarily intermediate-term maturities. This practice allows flexibility in reacting to fluctuations of interest rates. The portfolios of AFC's insurance operations are managed with an attempt to achieve an adequate risk-adjusted return while maintaining sufficient liquidity to meet policyholder obligations. AFC's life and annuity operations attempt to align the duration of their invested assets to the projected cash flows of policyholder liabilities.</w:t>
      </w:r>
    </w:p>
    <w:p>
      <w:pPr>
        <w:spacing w:after="0" w:line="165" w:lineRule="exact"/>
        <w:rPr>
          <w:sz w:val="20"/>
          <w:szCs w:val="20"/>
          <w:color w:val="auto"/>
        </w:rPr>
      </w:pPr>
    </w:p>
    <w:p>
      <w:pPr>
        <w:ind w:right="3860" w:firstLine="525"/>
        <w:spacing w:after="0" w:line="236" w:lineRule="auto"/>
        <w:rPr>
          <w:sz w:val="20"/>
          <w:szCs w:val="20"/>
          <w:color w:val="auto"/>
        </w:rPr>
      </w:pPr>
      <w:r>
        <w:rPr>
          <w:rFonts w:ascii="Courier New" w:cs="Courier New" w:eastAsia="Courier New" w:hAnsi="Courier New"/>
          <w:sz w:val="15"/>
          <w:szCs w:val="15"/>
          <w:color w:val="auto"/>
        </w:rPr>
        <w:t>The following table provides information about AFC's fixed maturity investments at December 31, 2002 and 2001, that are sensitive to interest rate risk. The table shows principal cash flows (in millions) and related weighted average interest rates by expected maturity date for each of the five subsequent years and for all years thereafter. Callable bonds and notes are included based on call date or maturity date depending upon which date produces the most conservative yield. Mortgage-backed securities ("MBSs") and sinking fund issues are included based on maturity year adjusted for expected payment patterns. Actual cash flows may differ from those expected.</w:t>
      </w:r>
    </w:p>
    <w:p>
      <w:pPr>
        <w:spacing w:after="0" w:line="200" w:lineRule="exact"/>
        <w:rPr>
          <w:sz w:val="20"/>
          <w:szCs w:val="20"/>
          <w:color w:val="auto"/>
        </w:rPr>
      </w:pPr>
    </w:p>
    <w:p>
      <w:pPr>
        <w:spacing w:after="0" w:line="30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27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 2002</w:t>
            </w:r>
          </w:p>
        </w:tc>
        <w:tc>
          <w:tcPr>
            <w:tcW w:w="1660" w:type="dxa"/>
            <w:vAlign w:val="bottom"/>
          </w:tcPr>
          <w:p>
            <w:pPr>
              <w:spacing w:after="0"/>
              <w:rPr>
                <w:sz w:val="14"/>
                <w:szCs w:val="14"/>
                <w:color w:val="auto"/>
              </w:rPr>
            </w:pPr>
          </w:p>
        </w:tc>
        <w:tc>
          <w:tcPr>
            <w:tcW w:w="2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December 31, 2001</w:t>
            </w:r>
          </w:p>
        </w:tc>
      </w:tr>
      <w:tr>
        <w:trPr>
          <w:trHeight w:val="168"/>
        </w:trPr>
        <w:tc>
          <w:tcPr>
            <w:tcW w:w="1180" w:type="dxa"/>
            <w:vAlign w:val="bottom"/>
          </w:tcPr>
          <w:p>
            <w:pPr>
              <w:spacing w:after="0"/>
              <w:rPr>
                <w:sz w:val="14"/>
                <w:szCs w:val="14"/>
                <w:color w:val="auto"/>
              </w:rPr>
            </w:pPr>
          </w:p>
        </w:tc>
        <w:tc>
          <w:tcPr>
            <w:tcW w:w="2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2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8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Principal</w:t>
            </w: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Principal</w:t>
            </w:r>
          </w:p>
        </w:tc>
        <w:tc>
          <w:tcPr>
            <w:tcW w:w="700" w:type="dxa"/>
            <w:vAlign w:val="bottom"/>
          </w:tcPr>
          <w:p>
            <w:pPr>
              <w:spacing w:after="0"/>
              <w:rPr>
                <w:sz w:val="14"/>
                <w:szCs w:val="14"/>
                <w:color w:val="auto"/>
              </w:rPr>
            </w:pPr>
          </w:p>
        </w:tc>
      </w:tr>
      <w:tr>
        <w:trPr>
          <w:trHeight w:val="168"/>
        </w:trPr>
        <w:tc>
          <w:tcPr>
            <w:tcW w:w="118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Cash Flows</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Rate</w:t>
            </w:r>
          </w:p>
        </w:tc>
        <w:tc>
          <w:tcPr>
            <w:tcW w:w="16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Cash Flows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118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$ 1,301</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10.09%</w:t>
            </w:r>
          </w:p>
        </w:tc>
        <w:tc>
          <w:tcPr>
            <w:tcW w:w="1660" w:type="dxa"/>
            <w:vAlign w:val="bottom"/>
          </w:tcPr>
          <w:p>
            <w:pPr>
              <w:ind w:left="520"/>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956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8.62%</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848</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8.31</w:t>
            </w:r>
          </w:p>
        </w:tc>
        <w:tc>
          <w:tcPr>
            <w:tcW w:w="1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1,407</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7.84</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1,035</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7.05</w:t>
            </w:r>
          </w:p>
        </w:tc>
        <w:tc>
          <w:tcPr>
            <w:tcW w:w="1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8.56</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1,135</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6.69</w:t>
            </w:r>
          </w:p>
        </w:tc>
        <w:tc>
          <w:tcPr>
            <w:tcW w:w="1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2007</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1,158</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6.12</w:t>
            </w:r>
          </w:p>
        </w:tc>
        <w:tc>
          <w:tcPr>
            <w:tcW w:w="1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6.89</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5,939</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6.13</w:t>
            </w:r>
          </w:p>
        </w:tc>
        <w:tc>
          <w:tcPr>
            <w:tcW w:w="1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Thereafter</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5,263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7.08</w:t>
            </w:r>
          </w:p>
        </w:tc>
      </w:tr>
      <w:tr>
        <w:trPr>
          <w:trHeight w:val="168"/>
        </w:trPr>
        <w:tc>
          <w:tcPr>
            <w:tcW w:w="118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$11,416</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6.88%</w:t>
            </w:r>
          </w:p>
        </w:tc>
        <w:tc>
          <w:tcPr>
            <w:tcW w:w="16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$10,678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7.46%</w:t>
            </w:r>
          </w:p>
        </w:tc>
      </w:tr>
      <w:tr>
        <w:trPr>
          <w:trHeight w:val="168"/>
        </w:trPr>
        <w:tc>
          <w:tcPr>
            <w:tcW w:w="118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$12,007</w:t>
            </w: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$10,749</w:t>
            </w:r>
          </w:p>
        </w:tc>
        <w:tc>
          <w:tcPr>
            <w:tcW w:w="700" w:type="dxa"/>
            <w:vAlign w:val="bottom"/>
          </w:tcPr>
          <w:p>
            <w:pPr>
              <w:spacing w:after="0"/>
              <w:rPr>
                <w:sz w:val="24"/>
                <w:szCs w:val="24"/>
                <w:color w:val="auto"/>
              </w:rPr>
            </w:pPr>
          </w:p>
        </w:tc>
      </w:tr>
      <w:tr>
        <w:trPr>
          <w:trHeight w:val="168"/>
        </w:trPr>
        <w:tc>
          <w:tcPr>
            <w:tcW w:w="118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bl>
    <w:p>
      <w:pPr>
        <w:spacing w:after="0" w:line="341" w:lineRule="exact"/>
        <w:rPr>
          <w:sz w:val="20"/>
          <w:szCs w:val="20"/>
          <w:color w:val="auto"/>
        </w:rPr>
      </w:pPr>
    </w:p>
    <w:p>
      <w:pPr>
        <w:ind w:right="4020" w:firstLine="525"/>
        <w:spacing w:after="0" w:line="236" w:lineRule="auto"/>
        <w:rPr>
          <w:sz w:val="20"/>
          <w:szCs w:val="20"/>
          <w:color w:val="auto"/>
        </w:rPr>
      </w:pPr>
      <w:r>
        <w:rPr>
          <w:rFonts w:ascii="Courier New" w:cs="Courier New" w:eastAsia="Courier New" w:hAnsi="Courier New"/>
          <w:sz w:val="15"/>
          <w:szCs w:val="15"/>
          <w:color w:val="auto"/>
        </w:rPr>
        <w:t>EQUITY PRICE RISK Equity price risk is the potential economic loss from adverse changes in equity security prices. Although AFC's investment in "Other stocks" is less than 3% of total investments, two-thirds of "Other stocks" is invested in Provident Financial Group which exposes AFC to the risk of price declines in a single position.</w:t>
      </w:r>
    </w:p>
    <w:p>
      <w:pPr>
        <w:spacing w:after="0" w:line="174" w:lineRule="exact"/>
        <w:rPr>
          <w:sz w:val="20"/>
          <w:szCs w:val="20"/>
          <w:color w:val="auto"/>
        </w:rPr>
      </w:pPr>
    </w:p>
    <w:p>
      <w:pPr>
        <w:ind w:right="3860" w:firstLine="525"/>
        <w:spacing w:after="0" w:line="256" w:lineRule="auto"/>
        <w:rPr>
          <w:sz w:val="20"/>
          <w:szCs w:val="20"/>
          <w:color w:val="auto"/>
        </w:rPr>
      </w:pPr>
      <w:r>
        <w:rPr>
          <w:rFonts w:ascii="Courier New" w:cs="Courier New" w:eastAsia="Courier New" w:hAnsi="Courier New"/>
          <w:sz w:val="14"/>
          <w:szCs w:val="14"/>
          <w:color w:val="auto"/>
        </w:rPr>
        <w:t>Included in "Other stocks" at December 31, 2002 were warrants (valued at $13.8 million) to purchase common stock of various companies. Under Statement of Financial Accounting Standards ("SFAS") No. 133, which was adopted as of October 1, 2000, these warrants are generally considered derivatives and marked to market through current earnings as realized gains and losses.</w:t>
      </w:r>
    </w:p>
    <w:p>
      <w:pPr>
        <w:spacing w:after="0" w:line="163" w:lineRule="exact"/>
        <w:rPr>
          <w:sz w:val="20"/>
          <w:szCs w:val="20"/>
          <w:color w:val="auto"/>
        </w:rPr>
      </w:pPr>
    </w:p>
    <w:p>
      <w:pPr>
        <w:ind w:right="3860" w:firstLine="525"/>
        <w:spacing w:after="0" w:line="236" w:lineRule="auto"/>
        <w:rPr>
          <w:sz w:val="20"/>
          <w:szCs w:val="20"/>
          <w:color w:val="auto"/>
        </w:rPr>
      </w:pPr>
      <w:r>
        <w:rPr>
          <w:rFonts w:ascii="Courier New" w:cs="Courier New" w:eastAsia="Courier New" w:hAnsi="Courier New"/>
          <w:sz w:val="15"/>
          <w:szCs w:val="15"/>
          <w:color w:val="auto"/>
        </w:rPr>
        <w:t>ANNUITY CONTRACTS Substantially all of GAFRI's fixed rate annuity contracts permit GAFRI to change crediting rates (subject to minimum interest rate guarantees of 3% to 4% per annum as determined by applicable law) enabling management to react to changes in market interest rates and maintain an adequate spread. Nonetheless, due to the sharp drop in interest rates in 2002, GAFRI's spreads have narrowed and will likely continue to narrow through at least 2003. Actuarial assumptions used to estimate DPAC and Annuity Benefits, as well as GAFRI's ability to maintain spread, could be impacted if the current interest rate environment continues for an extended period and causes policyholder behavior to be altered.</w:t>
      </w:r>
    </w:p>
    <w:p>
      <w:pPr>
        <w:spacing w:after="0" w:line="179" w:lineRule="exact"/>
        <w:rPr>
          <w:sz w:val="20"/>
          <w:szCs w:val="20"/>
          <w:color w:val="auto"/>
        </w:rPr>
      </w:pPr>
    </w:p>
    <w:p>
      <w:pPr>
        <w:ind w:right="3940" w:firstLine="525"/>
        <w:spacing w:after="0" w:line="235" w:lineRule="auto"/>
        <w:rPr>
          <w:sz w:val="20"/>
          <w:szCs w:val="20"/>
          <w:color w:val="auto"/>
        </w:rPr>
      </w:pPr>
      <w:r>
        <w:rPr>
          <w:rFonts w:ascii="Courier New" w:cs="Courier New" w:eastAsia="Courier New" w:hAnsi="Courier New"/>
          <w:sz w:val="15"/>
          <w:szCs w:val="15"/>
          <w:color w:val="auto"/>
        </w:rPr>
        <w:t>Projected payments (in millions) in each of the subsequent five years and for all years thereafter on GAFRI's fixed annuity liabilities at December 31 were as follows.</w:t>
      </w:r>
    </w:p>
    <w:p>
      <w:pPr>
        <w:spacing w:after="0" w:line="33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Fair</w:t>
            </w:r>
          </w:p>
        </w:tc>
      </w:tr>
      <w:tr>
        <w:trPr>
          <w:trHeight w:val="168"/>
        </w:trPr>
        <w:tc>
          <w:tcPr>
            <w:tcW w:w="86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First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Second</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Third</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Fourth</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Fifth</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Thereafter</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86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2002</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$610</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$810</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$700</w:t>
            </w: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$3,044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$6,454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$6,284</w:t>
            </w:r>
          </w:p>
        </w:tc>
      </w:tr>
      <w:tr>
        <w:trPr>
          <w:trHeight w:val="168"/>
        </w:trPr>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2001</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750</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680</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610</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2,512</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5,832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860"/>
          </w:cols>
          <w:pgMar w:left="220" w:top="792" w:right="819" w:bottom="1022" w:gutter="0" w:footer="0" w:header="0"/>
        </w:sectPr>
      </w:pPr>
    </w:p>
    <w:bookmarkStart w:id="94" w:name="page95"/>
    <w:bookmarkEnd w:id="94"/>
    <w:p>
      <w:pPr>
        <w:ind w:right="1020" w:firstLine="525"/>
        <w:spacing w:after="0" w:line="255" w:lineRule="auto"/>
        <w:rPr>
          <w:sz w:val="20"/>
          <w:szCs w:val="20"/>
          <w:color w:val="auto"/>
        </w:rPr>
      </w:pPr>
      <w:r>
        <w:rPr>
          <w:rFonts w:ascii="Courier New" w:cs="Courier New" w:eastAsia="Courier New" w:hAnsi="Courier New"/>
          <w:sz w:val="14"/>
          <w:szCs w:val="14"/>
          <w:color w:val="auto"/>
        </w:rPr>
        <w:t>Nearly half of GAFRI's fixed annuity liabilities at December 31, 2002, were two-tier in nature in that policyholders can receive a higher amount if they annuitize rather than surrender their policy, even if the surrender charge period has expired. At December 31, 2002, the average crediting rate on GAFRI's principal fixed annuity products was approximately 4.3% and current stated crediting rates (excluding bonus interest) on GAFRI's active products generally range from 3.0% to 3.6%. GAFRI estimates that its effective weighted-average crediting rate over the next five years will approximate 4.3%. This rate reflects actuarial assumptions as to (i) expected investment spread, (ii) deaths, (iii) annuitizations, (iv) surrenders and (v) renewal premiums. Actual experience and changes in actuarial assumptions may result in different effective crediting rates than those above.</w:t>
      </w:r>
    </w:p>
    <w:p>
      <w:pPr>
        <w:spacing w:after="0" w:line="333" w:lineRule="exact"/>
        <w:rPr>
          <w:sz w:val="20"/>
          <w:szCs w:val="20"/>
          <w:color w:val="auto"/>
        </w:rPr>
      </w:pPr>
    </w:p>
    <w:p>
      <w:pPr>
        <w:ind w:right="940" w:firstLine="525"/>
        <w:spacing w:after="0" w:line="237" w:lineRule="auto"/>
        <w:rPr>
          <w:sz w:val="20"/>
          <w:szCs w:val="20"/>
          <w:color w:val="auto"/>
        </w:rPr>
      </w:pPr>
      <w:r>
        <w:rPr>
          <w:rFonts w:ascii="Courier New" w:cs="Courier New" w:eastAsia="Courier New" w:hAnsi="Courier New"/>
          <w:sz w:val="15"/>
          <w:szCs w:val="15"/>
          <w:color w:val="auto"/>
        </w:rPr>
        <w:t>GAFRI's equity-indexed fixed annuities provide policyholders with a crediting rate tied, in part, to the performance of an existing stock market index. GAFRI attempts to mitigate the risk in the equity-based component of these products through the purchase of call options on the appropriate index. GAFRI's strategy is designed so that an increase in the liabilities due to an increase in the market index will be substantially offset by unrealized gains on the call options. Under SFAS No. 133, both the equity-based component of the annuities and the related call options are considered derivatives and marked to market through current earnings as annuity benefits. Adjusting these derivatives to market value had a net effect of less than 1% of annuity benefits in 2002 and 2001. In 2002, GAFRI chose to suspend new sales of equity-indexed annuities due primarily to lack of volume.</w:t>
      </w:r>
    </w:p>
    <w:p>
      <w:pPr>
        <w:spacing w:after="0" w:line="173" w:lineRule="exact"/>
        <w:rPr>
          <w:sz w:val="20"/>
          <w:szCs w:val="20"/>
          <w:color w:val="auto"/>
        </w:rPr>
      </w:pPr>
    </w:p>
    <w:p>
      <w:pPr>
        <w:ind w:right="1280" w:firstLine="525"/>
        <w:spacing w:after="0" w:line="235" w:lineRule="auto"/>
        <w:rPr>
          <w:sz w:val="20"/>
          <w:szCs w:val="20"/>
          <w:color w:val="auto"/>
        </w:rPr>
      </w:pPr>
      <w:r>
        <w:rPr>
          <w:rFonts w:ascii="Courier New" w:cs="Courier New" w:eastAsia="Courier New" w:hAnsi="Courier New"/>
          <w:sz w:val="15"/>
          <w:szCs w:val="15"/>
          <w:color w:val="auto"/>
        </w:rPr>
        <w:t>DEBT AND PREFERRED SECURITIES The following table shows scheduled principal payments (in millions) on fixed-rate long-term debt of AFC and its subsidiaries and related weighted average interest rates for each of the subsequent five years and for all years thereafter.</w:t>
      </w:r>
    </w:p>
    <w:p>
      <w:pPr>
        <w:spacing w:after="0" w:line="33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440" w:type="dxa"/>
            <w:vAlign w:val="bottom"/>
            <w:gridSpan w:val="2"/>
          </w:tcPr>
          <w:p>
            <w:pPr>
              <w:jc w:val="right"/>
              <w:ind w:right="747"/>
              <w:spacing w:after="0"/>
              <w:rPr>
                <w:sz w:val="20"/>
                <w:szCs w:val="20"/>
                <w:color w:val="auto"/>
              </w:rPr>
            </w:pPr>
            <w:r>
              <w:rPr>
                <w:rFonts w:ascii="Courier New" w:cs="Courier New" w:eastAsia="Courier New" w:hAnsi="Courier New"/>
                <w:sz w:val="15"/>
                <w:szCs w:val="15"/>
                <w:color w:val="auto"/>
              </w:rPr>
              <w:t>December 31, 2002</w:t>
            </w:r>
          </w:p>
        </w:tc>
        <w:tc>
          <w:tcPr>
            <w:tcW w:w="162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344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Scheduled</w:t>
            </w: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Principal</w:t>
            </w: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Payments</w:t>
            </w:r>
          </w:p>
        </w:tc>
        <w:tc>
          <w:tcPr>
            <w:tcW w:w="15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Rate</w:t>
            </w:r>
          </w:p>
        </w:tc>
        <w:tc>
          <w:tcPr>
            <w:tcW w:w="162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8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24"/>
                <w:szCs w:val="24"/>
                <w:color w:val="auto"/>
              </w:rPr>
            </w:pPr>
          </w:p>
        </w:tc>
        <w:tc>
          <w:tcPr>
            <w:tcW w:w="1620" w:type="dxa"/>
            <w:vAlign w:val="bottom"/>
          </w:tcPr>
          <w:p>
            <w:pPr>
              <w:ind w:left="740"/>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6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$ 10.1</w:t>
            </w: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9.09%</w:t>
            </w:r>
          </w:p>
        </w:tc>
        <w:tc>
          <w:tcPr>
            <w:tcW w:w="16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18.7</w:t>
            </w:r>
          </w:p>
        </w:tc>
        <w:tc>
          <w:tcPr>
            <w:tcW w:w="15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6.74</w:t>
            </w:r>
          </w:p>
        </w:tc>
        <w:tc>
          <w:tcPr>
            <w:tcW w:w="16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2005</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2007</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6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2006</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126.5</w:t>
            </w:r>
          </w:p>
        </w:tc>
        <w:tc>
          <w:tcPr>
            <w:tcW w:w="15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7.19</w:t>
            </w:r>
          </w:p>
        </w:tc>
        <w:tc>
          <w:tcPr>
            <w:tcW w:w="16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5"/>
              </w:rPr>
              <w:t>Thereafter</w:t>
            </w:r>
          </w:p>
        </w:tc>
      </w:tr>
      <w:tr>
        <w:trPr>
          <w:trHeight w:val="168"/>
        </w:trPr>
        <w:tc>
          <w:tcPr>
            <w:tcW w:w="158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$157.4</w:t>
            </w:r>
          </w:p>
        </w:tc>
        <w:tc>
          <w:tcPr>
            <w:tcW w:w="15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7.26%</w:t>
            </w:r>
          </w:p>
        </w:tc>
        <w:tc>
          <w:tcPr>
            <w:tcW w:w="1620" w:type="dxa"/>
            <w:vAlign w:val="bottom"/>
          </w:tcPr>
          <w:p>
            <w:pPr>
              <w:spacing w:after="0"/>
              <w:rPr>
                <w:sz w:val="24"/>
                <w:szCs w:val="24"/>
                <w:color w:val="auto"/>
              </w:rPr>
            </w:pPr>
          </w:p>
        </w:tc>
      </w:tr>
      <w:tr>
        <w:trPr>
          <w:trHeight w:val="168"/>
        </w:trPr>
        <w:tc>
          <w:tcPr>
            <w:tcW w:w="158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$148.5</w:t>
            </w:r>
          </w:p>
        </w:tc>
        <w:tc>
          <w:tcPr>
            <w:tcW w:w="15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158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Less than $2 million.</w:t>
      </w:r>
    </w:p>
    <w:p>
      <w:pPr>
        <w:spacing w:after="0" w:line="173" w:lineRule="exact"/>
        <w:rPr>
          <w:sz w:val="20"/>
          <w:szCs w:val="20"/>
          <w:color w:val="auto"/>
        </w:rPr>
      </w:pPr>
    </w:p>
    <w:p>
      <w:pPr>
        <w:ind w:right="940" w:firstLine="525"/>
        <w:spacing w:after="0" w:line="255" w:lineRule="auto"/>
        <w:rPr>
          <w:sz w:val="20"/>
          <w:szCs w:val="20"/>
          <w:color w:val="auto"/>
        </w:rPr>
      </w:pPr>
      <w:r>
        <w:rPr>
          <w:rFonts w:ascii="Courier New" w:cs="Courier New" w:eastAsia="Courier New" w:hAnsi="Courier New"/>
          <w:sz w:val="14"/>
          <w:szCs w:val="14"/>
          <w:color w:val="auto"/>
        </w:rPr>
        <w:t>At December 31, 2002 and 2001, respectively, AFC and its subsidiaries had $406 million and $337 million in variable-rate debt maturing primarily in 2003 through 2005. The weighted average interest rate on AFC's variable-rate debt was 2.84% at December 31, 2002 compared to 2.67% at December 31, 2001. There were $143 million of subsidiary trust preferred securities with a weighted average interest rate of 9.07% outstanding at December 31, 2002 and 2001, none of which is scheduled for maturity or mandatory redemption during the next five years.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December 31, 2001</w:t>
      </w:r>
    </w:p>
    <w:p>
      <w:pPr>
        <w:ind w:left="36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114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w w:val="96"/>
              </w:rPr>
              <w:t>Scheduled</w:t>
            </w:r>
          </w:p>
        </w:tc>
        <w:tc>
          <w:tcPr>
            <w:tcW w:w="800" w:type="dxa"/>
            <w:vAlign w:val="bottom"/>
          </w:tcPr>
          <w:p>
            <w:pPr>
              <w:spacing w:after="0"/>
              <w:rPr>
                <w:sz w:val="14"/>
                <w:szCs w:val="14"/>
                <w:color w:val="auto"/>
              </w:rPr>
            </w:pPr>
          </w:p>
        </w:tc>
      </w:tr>
      <w:tr>
        <w:trPr>
          <w:trHeight w:val="168"/>
        </w:trPr>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Principal</w:t>
            </w:r>
          </w:p>
        </w:tc>
        <w:tc>
          <w:tcPr>
            <w:tcW w:w="800" w:type="dxa"/>
            <w:vAlign w:val="bottom"/>
          </w:tcPr>
          <w:p>
            <w:pPr>
              <w:spacing w:after="0"/>
              <w:rPr>
                <w:sz w:val="14"/>
                <w:szCs w:val="14"/>
                <w:color w:val="auto"/>
              </w:rPr>
            </w:pPr>
          </w:p>
        </w:tc>
      </w:tr>
      <w:tr>
        <w:trPr>
          <w:trHeight w:val="168"/>
        </w:trPr>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Payments</w:t>
            </w:r>
          </w:p>
        </w:tc>
        <w:tc>
          <w:tcPr>
            <w:tcW w:w="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4.3</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w w:val="93"/>
              </w:rPr>
              <w:t>7.02%</w:t>
            </w:r>
          </w:p>
        </w:tc>
      </w:tr>
      <w:tr>
        <w:trPr>
          <w:trHeight w:val="168"/>
        </w:trPr>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68"/>
        </w:trPr>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68"/>
        </w:trPr>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10.1</w:t>
            </w:r>
          </w:p>
        </w:tc>
        <w:tc>
          <w:tcPr>
            <w:tcW w:w="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9.07</w:t>
            </w:r>
          </w:p>
        </w:tc>
      </w:tr>
      <w:tr>
        <w:trPr>
          <w:trHeight w:val="168"/>
        </w:trPr>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w:t>
            </w:r>
          </w:p>
        </w:tc>
        <w:tc>
          <w:tcPr>
            <w:tcW w:w="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6.73</w:t>
            </w:r>
          </w:p>
        </w:tc>
      </w:tr>
      <w:tr>
        <w:trPr>
          <w:trHeight w:val="168"/>
        </w:trPr>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126.8</w:t>
            </w:r>
          </w:p>
        </w:tc>
        <w:tc>
          <w:tcPr>
            <w:tcW w:w="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7.17</w:t>
            </w:r>
          </w:p>
        </w:tc>
      </w:tr>
      <w:tr>
        <w:trPr>
          <w:trHeight w:val="168"/>
        </w:trPr>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336"/>
        </w:trPr>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$161.6</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w w:val="93"/>
              </w:rPr>
              <w:t>7.23%</w:t>
            </w:r>
          </w:p>
        </w:tc>
      </w:tr>
      <w:tr>
        <w:trPr>
          <w:trHeight w:val="168"/>
        </w:trPr>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bl>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$156.5</w:t>
      </w:r>
    </w:p>
    <w:p>
      <w:pPr>
        <w:ind w:left="28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940" w:space="720"/>
            <w:col w:w="1940"/>
          </w:cols>
          <w:pgMar w:left="220" w:top="792" w:right="1079"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RESULTS OF OPERATIONS - THREE YEARS ENDED DECEMBER 31, 2002</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GENERAL Results of operations as shown in the accompanying financial statements are prepared in accordance with generally accepted accounting principles. Many investors and analysts focus on "core earnings" of companies, setting aside certain items included in net earnings such as realized gains and losses, the cumulative effect of accounting changes and certain other unusual items. Realized gains and losses are excluded from "core earnings" because they are unpredictable and not necessarily indicative of current operating fundamentals. Other items such as the 2002 asbestos litigation settlement and tax resolution benefits and the 2001 special A&amp;E charge and World Trade Center losses are excluded to assist investors in analyzing their impact on the trend in operating results. Nonetheless, these items are significant components of AFC's overall financial results.</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The following table shows AFC's net earnings as stated in the Statement of Operations as well as the after-tax effect of other items included in these GAAP measures that are typically excluded in deriving "core earnings" (in millions):</w:t>
      </w:r>
    </w:p>
    <w:p>
      <w:pPr>
        <w:spacing w:after="0" w:line="200" w:lineRule="exact"/>
        <w:rPr>
          <w:sz w:val="20"/>
          <w:szCs w:val="20"/>
          <w:color w:val="auto"/>
        </w:rPr>
      </w:pPr>
    </w:p>
    <w:p>
      <w:pPr>
        <w:spacing w:after="0" w:line="29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$94.4</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 tax income (expense) items included in</w:t>
            </w: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w:t>
            </w: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Asbestos litigation settlement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 resolution benefits</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31.0</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A&amp;E charge and WTC losses</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losses from investee corporations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(91.4)</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Realized investment gains (losses)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accounting changes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addition to the effects of items shown in the table above, net earnings increased in 2002 primarily due to significantly improved underwriting results and income from the sale of real estate, partially offset by reduced earnings in the annuity and life operations. Net earnings for 2001 and 2000 include goodwill amortization expense of $13.8 million and $16.5 million, respectively.</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Aside from the asbestos charges and losses from the World Trade Center, underwriting results improved in 2001 but were partially offset by a $15 million charge to increase reserves for environmental costs related to certain former operations.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PROPERTY AND CASUALTY INSURANCE - UNDERWRITING AFC's property and casualty operations have consisted of two major business groups: Specialty and Personal. See Note P, "Subsequent Events", to the Financial Statements for a discussion of the sale of nearly all of the Personal group.</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Specialty group includes a highly diversified group of business lines. Some of the more significant areas are inland and ocean marine, California workers' compensation, agricultural-related coverages, executive and professional liability, fidelity and surety bonds, collateral protection, and umbrella and excess coverages.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Personal group sells nonstandard and preferred/standard private passenger auto insurance and, to a lesser extent, homeowners' insurance. Nonstandard automobile insurance covers risks not typically accepted for standard automobile coverage because of the applicant's driving record, type of vehicle, age or other criteria.</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To understand the overall profitability of particular lines, the timing of claims payments and the related impact of investment income must be considered. Certain "short-tail" lines of business (primarily property coverages) have quick loss payouts which reduce the time funds are held, thereby limiting investment income earned thereon. On the other hand, "long-tail" lines of business (primarily liability coverages and workers' compensation) have payouts that are either structured over many years or take many years to settle, thereby significantly increasing investment income earned on related premiums received.</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39"/>
          </w:cols>
          <w:pgMar w:left="220" w:top="617" w:right="1440" w:bottom="1440" w:gutter="0" w:footer="0" w:header="0"/>
        </w:sectPr>
      </w:pPr>
    </w:p>
    <w:bookmarkStart w:id="96" w:name="page97"/>
    <w:bookmarkEnd w:id="96"/>
    <w:p>
      <w:pPr>
        <w:ind w:right="3239" w:firstLine="437"/>
        <w:spacing w:after="0" w:line="236" w:lineRule="auto"/>
        <w:rPr>
          <w:sz w:val="20"/>
          <w:szCs w:val="20"/>
          <w:color w:val="auto"/>
        </w:rPr>
      </w:pPr>
      <w:r>
        <w:rPr>
          <w:rFonts w:ascii="Courier New" w:cs="Courier New" w:eastAsia="Courier New" w:hAnsi="Courier New"/>
          <w:sz w:val="15"/>
          <w:szCs w:val="15"/>
          <w:color w:val="auto"/>
        </w:rPr>
        <w:t>Underwriting profitability is measured by the combined ratio which is a sum of the ratios of underwriting losses, loss adjustment expenses, underwriting expenses and policyholder dividends to premiums. When the combined ratio is under 100%, underwriting results are generally considered profitable; when the ratio is over 100%, underwriting results are generally considered unprofitable. The combined ratio does not reflect investment income, other income or federal income taxes.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certain lines of business and products where the credibility of the range of loss projections is less certain (primarily many of the various specialty businesses listed above), management believes that it is prudent and appropriate to use conservative assumptions until such time as the data, experience and projections have more credibility, as evidenced by data volume, consistency and maturity of the data. While this practice mitigates the risk of adverse development on this business, it does not eliminate it.</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While AFC desires and seeks to earn an underwriting profit on all of its business, it is not always possible to do so. As a result, AFC attempts to expand in the most profitable areas and control growth or even reduce its involvement in the least profitable ones.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Since mid-2000, AFC has been actively realigning its mix of business and resetting its rate structure with a goal of achieving underwriting profits, even if it entails sacrificing volume. Management believes these efforts have been successful and expects further improvement in underwriting profitability in 2003 resulting from these strategic actions.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AFC's combined ratio has been better than the industry average for sixteen of the last seventeen years and, excluding AFC's special A&amp;E charges, for all seventeen years. AFC's insurance operations have performed better than the industry by focusing on growth opportunities in the more profitable areas of its specialty and nonstandard auto businesses.</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Net written premiums and combined ratios for AFC's property and casualty insurance subsidiaries were as follows (dollars in millions):</w:t>
      </w: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5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Written Premiums (GAAP)</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Specialty</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$2,713</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$2,236</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$1,889</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Personal</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1,221</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1,284</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1,339</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Lines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5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$3,935</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$3,520</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$3,231</w:t>
            </w:r>
          </w:p>
        </w:tc>
      </w:tr>
      <w:tr>
        <w:trPr>
          <w:trHeight w:val="168"/>
        </w:trPr>
        <w:tc>
          <w:tcPr>
            <w:tcW w:w="35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Written Premiums (GAAP)</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Specialty</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$1,577</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$1,542</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$1,324</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Personal</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836</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(a)</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1,040</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1,311</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Lines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5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$2,414</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$2,582</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$2,638</w:t>
            </w:r>
          </w:p>
        </w:tc>
      </w:tr>
      <w:tr>
        <w:trPr>
          <w:trHeight w:val="168"/>
        </w:trPr>
        <w:tc>
          <w:tcPr>
            <w:tcW w:w="35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 Ratios (GAAP)</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Specialty</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98.4%</w:t>
            </w:r>
          </w:p>
        </w:tc>
        <w:tc>
          <w:tcPr>
            <w:tcW w:w="44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101.7%(b)</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Personal</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99.8</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108.6</w:t>
            </w:r>
          </w:p>
        </w:tc>
      </w:t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Aggregate (including discontinued lines)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101.1%(c)</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108.8%(c)</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108.0%</w:t>
            </w:r>
          </w:p>
        </w:tc>
      </w:tr>
    </w:tbl>
    <w:p>
      <w:pPr>
        <w:spacing w:after="0" w:line="341" w:lineRule="exact"/>
        <w:rPr>
          <w:sz w:val="20"/>
          <w:szCs w:val="20"/>
          <w:color w:val="auto"/>
        </w:rPr>
      </w:pPr>
    </w:p>
    <w:p>
      <w:pPr>
        <w:ind w:left="700" w:right="3579" w:hanging="428"/>
        <w:spacing w:after="0" w:line="235"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ceding of $375 million and $220 million in premiums in 2002 and 2001, respectively under a reinsurance agreement (effective April 1, 2001).</w:t>
      </w:r>
    </w:p>
    <w:p>
      <w:pPr>
        <w:spacing w:after="0" w:line="5" w:lineRule="exact"/>
        <w:rPr>
          <w:rFonts w:ascii="Courier New" w:cs="Courier New" w:eastAsia="Courier New" w:hAnsi="Courier New"/>
          <w:sz w:val="15"/>
          <w:szCs w:val="15"/>
          <w:color w:val="auto"/>
        </w:rPr>
      </w:pPr>
    </w:p>
    <w:p>
      <w:pPr>
        <w:ind w:left="700" w:right="3939" w:hanging="428"/>
        <w:spacing w:after="0" w:line="234"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 for 2001 relating to the attack on the World Trade Center.</w:t>
      </w:r>
    </w:p>
    <w:p>
      <w:pPr>
        <w:spacing w:after="0" w:line="5" w:lineRule="exact"/>
        <w:rPr>
          <w:rFonts w:ascii="Courier New" w:cs="Courier New" w:eastAsia="Courier New" w:hAnsi="Courier New"/>
          <w:sz w:val="15"/>
          <w:szCs w:val="15"/>
          <w:color w:val="auto"/>
        </w:rPr>
      </w:pPr>
    </w:p>
    <w:p>
      <w:pPr>
        <w:jc w:val="both"/>
        <w:ind w:left="700" w:right="3499" w:hanging="428"/>
        <w:spacing w:after="0" w:line="235"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 for 2002 relating to the A.P. Green asbestos litigation charge and 4.8% for 2001 relating to the A&amp;E charge and the attack on the World Trade Center.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39"/>
          </w:cols>
          <w:pgMar w:left="220" w:top="960" w:right="1440" w:bottom="1440" w:gutter="0" w:footer="0" w:header="0"/>
        </w:sectPr>
      </w:pPr>
    </w:p>
    <w:bookmarkStart w:id="97" w:name="page98"/>
    <w:bookmarkEnd w:id="97"/>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 shown in Note N under "Insurance Reserves," AFC's property and casualty operations recorded loss development of $171 million in 2002 and $163 million in 2001 related to prior accident years. Major areas of adverse development were as follows (in millions):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416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Asbestos</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liability</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liability</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Personal lines</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discontinued specialty businesses</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16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416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240" w:hanging="443"/>
        <w:spacing w:after="0"/>
        <w:tabs>
          <w:tab w:leader="none" w:pos="12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are immaterial and included in Other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"Asbestos" development was due primarily to charges for settlement of litigation (2002) and the special $100 million A&amp;E charge (2001), both of which are discussed below. See "UNCERTAINTIES - ASBESTOS AND ENVIRONMENTAL-RELATED RESERVES" for additional information about these claims.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"Executive liability" development resulted primarily from claim severity on policy coverages for 1999 and 2000. Both settlement costs and defense costs related to shareholder lawsuits have increased beyond estimates.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"Other liability" development was the result of an unexpected shift of the judicial climate in some previously relatively conservative states. Verdicts, judgments, and settlements have increased and reserves were adjusted accordingly.</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the "Personal lines," personal injury and uninsured motorist claims have experienced increased severity. During 2002, claims remained open longer and settlement amounts have been higher than in previous years.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Development in the "Other discontinued specialty businesses" related primarily to excess casualty and homebuilders' product liability. During 2002, both experienced higher frequency of claims, primarily related to the 1999 and 2000 accident years for the excess casualty line, and 1993 through 2001 for the homebuilders' liability. Development in 2001, and to a lesser extent in 2002, was affected by increased severity in excess casualty resulting from a rigorous claims review of case reserves established by former management.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"Other" development represents an aggregation of all other lines. While both increases and decreases occurred in these individual lines, none experienced development greater than the smallest listed in the table above. Aggregate adverse development in the "Other" lines was approximately $44 million in 2002, and $25 million in 2001. Aggregate positive development was $25 million in 2002 and $28 million in 2001.</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ASBESTOS LITIGATION SETTLEMENT CHARGE As more fully discussed under "UNCERTAINTIES - ASBESTOS AND ENVIRONMENTAL-RELATED RESERVES," AFC recorded a fourth quarter 2002 pretax charge of $30 million related to the settlement of asbestos-related coverage litigation.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2001 SPECIAL A&amp;E CHARGE During the third quarter of 2001, AFC recorded an A&amp;E charge of $100 million after experiencing an increase in the number and severity of asbestos claims and observing the developments of adverse trends in the property and casualty insurance industry concerning asbestos losses. This charge, accompanied by a transfer of $36 million from excess reserves for other environmental claims, resulted in an increase of $136 million in asbestos reserves. FOR A DISCUSSION OF UNCERTAINTIES RELATIVE TO ASBESTOS AND ENVIRONMENTAL CLAIMS, SEE "UNCERTAINTIES -ASBESTOS AND ENVIRONMENTAL-RELATED RESERVES".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39"/>
          </w:cols>
          <w:pgMar w:left="220" w:top="960" w:right="1440" w:bottom="1440" w:gutter="0" w:footer="0" w:header="0"/>
        </w:sectPr>
      </w:pPr>
    </w:p>
    <w:bookmarkStart w:id="98" w:name="page99"/>
    <w:bookmarkEnd w:id="98"/>
    <w:p>
      <w:pPr>
        <w:ind w:right="3239" w:firstLine="437"/>
        <w:spacing w:after="0" w:line="255" w:lineRule="auto"/>
        <w:rPr>
          <w:sz w:val="20"/>
          <w:szCs w:val="20"/>
          <w:color w:val="auto"/>
        </w:rPr>
      </w:pPr>
      <w:r>
        <w:rPr>
          <w:rFonts w:ascii="Courier New" w:cs="Courier New" w:eastAsia="Courier New" w:hAnsi="Courier New"/>
          <w:sz w:val="14"/>
          <w:szCs w:val="14"/>
          <w:color w:val="auto"/>
        </w:rPr>
        <w:t>SPECIALTY The Specialty group's gross written premiums increased 21% in 2002 compared to 2001, reflecting the effect of rate increases and the volume growth in certain businesses, partially offset by planned reductions in less profitable lines of business. Specialty rate increases averaged about 27% during 2002 and are targeted to be 25% or more going into 2003. Net written premiums increased 2% in 2002 compared to 2001. Strong growth in gross written premiums was offset by the impact of expanding the Personal group automobile physical damage reinsurance agreement discussed below to include several Specialty business lines as well as increased reinsurance coverage in certain other lines.</w:t>
      </w:r>
    </w:p>
    <w:p>
      <w:pPr>
        <w:spacing w:after="0" w:line="16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Excluding the effect of the attack on the World Trade Center, the Specialty group's combined ratio improved 1.5 points for 2002. The improvement reflects strategic changes in the mix of specialty businesses and the impact of rate increases, partially offset by the effects of prior year loss development.</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Specialty group's increase in gross and net written premiums in 2001 reflects the impact of rate increases implemented in 2000 and 2001 and the realization of growth opportunities in certain commercial markets, partially offset by the decision to discontinue certain lines of business that were not achieving adequate returns. Specialty rate increases averaged over 20% in 2001. The improvement in the combined ratio compared to 2000 reflects the impact of rate increases and unusually strong results in several businesses. Due primarily to adverse development in prior year losses, AFC recorded a $35 million pretax charge in 2000 to strengthen loss reserves in its California workers' compensation business (a combined ratio effect of 2.9 points). Excluding the effect of the attack on the World Trade Center, the Specialty group reported an underwriting profit with a combined ratio of 99.9% for 2001.</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PERSONAL The Personal group's gross written premiums for 2002 decreased about 5% compared to 2001 due primarily to intentional reductions in new business volume in certain non-core markets and through the direct channel, partially offset by the effect of continuing rate increases and volume growth in target markets. Rate increases implemented in 2002 were approximately 10%.</w:t>
      </w:r>
    </w:p>
    <w:p>
      <w:pPr>
        <w:spacing w:after="0" w:line="17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Since April 2001, AFC has reinsured 90% of the automobile physical damage business written by certain of its insurance subsidiaries. In September 2002, AFC's use of the existing agreement was expanded to include physical damage business written through the agency channel of Great American Insurance pool companies. This agreement enables AFC to reallocate some of its capital to the more profitable specialty operations. The decline in net written premiums in 2001 and 2002 reflects the impact of this reinsurance agreement.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Due primarily to rate increases and a $12.6 million reduction in marketing and media cost of the direct business, the Personal group's combined ratio improved by 8.1 points compared to 2001. More than 80% of the Personal group's business is written by the insurance operations included in the recent public offering of Infinity Property and Casualty Corporation. Business written through these operations achieved an underwriting profit with a combined ratio of 96.1% for 2002.</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Personal group's gross written premiums declined about 4% in 2001 compared to 2000 as lower business volume was partially offset by the impact of significant rate increases in 2000 and 2001. The group implemented rate increases of about 14% in 2001. As a result of rate increases in 2001 and 2000, the combined ratio improved to 107.9% for 2001.</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LIFE, ACCIDENT AND HEALTH PREMIUMS AND BENEFITS Life, accident and health premiums and benefits increased in 2002 due primarily to the acquisition of Manhattan National Life ("MNL") in June 2002 and increased in 2001 due primarily to the acquisition of a block of supplemental health insurance business in November 2000. In addition to these acquisitions, life, accident and health benefits for 2002 reflect the effects of adverse mortality in GAFRI's life insurance operations.</w:t>
      </w:r>
    </w:p>
    <w:p>
      <w:pPr>
        <w:spacing w:after="0" w:line="176"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INVESTMENT INCOME Changes in investment income reflect fluctuations in market rates and changes in average invested assets. Investment income increased in 2002 and 2001 due primarily to higher average investment in fixed maturity securities, partially offset by lower average yields on those investments.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39"/>
          </w:cols>
          <w:pgMar w:left="220" w:top="960" w:right="1440" w:bottom="1440" w:gutter="0" w:footer="0" w:header="0"/>
        </w:sectPr>
      </w:pPr>
    </w:p>
    <w:bookmarkStart w:id="99" w:name="page100"/>
    <w:bookmarkEnd w:id="99"/>
    <w:p>
      <w:pPr>
        <w:ind w:right="3239"/>
        <w:spacing w:after="0" w:line="236" w:lineRule="auto"/>
        <w:rPr>
          <w:sz w:val="20"/>
          <w:szCs w:val="20"/>
          <w:color w:val="auto"/>
        </w:rPr>
      </w:pPr>
      <w:r>
        <w:rPr>
          <w:rFonts w:ascii="Courier New" w:cs="Courier New" w:eastAsia="Courier New" w:hAnsi="Courier New"/>
          <w:sz w:val="15"/>
          <w:szCs w:val="15"/>
          <w:color w:val="auto"/>
        </w:rPr>
        <w:t>GAINS (LOSSES) ON SECURITIES Realized gains (losses) on sales of securities include provisions for other than temporary impairment of securities still held of $179.4 million in 2002, $125.5 million in 2001 and $27.5 million in 2000. The provision for 2001 includes $8 million for the writedown of AFC's investment in Chiquita from $1.00 per share to $.67 per share.</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Realized gains (losses) on securities include losses of $11.9 million in 2002, and gains of $5.2 million in 2001 and $1.5 million in the fourth quarter of 2000 to adjust the carrying value of AFC's investment in warrants to market value under SFAS No. 133.</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GAINS ON SALES OF SUBSIDIARIES See Note P, to the financial statements for a discussion of the anticipated loss in connection with the 2003 public offering of Infinity.</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 2002, AFC recognized a $10.8 million pretax loss on the disposal of its New Jersey private passenger auto business.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2001, AFC recognized a $7.1 million pretax gain on the sale of a small insurance subsidiary. In connection with the sale of the Japanese division in 2001, AFC recognized a $6.9 million pretax loss and deferred a gain of approximately $21 million on ceded insurance which is being recognized over the estimated settlement period (weighted average of 4 years) of the ceded claims.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2000, AFC recognized (i) a $25 million pretax gain representing an earn-out related to the 1998 sale of its Commercial lines division, (ii) a $10.3 million pretax loss on the sale of Stonewall Insurance Company and (iii) a $10.7 million estimated pretax loss related to the agreement to sell its Japanese division (completed in 2001).</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GAIN ON SALE OF OTHER INVESTMENTS In September 2000, GAFRI realized a $27.2 million pretax gain on the sale of its minority ownership in a company engaged in the production of ethanol. GAFRI's investment was repurchased by the ethanol company which, following the purchase, became wholly-owned by AFC's Chairman.</w:t>
      </w:r>
    </w:p>
    <w:p>
      <w:pPr>
        <w:spacing w:after="0" w:line="164"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REAL ESTATE OPERATIONS AFC's subsidiaries are engaged in a variety of real estate operations including hotels, apartments, office buildings and recreational facilities; they also own several parcels of land. Revenues and expenses of these operations, including gains and losses on disposal, are included in AFC's statement of operations as shown below (in millions).</w:t>
      </w:r>
    </w:p>
    <w:p>
      <w:pPr>
        <w:spacing w:after="0" w:line="200" w:lineRule="exact"/>
        <w:rPr>
          <w:sz w:val="20"/>
          <w:szCs w:val="20"/>
          <w:color w:val="auto"/>
        </w:rPr>
      </w:pPr>
    </w:p>
    <w:p>
      <w:pPr>
        <w:spacing w:after="0" w:line="29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4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680" w:type="dxa"/>
            <w:vAlign w:val="bottom"/>
          </w:tcPr>
          <w:p>
            <w:pPr>
              <w:spacing w:after="0"/>
              <w:rPr>
                <w:sz w:val="14"/>
                <w:szCs w:val="14"/>
                <w:color w:val="auto"/>
              </w:rPr>
            </w:pP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4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$115.0</w:t>
            </w:r>
          </w:p>
        </w:tc>
        <w:tc>
          <w:tcPr>
            <w:tcW w:w="14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$102.6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operating and general expenses</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71.7</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64.9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charges on borrowed money</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2.6</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expense, net</w:t>
            </w:r>
          </w:p>
        </w:tc>
        <w:tc>
          <w:tcPr>
            <w:tcW w:w="14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Other income includes net pretax gains on the sale of real estate assets of $31.0 million in 2002, $27.2 million in 2001 and $12.4 million in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2002 COMPARED TO 2001 Other income increased $38.7 million (18%) in 2002 due primarily to higher income from real estate operations (including the effect of property sales and a hotel acquired in May 2002), increased fees earned by the Specialty group's new warranty business and higher fee income in certain other specialty insurance operations.</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2001 COMPARED TO 2000 Other income declined in 2001 compared to 2000 due primarily to the absence of income from the sale of lease rights, lease residuals and other operating assets.</w:t>
      </w:r>
    </w:p>
    <w:p>
      <w:pPr>
        <w:spacing w:after="0" w:line="17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ANNUITY BENEFITS For GAAP financial reporting purposes, annuity receipts are accounted for as interest-bearing deposits ("annuity benefits accumulated") rather than as revenues. Under these contracts, policyholders' funds are credited with interest on a tax-deferred basis until withdrawn by the policyholder. Annuity benefits reflect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39"/>
          </w:cols>
          <w:pgMar w:left="220" w:top="960" w:right="1440" w:bottom="1440" w:gutter="0" w:footer="0" w:header="0"/>
        </w:sectPr>
      </w:pPr>
    </w:p>
    <w:bookmarkStart w:id="100" w:name="page101"/>
    <w:bookmarkEnd w:id="100"/>
    <w:p>
      <w:pPr>
        <w:ind w:right="3239"/>
        <w:spacing w:after="0" w:line="255" w:lineRule="auto"/>
        <w:rPr>
          <w:sz w:val="20"/>
          <w:szCs w:val="20"/>
          <w:color w:val="auto"/>
        </w:rPr>
      </w:pPr>
      <w:r>
        <w:rPr>
          <w:rFonts w:ascii="Courier New" w:cs="Courier New" w:eastAsia="Courier New" w:hAnsi="Courier New"/>
          <w:sz w:val="14"/>
          <w:szCs w:val="14"/>
          <w:color w:val="auto"/>
        </w:rPr>
        <w:t>amounts accrued on annuity policyholders' funds accumulated. The rate at which GAFRI credits interest on most of its annuity policyholders' funds is subject to change based on management's judgment of market conditions. Historically, management has been able to react to changes in market interest rates and maintain a desired interest rate spread. The recent interest rate environment has resulted in spread compression which could continue at least through 2003. In 2000, annuity benefits also includes a second quarter charge of $14.2 million related to the settlement of a policyholder class action lawsuit.</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its deferred annuities (annuities in the accumulation phase), GAFRI generally credits interest to policyholders' accounts at their current stated "surrender" interest rates. Furthermore, for "two-tier" deferred annuities (annuities under which a higher interest amount can be earned if a policy is annuitized rather than surrendered), GAFRI accrues an additional liability to provide for expected deaths and annuitizations. Changes in crediting rates, actual surrender, death and annuitization experience or modifications in actuarial assumptions can affect this accrual. In 2002, this accrual was reduced by approximately $2 million due to decreases in crediting rates on certain fixed annuity products, partially offset by a modification in projected investment yields. Significant changes in projected investment yields could result in additional benefits or charges to earnings.</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ANNUITY AND LIFE ACQUISITION EXPENSES Annuity and life acquisition expenses include amortization of annuity and life, accident and health deferred policy acquisition costs ("DPAC") as well as a portion of commissions on sales of insurance products. Annuity and life acquisition expenses also include amortization of the present value of future profits of businesses acquired.</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2002 COMPARED TO 2001 The increase in annuity and life acquisition expenses in 2002 compared to 2001 reflects (i) a writeoff of DPAC; (ii) the amortization costs associated with GAFRI's purchase of MNL in June 2002 and (iii) higher commission expense due to GAFRI's growth in premiums. Included in 2002 and 2001 were DPAC writeoffs related to variable annuities of $13.5 million and $3.0 million, respectively, resulting from the actual performance of the equity markets and a reduction of assumed future returns. Poor performance in the equity markets could lead to additional DPAC writeoffs or a charge to earnings in order to accrue for guaranteed minimum death benefits included in the variable products. (See "PROPOSED ACCOUNTING STANDARD"). Included in 2002 is a DPAC writeoff of $4 million related primarily to adverse mortality in GAFRI's life operations. Partially offsetting the DPAC writeoffs in 2002 was a reduction of approximately $7 million in DPAC amortization on fixed annuities relating to decreases in crediting rates on certain fixed annuity products. Continued adverse mortality could lead to additional DPAC writeoffs. Significant changes in projected investment yields could result in additional benefits or charges to earnings.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2001 COMPARED TO 2000 The increase in annuity and life acquisition expenses resulted primarily from (i) increased lapses and increased sales of traditional life insurance and (ii) the effect of the equity markets on variable annuity DPAC.</w:t>
      </w:r>
    </w:p>
    <w:p>
      <w:pPr>
        <w:spacing w:after="0" w:line="175"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INTEREST ON BORROWED MONEY Changes in interest expense result from fluctuations in market rates as well as changes in borrowings. AFC has generally financed its borrowings on a long-term basis which has resulted in higher current costs.</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2002 COMPARED TO 2001 Interest expense decreased significantly in 2002 as lower average rates on AFC's variable rate debt (including AFC's payable to AFG) more than offset the effect of higher average indebtedness and higher average payable to reinsurers balances.</w:t>
      </w:r>
    </w:p>
    <w:p>
      <w:pPr>
        <w:spacing w:after="0" w:line="1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2001 COMPARED TO 2000 Interest expense decreased in 2001 as lower average interest rates on AFC's variable rate debt and lower average subsidiary indebtedness more than offset higher average borrowings under the AFC bank line.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OPERATING AND GENERAL EXPENSES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2002 COMPARED TO 2001 Other operating and general expenses for 2001 include goodwill amortization of $13.8 million. Under SFAS No. 142, which was implemented January 1, 2002, goodwill is no longer amortized. Excluding 2001 goodwill</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39"/>
          </w:cols>
          <w:pgMar w:left="220" w:top="960" w:right="1440" w:bottom="1440" w:gutter="0" w:footer="0" w:header="0"/>
        </w:sectPr>
      </w:pPr>
    </w:p>
    <w:bookmarkStart w:id="101" w:name="page102"/>
    <w:bookmarkEnd w:id="101"/>
    <w:p>
      <w:pPr>
        <w:ind w:right="3239"/>
        <w:spacing w:after="0" w:line="255" w:lineRule="auto"/>
        <w:rPr>
          <w:sz w:val="20"/>
          <w:szCs w:val="20"/>
          <w:color w:val="auto"/>
        </w:rPr>
      </w:pPr>
      <w:r>
        <w:rPr>
          <w:rFonts w:ascii="Courier New" w:cs="Courier New" w:eastAsia="Courier New" w:hAnsi="Courier New"/>
          <w:sz w:val="14"/>
          <w:szCs w:val="14"/>
          <w:color w:val="auto"/>
        </w:rPr>
        <w:t>amortization, other operating and general expenses increased $36.0 million (10%) in 2002. Expenses of the Specialty group's new warranty business, higher expenses in real estate operations (due primarily to the acquisition of a new hotel in May 2002) and higher expenses related to growth in certain other Specialty operations were partially offset by lower charges for environmental reserves related to former operations and lower IT-related expenses.</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2001 COMPARED TO 2000 Excluding the 2000 litigation charges discussed below, other operating and general expenses increased $12.0 million (3%) due primarily to a $14.8 million increase in environmental reserves related to former operations.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Other operating and general expenses for 2000 include second quarter charges of $18.3 million related to an agreement to settle a lawsuit against a GAFRI subsidiary and $8.8 million for an adverse California Supreme Court ruling against an AFC property and casualty subsidiary.</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INCOME TAXES The 2002 provision for income taxes includes $31 million in tax benefits for the reduction of previously accrued amounts due to the resolution of certain tax matters. See Note J to the Financial Statements for an analysis of items affecting AFC's effective tax rate.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INVESTEE CORPORATIONS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START-UP MANUFACTURING BUSINESSES AFC's pretax operating earnings for 2000 include losses of $6.7 million from two start-up manufacturing businesses acquired in 2000 from their former owners. AFC sold the equity interests in these businesses in the fourth quarter of 2000 for a nominal cash consideration plus warrants to repurchase a significant ownership interest. Due to the absence of significant financial investment by the buyers relative to the amount of loans ($61.5 million at December 31, 2000) owed to AFC subsidiaries, AFC retained the financial risk in these businesses and continued accounting for their operations under the equity method as investees.</w:t>
      </w:r>
    </w:p>
    <w:p>
      <w:pPr>
        <w:spacing w:after="0" w:line="16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Beginning in the fourth quarter of 2000, AFC's equity in the results of operations of these businesses is included in investee earnings. In 2002, 2001 and 2000, equity in net losses of investee corporations includes $9.0 million, $16.6 million and $4.1 million, respectively, in losses of these businesses.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Investee losses in 2001 include litigation judgments of $4.7 million against one of these companies. In December 2002, this company sold its fixed assets, ceased operations and transferred approximately $30 million in cash and other assets to AFC. The amount transferred approximated AFC's carrying value of loans to this business. Amounts included in equity in net losses of investee corporations for this business were $5.4 million in 2002, $13.7 million in 2001 and $3.1 million in 2000.</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CHIQUITA Equity in net losses of investee corporations for 2000 includes AFC's proportionate share of the results of Chiquita Brands International. Chiquita reported net losses attributable to common shareholders of $112 million in 2000.</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Equity in net losses of investees for 2000 includes a $95.7 million pretax charge to writedown AFC's investment in Chiquita to a market value of approximately $1 per share. In 2001, AFC suspended accounting for Chiquita under the equity method due to Chiquita's pending restructuring. In March 2002, Chiquita completed its reorganization under Chapter 11 of the U.S. Bankruptcy Code. As a result of the restructuring, AFC's ownership percentage of Chiquita was reduced to less than one-half of 1%.</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CUMULATIVE EFFECT OF ACCOUNTING CHANGES Effective January 1, 2002, AFC implemented Statement of Financial Accounting Standards ("SFAS") No. 142, "Goodwill and Other Intangible Assets", under which goodwill is no longer amortized, but is subject to an impairment test at least annually. The initial impairment testing resulted in a charge of $40.4 million (net of minority interest and taxes) for the cumulative effect of a change in accounting principle.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39"/>
          </w:cols>
          <w:pgMar w:left="220" w:top="960" w:right="1440" w:bottom="1440" w:gutter="0" w:footer="0" w:header="0"/>
        </w:sectPr>
      </w:pPr>
    </w:p>
    <w:bookmarkStart w:id="102" w:name="page103"/>
    <w:bookmarkEnd w:id="102"/>
    <w:p>
      <w:pPr>
        <w:ind w:right="3319" w:firstLine="437"/>
        <w:spacing w:after="0" w:line="256" w:lineRule="auto"/>
        <w:rPr>
          <w:sz w:val="20"/>
          <w:szCs w:val="20"/>
          <w:color w:val="auto"/>
        </w:rPr>
      </w:pPr>
      <w:r>
        <w:rPr>
          <w:rFonts w:ascii="Courier New" w:cs="Courier New" w:eastAsia="Courier New" w:hAnsi="Courier New"/>
          <w:sz w:val="14"/>
          <w:szCs w:val="14"/>
          <w:color w:val="auto"/>
        </w:rPr>
        <w:t>In 2001, the cumulative effect of accounting change represents the implementation of a new accounting standard (EITF 99-20) which resulted in a writedown of $10.0 million (net of minority interest and taxes) of the carrying value of certain collateralized debt obligations as of April 1, 2001.</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October 2000, AFC implemented Statement of Financial Accounting Standards No. 133, "Accounting for Derivative Instruments and Hedging Activities", which requires all derivatives to be recognized in the balance sheet at fair value and that the initial effect of recognizing derivatives at fair value be reported as a cumulative effect of a change in accounting principle. Accordingly, AFC recorded a charge of $9.1 million (net of minority interest and taxes) to record its derivatives at fair value at the beginning of the fourth quarter of 2000.</w:t>
      </w:r>
    </w:p>
    <w:p>
      <w:pPr>
        <w:spacing w:after="0" w:line="177"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RECENT ACCOUNTING STANDARDS The following accounting standards have been or may be implemented by AFC. The implementation of these standards is discussed under various subheadings of Note A to the Financial Statements; effects of each are shown in the relevant 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Accounting</w:t>
            </w:r>
          </w:p>
        </w:tc>
        <w:tc>
          <w:tcPr>
            <w:tcW w:w="416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Standard</w:t>
            </w:r>
          </w:p>
        </w:tc>
        <w:tc>
          <w:tcPr>
            <w:tcW w:w="41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Subject of Standard (Year Implemented)</w:t>
            </w: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Reference</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1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spacing w:after="0"/>
              <w:rPr>
                <w:sz w:val="20"/>
                <w:szCs w:val="20"/>
                <w:color w:val="auto"/>
              </w:rPr>
            </w:pPr>
            <w:r>
              <w:rPr>
                <w:rFonts w:ascii="Courier New" w:cs="Courier New" w:eastAsia="Courier New" w:hAnsi="Courier New"/>
                <w:sz w:val="15"/>
                <w:szCs w:val="15"/>
                <w:color w:val="auto"/>
              </w:rPr>
              <w:t>SFAS #133</w:t>
            </w:r>
          </w:p>
        </w:tc>
        <w:tc>
          <w:tcPr>
            <w:tcW w:w="4160" w:type="dxa"/>
            <w:vAlign w:val="bottom"/>
          </w:tcPr>
          <w:p>
            <w:pPr>
              <w:ind w:left="300"/>
              <w:spacing w:after="0"/>
              <w:rPr>
                <w:sz w:val="20"/>
                <w:szCs w:val="20"/>
                <w:color w:val="auto"/>
              </w:rPr>
            </w:pPr>
            <w:r>
              <w:rPr>
                <w:rFonts w:ascii="Courier New" w:cs="Courier New" w:eastAsia="Courier New" w:hAnsi="Courier New"/>
                <w:sz w:val="15"/>
                <w:szCs w:val="15"/>
                <w:color w:val="auto"/>
              </w:rPr>
              <w:t>Derivatives (2000)</w:t>
            </w:r>
          </w:p>
        </w:tc>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"Derivatives"</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EITF 99-20</w:t>
            </w:r>
          </w:p>
        </w:tc>
        <w:tc>
          <w:tcPr>
            <w:tcW w:w="41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Asset-backed Securities (2001)</w:t>
            </w: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"Investments"</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SFAS #141</w:t>
            </w:r>
          </w:p>
        </w:tc>
        <w:tc>
          <w:tcPr>
            <w:tcW w:w="41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Business Combinations (2001)</w:t>
            </w: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"Business Combinations"</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SFAS #142</w:t>
            </w:r>
          </w:p>
        </w:tc>
        <w:tc>
          <w:tcPr>
            <w:tcW w:w="41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Goodwill and Other Intangibles (2002)</w:t>
            </w: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"Goodwill"</w:t>
            </w:r>
          </w:p>
        </w:tc>
      </w:tr>
    </w:tbl>
    <w:p>
      <w:pPr>
        <w:spacing w:after="0" w:line="200" w:lineRule="exact"/>
        <w:rPr>
          <w:sz w:val="20"/>
          <w:szCs w:val="20"/>
          <w:color w:val="auto"/>
        </w:rPr>
      </w:pPr>
    </w:p>
    <w:p>
      <w:pPr>
        <w:spacing w:after="0" w:line="309"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Other standards issued in recent years did not apply to AFC or had only negligible effects on AFC.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January 2003, the Financial Accounting Standards Board issued Interpretation No.46, Consolidation of Variable Interest Entities ("FIN 46"). This interpretation will require companies to consolidate entities without sufficient equity based on ownership of expected gains and losses. FIN 46 is effective immediately to variable interest entities acquired after January 31, 2003. For entities acquired before that date, the guidance becomes effective for periods beginning after June 15, 2003.</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AFC is currently assessing the application of FIN 46 as it relates to its investments in two collateralized debt obligations ("CDOs"), for which AFC also acts as investment manager. Under the CDOs, securities were issued in various senior and subordinate classes and the proceeds were invested primarily in bank loans, and to a lesser extent, high yield bonds, all of which serve as collateral for the securities issued by the CDOs. None of the collateral was purchased from AFC. The market value of the collateral at December 31, 2002 was approximately $800 million.</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AFC's investments in the two CDOs are subordinate to the senior classes (approximately 92% of the total securities) issued by the CDOs. To the extent there are defaults and unrecoverable losses on the underlying collateral resulting in reduced cash flows, AFC's class would bear losses first. Holders of the CDO debt securities have no recourse against AFC for the liabilities of the CDOs; accordingly, AFC's exposure to loss on these investments is limited to its investment. AFC's investments in the CDOs are carried at estimated market value of $13.7 million at December 31, 2002 and are included in fixed maturities in AFC's balance sheet.</w:t>
      </w:r>
    </w:p>
    <w:p>
      <w:pPr>
        <w:spacing w:after="0" w:line="178"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PROPOSED ACCOUNTING STANDARD GAFRI's variable annuity contracts contain a guaranteed minimum death benefit ("GMDB") (which may exceed the value of the policyholder's account) to be paid if the annuityholder dies before the annuity payout period commences. At December 31, 2002, the aggregate GMDB values (assuming every policyholder died on that date) exceeded the market value of the underlying variable annuities by $233 million. Industry practice varies, but GAFRI does not establish GAAP reserves for this mortality risk. If a proposed accounting standard becomes effective, GAFRI would be required to record a liability for the present value of expected GMDB payments. Initial recognition of a GAAP liability (estimated to be less than 4% of the difference between the underlying market value of the variable annuities and GMDB value) would be accounted for as the cumulative effect of a change in accounting principles. Death benefits paid in excess of the variable annuity account balance were $1.1 million in 2002.</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39"/>
          </w:cols>
          <w:pgMar w:left="220" w:top="960" w:right="1440" w:bottom="1440" w:gutter="0" w:footer="0" w:header="0"/>
        </w:sectPr>
      </w:pPr>
    </w:p>
    <w:bookmarkStart w:id="103" w:name="page104"/>
    <w:bookmarkEnd w:id="103"/>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AMERICAN FINANCIAL CORPORATION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 of American Financial Corporation and subsidiaries as of December 31, 2002 and 2001, and the related consolidated statements of operations, changes in shareholders' equity and cash flows for each of the three years in the period ended December 31, 2002. Our audits also included the financial statement schedules listed in the Index at Item 15(a). These financial statements and schedules are the responsibility of the Company's management. Our responsibility is to express an opinion on these financial statements and schedules based on our audits.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American Financial Corporation and subsidiaries at December 31, 2002 and 2001, and the consolidated results of their operations and their cash flows for each of the three years in the period ended December 31, 2002, in conformity with accounting principles generally accepted in the United States. Also, in our opinion, the related financial statement schedules, when considered in relation to the basic financial statements taken as a whole, present fairly in all material respects the information set forth therein.</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discussed in Notes A and E to the consolidated financial statements, in 2002, the Company implemented Statement of Financial Accounting Standards No. 142, which required a change in the method of accounting for goodwill.</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Cincinnati, Ohio</w:t>
      </w:r>
    </w:p>
    <w:p>
      <w:pPr>
        <w:spacing w:after="0" w:line="237" w:lineRule="auto"/>
        <w:rPr>
          <w:sz w:val="20"/>
          <w:szCs w:val="20"/>
          <w:color w:val="auto"/>
        </w:rPr>
      </w:pPr>
      <w:r>
        <w:rPr>
          <w:rFonts w:ascii="Courier New" w:cs="Courier New" w:eastAsia="Courier New" w:hAnsi="Courier New"/>
          <w:sz w:val="15"/>
          <w:szCs w:val="15"/>
          <w:color w:val="auto"/>
        </w:rPr>
        <w:t>February 19, 2003</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39"/>
          </w:cols>
          <w:pgMar w:left="220" w:top="785" w:right="1440" w:bottom="1440" w:gutter="0" w:footer="0" w:header="0"/>
        </w:sectPr>
      </w:pPr>
    </w:p>
    <w:bookmarkStart w:id="104" w:name="page105"/>
    <w:bookmarkEnd w:id="104"/>
    <w:p>
      <w:pPr>
        <w:jc w:val="center"/>
        <w:ind w:right="3139"/>
        <w:spacing w:after="0"/>
        <w:rPr>
          <w:sz w:val="20"/>
          <w:szCs w:val="20"/>
          <w:color w:val="auto"/>
        </w:rPr>
      </w:pPr>
      <w:r>
        <w:rPr>
          <w:rFonts w:ascii="Courier New" w:cs="Courier New" w:eastAsia="Courier New" w:hAnsi="Courier New"/>
          <w:sz w:val="15"/>
          <w:szCs w:val="15"/>
          <w:color w:val="auto"/>
        </w:rPr>
        <w:t>AMERICAN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BALANCE SHEET</w:t>
      </w:r>
    </w:p>
    <w:p>
      <w:pPr>
        <w:jc w:val="center"/>
        <w:ind w:right="3219"/>
        <w:spacing w:after="0" w:line="238"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80" w:type="dxa"/>
            <w:vAlign w:val="bottom"/>
          </w:tcPr>
          <w:p>
            <w:pPr>
              <w:jc w:val="right"/>
              <w:ind w:right="1047"/>
              <w:spacing w:after="0"/>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5040" w:type="dxa"/>
            <w:vAlign w:val="bottom"/>
          </w:tcPr>
          <w:p>
            <w:pPr>
              <w:spacing w:after="0"/>
              <w:rPr>
                <w:sz w:val="14"/>
                <w:szCs w:val="14"/>
                <w:color w:val="auto"/>
              </w:rPr>
            </w:pPr>
          </w:p>
        </w:tc>
        <w:tc>
          <w:tcPr>
            <w:tcW w:w="3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c>
          <w:tcPr>
            <w:tcW w:w="2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0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870,797</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543,644</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Investments:</w:t>
            </w:r>
          </w:p>
        </w:tc>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Fixed maturities - at market</w:t>
            </w:r>
          </w:p>
        </w:tc>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(amortized cost - $11,549,710 and $10,593,205)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12,006,910</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10,748,605</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stocks - at market</w:t>
            </w:r>
          </w:p>
        </w:tc>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 $173,933 and $187,810)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299,133</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313,710</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Policy loans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214,852</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211,288</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and other investments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257,731</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262,801</w:t>
            </w:r>
          </w:p>
        </w:tc>
      </w:tr>
      <w:tr>
        <w:trPr>
          <w:trHeight w:val="168"/>
        </w:trPr>
        <w:tc>
          <w:tcPr>
            <w:tcW w:w="50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12,778,626</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11,536,404</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Recoverables from reinsurers and prepaid</w:t>
            </w:r>
          </w:p>
        </w:tc>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reinsurance premiums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2,866,780</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2,286,509</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Agents' balances and premiums receivable</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708,327</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666,171</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Deferred acquisition costs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842,070</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818,323</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306,904</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254,137</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Variable annuity assets (separate accounts)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455,142</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529,590</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Prepaid expenses, deferred charges and other assets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425,127</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451,362</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Goodwill</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248,683</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312,134</w:t>
            </w:r>
          </w:p>
        </w:tc>
      </w:tr>
      <w:tr>
        <w:trPr>
          <w:trHeight w:val="168"/>
        </w:trPr>
        <w:tc>
          <w:tcPr>
            <w:tcW w:w="50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$19,502,456</w:t>
            </w:r>
          </w:p>
        </w:tc>
        <w:tc>
          <w:tcPr>
            <w:tcW w:w="2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$17,398,274</w:t>
            </w:r>
          </w:p>
        </w:tc>
      </w:tr>
      <w:tr>
        <w:trPr>
          <w:trHeight w:val="168"/>
        </w:trPr>
        <w:tc>
          <w:tcPr>
            <w:tcW w:w="50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LIABILITIES AND CAPITAL:</w:t>
            </w:r>
          </w:p>
        </w:tc>
        <w:tc>
          <w:tcPr>
            <w:tcW w:w="14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Unpaid losses and loss adjustment expenses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$ 5,203,831</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$ 4,777,580</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Unearned premiums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1,847,924</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1,640,955</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Annuity benefits accumulated</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6,453,881</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5,832,120</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Life, accident and health reserves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902,393</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638,522</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Payable to reinsurers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508,718</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296,462</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Payable to American Financial Group, Inc.</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310,010</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356,689</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Long-term debt:</w:t>
            </w:r>
          </w:p>
        </w:tc>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Holding companies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267,512</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228,252</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Subsidiaries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296,771</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270,752</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Variable annuity liabilities (separate accounts)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455,142</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529,590</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payable, accrued expenses and other</w:t>
            </w:r>
          </w:p>
        </w:tc>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1,032,079</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888,684</w:t>
            </w:r>
          </w:p>
        </w:tc>
      </w:tr>
      <w:tr>
        <w:trPr>
          <w:trHeight w:val="168"/>
        </w:trPr>
        <w:tc>
          <w:tcPr>
            <w:tcW w:w="50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17,278,261</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15,459,606</w:t>
            </w:r>
          </w:p>
        </w:tc>
      </w:tr>
      <w:tr>
        <w:trPr>
          <w:trHeight w:val="336"/>
        </w:trPr>
        <w:tc>
          <w:tcPr>
            <w:tcW w:w="5040" w:type="dxa"/>
            <w:vAlign w:val="bottom"/>
          </w:tcPr>
          <w:p>
            <w:pPr>
              <w:ind w:left="100"/>
              <w:spacing w:after="0"/>
              <w:rPr>
                <w:sz w:val="20"/>
                <w:szCs w:val="20"/>
                <w:color w:val="auto"/>
              </w:rPr>
            </w:pPr>
            <w:r>
              <w:rPr>
                <w:rFonts w:ascii="Courier New" w:cs="Courier New" w:eastAsia="Courier New" w:hAnsi="Courier New"/>
                <w:sz w:val="15"/>
                <w:szCs w:val="15"/>
                <w:color w:val="auto"/>
              </w:rPr>
              <w:t>Minority interest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494,472</w:t>
            </w:r>
          </w:p>
        </w:tc>
        <w:tc>
          <w:tcPr>
            <w:tcW w:w="2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460,737</w:t>
            </w:r>
          </w:p>
        </w:tc>
      </w:tr>
      <w:tr>
        <w:trPr>
          <w:trHeight w:val="336"/>
        </w:trPr>
        <w:tc>
          <w:tcPr>
            <w:tcW w:w="5040" w:type="dxa"/>
            <w:vAlign w:val="bottom"/>
          </w:tcPr>
          <w:p>
            <w:pPr>
              <w:ind w:left="100"/>
              <w:spacing w:after="0"/>
              <w:rPr>
                <w:sz w:val="20"/>
                <w:szCs w:val="20"/>
                <w:color w:val="auto"/>
              </w:rPr>
            </w:pPr>
            <w:r>
              <w:rPr>
                <w:rFonts w:ascii="Courier New" w:cs="Courier New" w:eastAsia="Courier New" w:hAnsi="Courier New"/>
                <w:sz w:val="15"/>
                <w:szCs w:val="15"/>
                <w:color w:val="auto"/>
              </w:rPr>
              <w:t>Shareholders' Equity:</w:t>
            </w:r>
          </w:p>
        </w:tc>
        <w:tc>
          <w:tcPr>
            <w:tcW w:w="14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 at liquidation value</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72,154</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72,154</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no par value</w:t>
            </w:r>
          </w:p>
        </w:tc>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- 20,000,000 shares authorized</w:t>
            </w:r>
          </w:p>
        </w:tc>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- 10,593,000 shares outstanding</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9,625</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9,625</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surplus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987,539</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984,125</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343,705</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255,127</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gain on marketable securities, net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316,700</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156,900</w:t>
            </w:r>
          </w:p>
        </w:tc>
      </w:tr>
      <w:tr>
        <w:trPr>
          <w:trHeight w:val="168"/>
        </w:trPr>
        <w:tc>
          <w:tcPr>
            <w:tcW w:w="50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1,729,723</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1,477,931</w:t>
            </w:r>
          </w:p>
        </w:tc>
      </w:tr>
      <w:tr>
        <w:trPr>
          <w:trHeight w:val="168"/>
        </w:trPr>
        <w:tc>
          <w:tcPr>
            <w:tcW w:w="50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$19,502,456</w:t>
            </w:r>
          </w:p>
        </w:tc>
        <w:tc>
          <w:tcPr>
            <w:tcW w:w="2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$17,398,274</w:t>
            </w:r>
          </w:p>
        </w:tc>
      </w:tr>
      <w:tr>
        <w:trPr>
          <w:trHeight w:val="168"/>
        </w:trPr>
        <w:tc>
          <w:tcPr>
            <w:tcW w:w="50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39"/>
          </w:cols>
          <w:pgMar w:left="220" w:top="953" w:right="1440" w:bottom="1440" w:gutter="0" w:footer="0" w:header="0"/>
        </w:sectPr>
      </w:pPr>
    </w:p>
    <w:bookmarkStart w:id="105" w:name="page106"/>
    <w:bookmarkEnd w:id="105"/>
    <w:p>
      <w:pPr>
        <w:ind w:left="1500"/>
        <w:spacing w:after="0"/>
        <w:rPr>
          <w:sz w:val="20"/>
          <w:szCs w:val="20"/>
          <w:color w:val="auto"/>
        </w:rPr>
      </w:pPr>
      <w:r>
        <w:rPr>
          <w:rFonts w:ascii="Courier New" w:cs="Courier New" w:eastAsia="Courier New" w:hAnsi="Courier New"/>
          <w:sz w:val="15"/>
          <w:szCs w:val="15"/>
          <w:color w:val="auto"/>
        </w:rPr>
        <w:t>AMERICAN FINANCIAL CORPORATION AND SUBSIDIARIES</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 OF OPERATIONS</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06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47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2002</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casualty insurance premiums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$2,402,600</w:t>
            </w:r>
          </w:p>
        </w:tc>
        <w:tc>
          <w:tcPr>
            <w:tcW w:w="22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$2,593,938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$2,494,892</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Life, accident and health premiums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305,647</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280,122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230,441</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867,618</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859,484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837,361</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Realized gains (losses) on:</w:t>
            </w: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Securities</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(78,935)</w:t>
            </w:r>
          </w:p>
        </w:tc>
        <w:tc>
          <w:tcPr>
            <w:tcW w:w="740" w:type="dxa"/>
            <w:vAlign w:val="bottom"/>
          </w:tcPr>
          <w:p>
            <w:pPr>
              <w:spacing w:after="0"/>
              <w:rPr>
                <w:sz w:val="14"/>
                <w:szCs w:val="14"/>
                <w:color w:val="auto"/>
              </w:rPr>
            </w:pP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(24,140)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(26,581)</w:t>
            </w: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Subsidiaries</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(10,769)</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4,032</w:t>
            </w: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investments</w:t>
            </w:r>
          </w:p>
        </w:tc>
        <w:tc>
          <w:tcPr>
            <w:tcW w:w="1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27,230</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258,560</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219,891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252,735</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3,744,721</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3,929,465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3,820,110</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casualty insurance:</w:t>
            </w: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Losses and loss adjustment expenses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1,814,699</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2,080,057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1,961,538</w:t>
            </w: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Commissions and other underwriting expenses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614,225</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741,396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735,241</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Annuity benefits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300,966</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294,654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293,171</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Life, accident and health benefits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245,271</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213,022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175,174</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Annuity and life acquisition expenses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114,507</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79,297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62,259</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charges on borrowed money</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47,459</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60,556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67,310</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operating and general expenses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412,338</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390,102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405,158</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3,549,465</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3,859,084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3,699,851</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earnings before income taxes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195,256</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70,381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120,259</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23,996</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15,287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32,812</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operating earnings</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171,260</w:t>
            </w:r>
          </w:p>
        </w:tc>
        <w:tc>
          <w:tcPr>
            <w:tcW w:w="740" w:type="dxa"/>
            <w:vAlign w:val="bottom"/>
          </w:tcPr>
          <w:p>
            <w:pPr>
              <w:spacing w:after="0"/>
              <w:rPr>
                <w:sz w:val="24"/>
                <w:szCs w:val="2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55,094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87,447</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Minority interest expense, net of tax</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(27,560)</w:t>
            </w:r>
          </w:p>
        </w:tc>
        <w:tc>
          <w:tcPr>
            <w:tcW w:w="740" w:type="dxa"/>
            <w:vAlign w:val="bottom"/>
          </w:tcPr>
          <w:p>
            <w:pPr>
              <w:spacing w:after="0"/>
              <w:rPr>
                <w:sz w:val="24"/>
                <w:szCs w:val="24"/>
                <w:color w:val="auto"/>
              </w:rPr>
            </w:pPr>
          </w:p>
        </w:tc>
        <w:tc>
          <w:tcPr>
            <w:tcW w:w="14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(25,954)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(18,051)</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losses of investees, net of tax</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(8,990)</w:t>
            </w:r>
          </w:p>
        </w:tc>
        <w:tc>
          <w:tcPr>
            <w:tcW w:w="740" w:type="dxa"/>
            <w:vAlign w:val="bottom"/>
          </w:tcPr>
          <w:p>
            <w:pPr>
              <w:spacing w:after="0"/>
              <w:rPr>
                <w:sz w:val="14"/>
                <w:szCs w:val="14"/>
                <w:color w:val="auto"/>
              </w:rPr>
            </w:pP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(16,550)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(92,449)</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 cumulative effect of</w:t>
            </w: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changes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134,710</w:t>
            </w:r>
          </w:p>
        </w:tc>
        <w:tc>
          <w:tcPr>
            <w:tcW w:w="74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12,590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(23,053)</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changes</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(40,360)</w:t>
            </w:r>
          </w:p>
        </w:tc>
        <w:tc>
          <w:tcPr>
            <w:tcW w:w="740" w:type="dxa"/>
            <w:vAlign w:val="bottom"/>
          </w:tcPr>
          <w:p>
            <w:pPr>
              <w:spacing w:after="0"/>
              <w:rPr>
                <w:sz w:val="14"/>
                <w:szCs w:val="14"/>
                <w:color w:val="auto"/>
              </w:rPr>
            </w:pP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(10,040)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94,350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2,550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   32,125)</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39"/>
          </w:cols>
          <w:pgMar w:left="220" w:top="953" w:right="1440" w:bottom="1440" w:gutter="0" w:footer="0" w:header="0"/>
        </w:sectPr>
      </w:pPr>
    </w:p>
    <w:bookmarkStart w:id="106" w:name="page107"/>
    <w:bookmarkEnd w:id="106"/>
    <w:p>
      <w:pPr>
        <w:jc w:val="center"/>
        <w:ind w:right="4280"/>
        <w:spacing w:after="0"/>
        <w:rPr>
          <w:sz w:val="20"/>
          <w:szCs w:val="20"/>
          <w:color w:val="auto"/>
        </w:rPr>
      </w:pPr>
      <w:r>
        <w:rPr>
          <w:rFonts w:ascii="Courier New" w:cs="Courier New" w:eastAsia="Courier New" w:hAnsi="Courier New"/>
          <w:sz w:val="15"/>
          <w:szCs w:val="15"/>
          <w:color w:val="auto"/>
        </w:rPr>
        <w:t>AMERICAN FINANCIAL CORPORATION AND SUBSIDIARIES</w:t>
      </w:r>
    </w:p>
    <w:p>
      <w:pPr>
        <w:jc w:val="center"/>
        <w:ind w:right="4280"/>
        <w:spacing w:after="0" w:line="237" w:lineRule="auto"/>
        <w:rPr>
          <w:sz w:val="20"/>
          <w:szCs w:val="20"/>
          <w:color w:val="auto"/>
        </w:rPr>
      </w:pPr>
      <w:r>
        <w:rPr>
          <w:rFonts w:ascii="Courier New" w:cs="Courier New" w:eastAsia="Courier New" w:hAnsi="Courier New"/>
          <w:sz w:val="15"/>
          <w:szCs w:val="15"/>
          <w:color w:val="auto"/>
        </w:rPr>
        <w:t>CONSOLIDATED STATEMENT OF CHANGES IN SHAREHOLDERS' EQUITY</w:t>
      </w:r>
    </w:p>
    <w:tbl>
      <w:tblPr>
        <w:tblLayout w:type="fixed"/>
        <w:tblInd w:w="0" w:type="dxa"/>
        <w:tblCellMar>
          <w:top w:w="0" w:type="dxa"/>
          <w:left w:w="0" w:type="dxa"/>
          <w:bottom w:w="0" w:type="dxa"/>
          <w:right w:w="0" w:type="dxa"/>
        </w:tblCellMar>
      </w:tblPr>
      <w:tr>
        <w:trPr>
          <w:trHeight w:val="169"/>
        </w:trPr>
        <w:tc>
          <w:tcPr>
            <w:tcW w:w="4520" w:type="dxa"/>
            <w:vAlign w:val="bottom"/>
          </w:tcPr>
          <w:p>
            <w:pPr>
              <w:ind w:left="2540"/>
              <w:spacing w:after="0" w:line="169" w:lineRule="exact"/>
              <w:rPr>
                <w:sz w:val="20"/>
                <w:szCs w:val="20"/>
                <w:color w:val="auto"/>
              </w:rPr>
            </w:pPr>
            <w:r>
              <w:rPr>
                <w:rFonts w:ascii="Courier New" w:cs="Courier New" w:eastAsia="Courier New" w:hAnsi="Courier New"/>
                <w:sz w:val="15"/>
                <w:szCs w:val="15"/>
                <w:color w:val="auto"/>
                <w:w w:val="98"/>
              </w:rPr>
              <w:t>(DOLLARS IN THOUSANDS)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Unrealized</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Preferred</w:t>
            </w: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And Capital</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Retained</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Gain (Loss)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Stock</w:t>
            </w:r>
          </w:p>
        </w:tc>
        <w:tc>
          <w:tcPr>
            <w:tcW w:w="7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Surplus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on Securities</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w:t>
            </w: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BALANCE AT DECEMBER 31, 1999</w:t>
            </w:r>
          </w:p>
        </w:tc>
        <w:tc>
          <w:tcPr>
            <w:tcW w:w="114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5"/>
              </w:rPr>
              <w:t>$72,154</w:t>
            </w:r>
          </w:p>
        </w:tc>
        <w:tc>
          <w:tcPr>
            <w:tcW w:w="17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$970,407</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$296,246</w:t>
            </w:r>
          </w:p>
        </w:tc>
        <w:tc>
          <w:tcPr>
            <w:tcW w:w="15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($ 14,700)</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$1,324,107</w:t>
            </w: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40" w:type="dxa"/>
            <w:vAlign w:val="bottom"/>
          </w:tcPr>
          <w:p>
            <w:pPr>
              <w:spacing w:after="0"/>
              <w:rPr>
                <w:sz w:val="24"/>
                <w:szCs w:val="24"/>
                <w:color w:val="auto"/>
              </w:rPr>
            </w:pPr>
          </w:p>
        </w:tc>
        <w:tc>
          <w:tcPr>
            <w:tcW w:w="8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24"/>
                <w:szCs w:val="2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( 32,125)</w:t>
            </w:r>
          </w:p>
        </w:tc>
        <w:tc>
          <w:tcPr>
            <w:tcW w:w="360" w:type="dxa"/>
            <w:vAlign w:val="bottom"/>
          </w:tcPr>
          <w:p>
            <w:pPr>
              <w:spacing w:after="0"/>
              <w:rPr>
                <w:sz w:val="24"/>
                <w:szCs w:val="24"/>
                <w:color w:val="auto"/>
              </w:rPr>
            </w:pPr>
          </w:p>
        </w:tc>
        <w:tc>
          <w:tcPr>
            <w:tcW w:w="11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(32,125)</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w:t>
            </w:r>
          </w:p>
        </w:tc>
        <w:tc>
          <w:tcPr>
            <w:tcW w:w="340" w:type="dxa"/>
            <w:vAlign w:val="bottom"/>
          </w:tcPr>
          <w:p>
            <w:pPr>
              <w:spacing w:after="0"/>
              <w:rPr>
                <w:sz w:val="14"/>
                <w:szCs w:val="14"/>
                <w:color w:val="auto"/>
              </w:rPr>
            </w:pPr>
          </w:p>
        </w:tc>
        <w:tc>
          <w:tcPr>
            <w:tcW w:w="8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153,900</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153,900</w:t>
            </w:r>
          </w:p>
        </w:tc>
      </w:tr>
      <w:tr>
        <w:trPr>
          <w:trHeight w:val="168"/>
        </w:trPr>
        <w:tc>
          <w:tcPr>
            <w:tcW w:w="4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121,775</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340" w:type="dxa"/>
            <w:vAlign w:val="bottom"/>
          </w:tcPr>
          <w:p>
            <w:pPr>
              <w:spacing w:after="0"/>
              <w:rPr>
                <w:sz w:val="24"/>
                <w:szCs w:val="24"/>
                <w:color w:val="auto"/>
              </w:rPr>
            </w:pPr>
          </w:p>
        </w:tc>
        <w:tc>
          <w:tcPr>
            <w:tcW w:w="8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24"/>
                <w:szCs w:val="2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(5,772)</w:t>
            </w:r>
          </w:p>
        </w:tc>
        <w:tc>
          <w:tcPr>
            <w:tcW w:w="360" w:type="dxa"/>
            <w:vAlign w:val="bottom"/>
          </w:tcPr>
          <w:p>
            <w:pPr>
              <w:spacing w:after="0"/>
              <w:rPr>
                <w:sz w:val="24"/>
                <w:szCs w:val="24"/>
                <w:color w:val="auto"/>
              </w:rPr>
            </w:pPr>
          </w:p>
        </w:tc>
        <w:tc>
          <w:tcPr>
            <w:tcW w:w="11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(5,772)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Contribution from parent</w:t>
            </w:r>
          </w:p>
        </w:tc>
        <w:tc>
          <w:tcPr>
            <w:tcW w:w="340" w:type="dxa"/>
            <w:vAlign w:val="bottom"/>
          </w:tcPr>
          <w:p>
            <w:pPr>
              <w:spacing w:after="0"/>
              <w:rPr>
                <w:sz w:val="14"/>
                <w:szCs w:val="14"/>
                <w:color w:val="auto"/>
              </w:rPr>
            </w:pPr>
          </w:p>
        </w:tc>
        <w:tc>
          <w:tcPr>
            <w:tcW w:w="8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12,267</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12,267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8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1,739</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1,739</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BALANCE AT DECEMBER 31, 2000</w:t>
            </w:r>
          </w:p>
        </w:tc>
        <w:tc>
          <w:tcPr>
            <w:tcW w:w="114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5"/>
              </w:rPr>
              <w:t>$72,154</w:t>
            </w:r>
          </w:p>
        </w:tc>
        <w:tc>
          <w:tcPr>
            <w:tcW w:w="17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$984,413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$258,349</w:t>
            </w:r>
          </w:p>
        </w:tc>
        <w:tc>
          <w:tcPr>
            <w:tcW w:w="15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$139,200</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$1,454,116</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2,550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w:t>
            </w:r>
          </w:p>
        </w:tc>
        <w:tc>
          <w:tcPr>
            <w:tcW w:w="340" w:type="dxa"/>
            <w:vAlign w:val="bottom"/>
          </w:tcPr>
          <w:p>
            <w:pPr>
              <w:spacing w:after="0"/>
              <w:rPr>
                <w:sz w:val="14"/>
                <w:szCs w:val="14"/>
                <w:color w:val="auto"/>
              </w:rPr>
            </w:pPr>
          </w:p>
        </w:tc>
        <w:tc>
          <w:tcPr>
            <w:tcW w:w="8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17,700</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17,700</w:t>
            </w:r>
          </w:p>
        </w:tc>
      </w:tr>
      <w:tr>
        <w:trPr>
          <w:trHeight w:val="168"/>
        </w:trPr>
        <w:tc>
          <w:tcPr>
            <w:tcW w:w="4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20,250</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340" w:type="dxa"/>
            <w:vAlign w:val="bottom"/>
          </w:tcPr>
          <w:p>
            <w:pPr>
              <w:spacing w:after="0"/>
              <w:rPr>
                <w:sz w:val="24"/>
                <w:szCs w:val="24"/>
                <w:color w:val="auto"/>
              </w:rPr>
            </w:pPr>
          </w:p>
        </w:tc>
        <w:tc>
          <w:tcPr>
            <w:tcW w:w="8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24"/>
                <w:szCs w:val="2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(5,772)</w:t>
            </w:r>
          </w:p>
        </w:tc>
        <w:tc>
          <w:tcPr>
            <w:tcW w:w="360" w:type="dxa"/>
            <w:vAlign w:val="bottom"/>
          </w:tcPr>
          <w:p>
            <w:pPr>
              <w:spacing w:after="0"/>
              <w:rPr>
                <w:sz w:val="24"/>
                <w:szCs w:val="24"/>
                <w:color w:val="auto"/>
              </w:rPr>
            </w:pPr>
          </w:p>
        </w:tc>
        <w:tc>
          <w:tcPr>
            <w:tcW w:w="11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(5,772)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Contribution from parent</w:t>
            </w:r>
          </w:p>
        </w:tc>
        <w:tc>
          <w:tcPr>
            <w:tcW w:w="340" w:type="dxa"/>
            <w:vAlign w:val="bottom"/>
          </w:tcPr>
          <w:p>
            <w:pPr>
              <w:spacing w:after="0"/>
              <w:rPr>
                <w:sz w:val="14"/>
                <w:szCs w:val="14"/>
                <w:color w:val="auto"/>
              </w:rPr>
            </w:pPr>
          </w:p>
        </w:tc>
        <w:tc>
          <w:tcPr>
            <w:tcW w:w="8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12,267</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12,267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8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(2,930)</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(2,930)</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BALANCE AT DECEMBER 31, 2001</w:t>
            </w:r>
          </w:p>
        </w:tc>
        <w:tc>
          <w:tcPr>
            <w:tcW w:w="114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5"/>
              </w:rPr>
              <w:t>$72,154</w:t>
            </w:r>
          </w:p>
        </w:tc>
        <w:tc>
          <w:tcPr>
            <w:tcW w:w="17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$993,750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$255,127</w:t>
            </w:r>
          </w:p>
        </w:tc>
        <w:tc>
          <w:tcPr>
            <w:tcW w:w="15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$156,900</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$1,477,931</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$ 94,350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94,350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w:t>
            </w:r>
          </w:p>
        </w:tc>
        <w:tc>
          <w:tcPr>
            <w:tcW w:w="340" w:type="dxa"/>
            <w:vAlign w:val="bottom"/>
          </w:tcPr>
          <w:p>
            <w:pPr>
              <w:spacing w:after="0"/>
              <w:rPr>
                <w:sz w:val="14"/>
                <w:szCs w:val="14"/>
                <w:color w:val="auto"/>
              </w:rPr>
            </w:pPr>
          </w:p>
        </w:tc>
        <w:tc>
          <w:tcPr>
            <w:tcW w:w="8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159,800</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159,800</w:t>
            </w:r>
          </w:p>
        </w:tc>
      </w:tr>
      <w:tr>
        <w:trPr>
          <w:trHeight w:val="168"/>
        </w:trPr>
        <w:tc>
          <w:tcPr>
            <w:tcW w:w="4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income (loss)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254,150</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340" w:type="dxa"/>
            <w:vAlign w:val="bottom"/>
          </w:tcPr>
          <w:p>
            <w:pPr>
              <w:spacing w:after="0"/>
              <w:rPr>
                <w:sz w:val="24"/>
                <w:szCs w:val="24"/>
                <w:color w:val="auto"/>
              </w:rPr>
            </w:pPr>
          </w:p>
        </w:tc>
        <w:tc>
          <w:tcPr>
            <w:tcW w:w="8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24"/>
                <w:szCs w:val="2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(5,772)</w:t>
            </w:r>
          </w:p>
        </w:tc>
        <w:tc>
          <w:tcPr>
            <w:tcW w:w="360" w:type="dxa"/>
            <w:vAlign w:val="bottom"/>
          </w:tcPr>
          <w:p>
            <w:pPr>
              <w:spacing w:after="0"/>
              <w:rPr>
                <w:sz w:val="24"/>
                <w:szCs w:val="24"/>
                <w:color w:val="auto"/>
              </w:rPr>
            </w:pPr>
          </w:p>
        </w:tc>
        <w:tc>
          <w:tcPr>
            <w:tcW w:w="11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(5,772)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Contribution from parent</w:t>
            </w:r>
          </w:p>
        </w:tc>
        <w:tc>
          <w:tcPr>
            <w:tcW w:w="340" w:type="dxa"/>
            <w:vAlign w:val="bottom"/>
          </w:tcPr>
          <w:p>
            <w:pPr>
              <w:spacing w:after="0"/>
              <w:rPr>
                <w:sz w:val="14"/>
                <w:szCs w:val="14"/>
                <w:color w:val="auto"/>
              </w:rPr>
            </w:pPr>
          </w:p>
        </w:tc>
        <w:tc>
          <w:tcPr>
            <w:tcW w:w="8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6,133</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6,133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8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(2,719)</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(2,719)</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BALANCE AT DECEMBER 31, 2002</w:t>
            </w:r>
          </w:p>
        </w:tc>
        <w:tc>
          <w:tcPr>
            <w:tcW w:w="114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5"/>
              </w:rPr>
              <w:t>$72,154</w:t>
            </w:r>
          </w:p>
        </w:tc>
        <w:tc>
          <w:tcPr>
            <w:tcW w:w="17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$997,164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$343,705</w:t>
            </w:r>
          </w:p>
        </w:tc>
        <w:tc>
          <w:tcPr>
            <w:tcW w:w="15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$316,700</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$1,729,723</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1380"/>
          </w:cols>
          <w:pgMar w:left="220" w:top="953" w:right="299" w:bottom="1440" w:gutter="0" w:footer="0" w:header="0"/>
        </w:sectPr>
      </w:pPr>
    </w:p>
    <w:bookmarkStart w:id="107" w:name="page108"/>
    <w:bookmarkEnd w:id="107"/>
    <w:p>
      <w:pPr>
        <w:ind w:left="1500"/>
        <w:spacing w:after="0"/>
        <w:rPr>
          <w:sz w:val="20"/>
          <w:szCs w:val="20"/>
          <w:color w:val="auto"/>
        </w:rPr>
      </w:pPr>
      <w:r>
        <w:rPr>
          <w:rFonts w:ascii="Courier New" w:cs="Courier New" w:eastAsia="Courier New" w:hAnsi="Courier New"/>
          <w:sz w:val="15"/>
          <w:szCs w:val="15"/>
          <w:color w:val="auto"/>
        </w:rPr>
        <w:t>AMERICAN FINANCIAL CORPORATION AND SUBSIDIARIES</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 OF CASH FLOWS</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Year ended December 31,</w:t>
            </w:r>
          </w:p>
        </w:tc>
        <w:tc>
          <w:tcPr>
            <w:tcW w:w="84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494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 (loss)</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94,350</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2,550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32,125)</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accounting changes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40,360</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10,040</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 net losses of investees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8,990</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16,550</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92,449</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174,525</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125,814</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99,867</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Annuity benefits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300,966</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294,654</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293,171</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Realized (gains) losses on investing activities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58,202</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(2,604)</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(25,173)</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annuity and life policy acquisition</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costs</w:t>
            </w:r>
          </w:p>
        </w:tc>
        <w:tc>
          <w:tcPr>
            <w:tcW w:w="5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(170,194)</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(137,724)</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(146,686)</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Decrease (increase) in reinsurance and</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5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(669,790)</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(299,802)</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74,885</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Decrease (increase) in other assets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29,545</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(20,136)</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(70,191)</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insurance claims and reserves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703,244</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546,522</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189,587</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payable to reinsurers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212,256</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154,384</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14,270</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other liabilities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45,567</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8,193</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(34,563)</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minority interest</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16,603</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18,491</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5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(4,820)</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12,904</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1,927</w:t>
            </w:r>
          </w:p>
        </w:tc>
      </w:tr>
      <w:tr>
        <w:trPr>
          <w:trHeight w:val="168"/>
        </w:trPr>
        <w:tc>
          <w:tcPr>
            <w:tcW w:w="4960" w:type="dxa"/>
            <w:vAlign w:val="bottom"/>
          </w:tcPr>
          <w:p>
            <w:pPr>
              <w:spacing w:after="0"/>
              <w:rPr>
                <w:sz w:val="14"/>
                <w:szCs w:val="14"/>
                <w:color w:val="auto"/>
              </w:rPr>
            </w:pP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839,804</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729,836</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466,045</w:t>
            </w:r>
          </w:p>
        </w:tc>
      </w:tr>
      <w:tr>
        <w:trPr>
          <w:trHeight w:val="168"/>
        </w:trPr>
        <w:tc>
          <w:tcPr>
            <w:tcW w:w="4960" w:type="dxa"/>
            <w:vAlign w:val="bottom"/>
          </w:tcPr>
          <w:p>
            <w:pPr>
              <w:spacing w:after="0"/>
              <w:rPr>
                <w:sz w:val="14"/>
                <w:szCs w:val="14"/>
                <w:color w:val="auto"/>
              </w:rPr>
            </w:pP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and additional investments in:</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Fixed maturity investments</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(6,199,022)</w:t>
            </w: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(3,827,768)</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(1,635,578)</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5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(16,583)</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(9,071)</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(45,800)</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Subsidiary</w:t>
            </w:r>
          </w:p>
        </w:tc>
        <w:tc>
          <w:tcPr>
            <w:tcW w:w="5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(48,447)</w:t>
            </w:r>
          </w:p>
        </w:tc>
        <w:tc>
          <w:tcPr>
            <w:tcW w:w="600" w:type="dxa"/>
            <w:vAlign w:val="bottom"/>
          </w:tcPr>
          <w:p>
            <w:pPr>
              <w:spacing w:after="0"/>
              <w:rPr>
                <w:sz w:val="14"/>
                <w:szCs w:val="14"/>
                <w:color w:val="auto"/>
              </w:rPr>
            </w:pPr>
          </w:p>
        </w:tc>
        <w:tc>
          <w:tcPr>
            <w:tcW w:w="1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Real estate, property and equipment</w:t>
            </w:r>
          </w:p>
        </w:tc>
        <w:tc>
          <w:tcPr>
            <w:tcW w:w="5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(53,639)</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(90,111)</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(88,371)</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Maturities and redemptions of fixed maturity</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1,807,482</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902,820</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689,691</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 of:</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Fixed maturity investments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3,566,812</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2,468,492</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810,942</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23,669</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15,814</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84,147</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Investees and subsidiaries</w:t>
            </w:r>
          </w:p>
        </w:tc>
        <w:tc>
          <w:tcPr>
            <w:tcW w:w="56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40,395</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30,694</w:t>
            </w: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Real estate, property and equipment</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22,417</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71,002</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30,150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short-term investments of acquired</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(former) subsidiaries, net</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4,684</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(134,237)</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(132,163)</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other investments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14,223</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(7,827)</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5,637</w:t>
            </w:r>
          </w:p>
        </w:tc>
      </w:tr>
      <w:tr>
        <w:trPr>
          <w:trHeight w:val="168"/>
        </w:trPr>
        <w:tc>
          <w:tcPr>
            <w:tcW w:w="4960" w:type="dxa"/>
            <w:vAlign w:val="bottom"/>
          </w:tcPr>
          <w:p>
            <w:pPr>
              <w:spacing w:after="0"/>
              <w:rPr>
                <w:sz w:val="14"/>
                <w:szCs w:val="14"/>
                <w:color w:val="auto"/>
              </w:rPr>
            </w:pP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(878,404)</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(570,491)</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(250,651)</w:t>
            </w:r>
          </w:p>
        </w:tc>
      </w:tr>
      <w:tr>
        <w:trPr>
          <w:trHeight w:val="168"/>
        </w:trPr>
        <w:tc>
          <w:tcPr>
            <w:tcW w:w="4960" w:type="dxa"/>
            <w:vAlign w:val="bottom"/>
          </w:tcPr>
          <w:p>
            <w:pPr>
              <w:spacing w:after="0"/>
              <w:rPr>
                <w:sz w:val="14"/>
                <w:szCs w:val="14"/>
                <w:color w:val="auto"/>
              </w:rPr>
            </w:pP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Fixed annuity receipts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874,470</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616,628</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496,742</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Annuity surrenders, benefits and withdrawals</w:t>
            </w:r>
          </w:p>
        </w:tc>
        <w:tc>
          <w:tcPr>
            <w:tcW w:w="5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(549,919)</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(622,474)</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(731,856)</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transfers from (to) variable annuity assets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20,807</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(363)</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(50,475)</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long-term borrowings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224,560</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242,613</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182,462</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Reductions of long-term debt</w:t>
            </w:r>
          </w:p>
        </w:tc>
        <w:tc>
          <w:tcPr>
            <w:tcW w:w="5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(159,926)</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(143,840)</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(141,577)</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Borrowings from AFG</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14,300</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17,077</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174,500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to AFG</w:t>
            </w:r>
          </w:p>
        </w:tc>
        <w:tc>
          <w:tcPr>
            <w:tcW w:w="5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(62,100)</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(100,500)</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(108,413)</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Repurchases of trust preferred securities</w:t>
            </w:r>
          </w:p>
        </w:tc>
        <w:tc>
          <w:tcPr>
            <w:tcW w:w="56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(75,000)</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(1,427)</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contributions</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9,333</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18,667</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18,667</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paid</w:t>
            </w:r>
          </w:p>
        </w:tc>
        <w:tc>
          <w:tcPr>
            <w:tcW w:w="5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(5,772)</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(5,772)</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(5,772)</w:t>
            </w:r>
          </w:p>
        </w:tc>
      </w:tr>
      <w:tr>
        <w:trPr>
          <w:trHeight w:val="168"/>
        </w:trPr>
        <w:tc>
          <w:tcPr>
            <w:tcW w:w="4960" w:type="dxa"/>
            <w:vAlign w:val="bottom"/>
          </w:tcPr>
          <w:p>
            <w:pPr>
              <w:spacing w:after="0"/>
              <w:rPr>
                <w:sz w:val="14"/>
                <w:szCs w:val="14"/>
                <w:color w:val="auto"/>
              </w:rPr>
            </w:pP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365,753</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(52,964)</w:t>
            </w:r>
          </w:p>
        </w:tc>
        <w:tc>
          <w:tcPr>
            <w:tcW w:w="5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(167,149)</w:t>
            </w:r>
          </w:p>
        </w:tc>
      </w:tr>
      <w:tr>
        <w:trPr>
          <w:trHeight w:val="168"/>
        </w:trPr>
        <w:tc>
          <w:tcPr>
            <w:tcW w:w="4960" w:type="dxa"/>
            <w:vAlign w:val="bottom"/>
          </w:tcPr>
          <w:p>
            <w:pPr>
              <w:spacing w:after="0"/>
              <w:rPr>
                <w:sz w:val="14"/>
                <w:szCs w:val="14"/>
                <w:color w:val="auto"/>
              </w:rPr>
            </w:pP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INCREASE IN CASH AND SHORT-TERM INVESTMENTS</w:t>
            </w:r>
          </w:p>
        </w:tc>
        <w:tc>
          <w:tcPr>
            <w:tcW w:w="56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327,153</w:t>
            </w:r>
          </w:p>
        </w:tc>
        <w:tc>
          <w:tcPr>
            <w:tcW w:w="600" w:type="dxa"/>
            <w:vAlign w:val="bottom"/>
          </w:tcPr>
          <w:p>
            <w:pPr>
              <w:spacing w:after="0"/>
              <w:rPr>
                <w:sz w:val="24"/>
                <w:szCs w:val="2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106,381</w:t>
            </w:r>
          </w:p>
        </w:tc>
        <w:tc>
          <w:tcPr>
            <w:tcW w:w="560" w:type="dxa"/>
            <w:vAlign w:val="bottom"/>
          </w:tcPr>
          <w:p>
            <w:pPr>
              <w:spacing w:after="0"/>
              <w:rPr>
                <w:sz w:val="24"/>
                <w:szCs w:val="2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48,245</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 at beginning of</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w:t>
            </w:r>
          </w:p>
        </w:tc>
        <w:tc>
          <w:tcPr>
            <w:tcW w:w="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543,644</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437,263</w:t>
            </w:r>
          </w:p>
        </w:tc>
        <w:tc>
          <w:tcPr>
            <w:tcW w:w="5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389,018</w:t>
            </w:r>
          </w:p>
        </w:tc>
      </w:tr>
      <w:tr>
        <w:trPr>
          <w:trHeight w:val="168"/>
        </w:trPr>
        <w:tc>
          <w:tcPr>
            <w:tcW w:w="4960" w:type="dxa"/>
            <w:vAlign w:val="bottom"/>
          </w:tcPr>
          <w:p>
            <w:pPr>
              <w:spacing w:after="0"/>
              <w:rPr>
                <w:sz w:val="14"/>
                <w:szCs w:val="14"/>
                <w:color w:val="auto"/>
              </w:rPr>
            </w:pP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 at end of period</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870,797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543,644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437,263</w:t>
            </w:r>
          </w:p>
        </w:tc>
      </w:tr>
      <w:tr>
        <w:trPr>
          <w:trHeight w:val="168"/>
        </w:trPr>
        <w:tc>
          <w:tcPr>
            <w:tcW w:w="4960" w:type="dxa"/>
            <w:vAlign w:val="bottom"/>
          </w:tcPr>
          <w:p>
            <w:pPr>
              <w:spacing w:after="0"/>
              <w:rPr>
                <w:sz w:val="14"/>
                <w:szCs w:val="14"/>
                <w:color w:val="auto"/>
              </w:rPr>
            </w:pPr>
          </w:p>
        </w:tc>
        <w:tc>
          <w:tcPr>
            <w:tcW w:w="17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39"/>
          </w:cols>
          <w:pgMar w:left="220" w:top="953" w:right="1440" w:bottom="1440" w:gutter="0" w:footer="0" w:header="0"/>
        </w:sectPr>
      </w:pPr>
    </w:p>
    <w:bookmarkStart w:id="108" w:name="page109"/>
    <w:bookmarkEnd w:id="108"/>
    <w:p>
      <w:pPr>
        <w:jc w:val="center"/>
        <w:ind w:right="3239"/>
        <w:spacing w:after="0" w:line="258" w:lineRule="auto"/>
        <w:rPr>
          <w:sz w:val="20"/>
          <w:szCs w:val="20"/>
          <w:color w:val="auto"/>
        </w:rPr>
      </w:pPr>
      <w:r>
        <w:rPr>
          <w:rFonts w:ascii="Courier New" w:cs="Courier New" w:eastAsia="Courier New" w:hAnsi="Courier New"/>
          <w:sz w:val="14"/>
          <w:szCs w:val="14"/>
          <w:color w:val="auto"/>
        </w:rPr>
        <w:t>NOTES TO CONSOLIDATED FINANCIAL STATEMENTS ================================================================================ INDEX TO NOTES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ACCOUNTING POLICIES</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I.</w:t>
            </w:r>
          </w:p>
        </w:tc>
        <w:tc>
          <w:tcPr>
            <w:tcW w:w="2620" w:type="dxa"/>
            <w:vAlign w:val="bottom"/>
          </w:tcPr>
          <w:p>
            <w:pPr>
              <w:ind w:left="100"/>
              <w:spacing w:after="0"/>
              <w:rPr>
                <w:sz w:val="20"/>
                <w:szCs w:val="20"/>
                <w:color w:val="auto"/>
              </w:rPr>
            </w:pPr>
            <w:r>
              <w:rPr>
                <w:rFonts w:ascii="Courier New" w:cs="Courier New" w:eastAsia="Courier New" w:hAnsi="Courier New"/>
                <w:sz w:val="15"/>
                <w:szCs w:val="15"/>
                <w:color w:val="auto"/>
              </w:rPr>
              <w:t>SHAREHOLDERS' EQUITY</w:t>
            </w:r>
          </w:p>
        </w:tc>
      </w:tr>
      <w:tr>
        <w:trPr>
          <w:trHeight w:val="168"/>
        </w:trPr>
        <w:tc>
          <w:tcPr>
            <w:tcW w:w="3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  ACQUISITIONS AND SALES OF SUBSIDIARIES</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w:t>
            </w:r>
          </w:p>
        </w:tc>
        <w:tc>
          <w:tcPr>
            <w:tcW w:w="2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TAXES</w:t>
            </w:r>
          </w:p>
        </w:tc>
      </w:tr>
      <w:tr>
        <w:trPr>
          <w:trHeight w:val="168"/>
        </w:trPr>
        <w:tc>
          <w:tcPr>
            <w:tcW w:w="280" w:type="dxa"/>
            <w:vAlign w:val="bottom"/>
          </w:tcPr>
          <w:p>
            <w:pPr>
              <w:spacing w:after="0"/>
              <w:rPr>
                <w:sz w:val="14"/>
                <w:szCs w:val="14"/>
                <w:color w:val="auto"/>
              </w:rPr>
            </w:pP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INVESTEES</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K.</w:t>
            </w:r>
          </w:p>
        </w:tc>
        <w:tc>
          <w:tcPr>
            <w:tcW w:w="2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EQUITY IN LOSSES OF INVESTEES</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C.</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SEGMENTS OF OPERATIONS</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w:t>
            </w:r>
          </w:p>
        </w:tc>
        <w:tc>
          <w:tcPr>
            <w:tcW w:w="2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COMMITMENTS AND CONTINGENCIES</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INVESTMENTS</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w:t>
            </w:r>
          </w:p>
        </w:tc>
        <w:tc>
          <w:tcPr>
            <w:tcW w:w="2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QUARTERLY OPERATING RESULTS</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E.</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GOODWILL AND OTHER INTANGIBLES</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w:t>
            </w:r>
          </w:p>
        </w:tc>
        <w:tc>
          <w:tcPr>
            <w:tcW w:w="2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INSURANCE</w:t>
            </w:r>
          </w:p>
        </w:tc>
      </w:tr>
      <w:tr>
        <w:trPr>
          <w:trHeight w:val="168"/>
        </w:trPr>
        <w:tc>
          <w:tcPr>
            <w:tcW w:w="3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  PAYABLE TO AMERICAN FINANCIAL GROUP</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t>
            </w:r>
          </w:p>
        </w:tc>
        <w:tc>
          <w:tcPr>
            <w:tcW w:w="2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ADDITIONAL INFORMATION</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G.</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LONG-TERM DEBT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w:t>
            </w:r>
          </w:p>
        </w:tc>
        <w:tc>
          <w:tcPr>
            <w:tcW w:w="2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SUBSEQUENT EVENTS</w:t>
            </w:r>
          </w:p>
        </w:tc>
      </w:tr>
    </w:tbl>
    <w:p>
      <w:pPr>
        <w:ind w:left="360" w:hanging="350"/>
        <w:spacing w:after="0" w:line="237" w:lineRule="auto"/>
        <w:tabs>
          <w:tab w:leader="none" w:pos="3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MINORITY INTEREST</w:t>
      </w:r>
    </w:p>
    <w:p>
      <w:pPr>
        <w:spacing w:after="0" w:line="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40" w:hanging="430"/>
        <w:spacing w:after="0"/>
        <w:tabs>
          <w:tab w:leader="none" w:pos="44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POLICIES</w:t>
      </w:r>
    </w:p>
    <w:p>
      <w:pPr>
        <w:spacing w:after="0" w:line="172"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BASIS OF PRESENTATION The consolidated financial statements include the accounts of American Financial Corporation ("AFC") and its subsidiaries. Certain reclassifications have been made to prior years to conform to the current year's presentation. All significant intercompany balances and transactions have been eliminated. All acquisitions have been treated as purchases. The results of operations of companies since their formation or acquisition are included in the consolidated financial statements.</w:t>
      </w:r>
    </w:p>
    <w:p>
      <w:pPr>
        <w:spacing w:after="0" w:line="166"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the financial statements in conformity with generally accepted accounting principles requires management to make estimates and assumptions that affect the amounts reported in the financial statements and accompanying notes. Changes in circumstances could cause actual results to differ materially from those estimates.</w:t>
      </w:r>
    </w:p>
    <w:p>
      <w:pPr>
        <w:spacing w:after="0" w:line="173" w:lineRule="exact"/>
        <w:rPr>
          <w:rFonts w:ascii="Courier New" w:cs="Courier New" w:eastAsia="Courier New" w:hAnsi="Courier New"/>
          <w:sz w:val="15"/>
          <w:szCs w:val="15"/>
          <w:color w:val="auto"/>
        </w:rPr>
      </w:pPr>
    </w:p>
    <w:p>
      <w:pPr>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INVESTMENTS All fixed maturity securities are considered "available for sale" and reported at fair value with unrealized gains and losses reported as a separate component of shareholders' equity. Short-term investments are carried at cost; loans receivable are carried primarily at the aggregate unpaid balance. Premiums and discounts on mortgage-backed securities are amortized over a period based on estimated future principal payments, including prepayments. Prepayment assumptions are reviewed periodically and adjusted to reflect actual prepayments and changes in expectations. The most significant determinants of prepayments are the difference between interest rates on the underlying mortgages and current mortgage loan rates and the structure of the security. Other factors affecting prepayments include the size, type and age of underlying mortgages, the geographic location of the mortgaged properties and the credit worthiness of the borrowers. Variations from anticipated prepayments will affect the life and yield of these securities.</w:t>
      </w:r>
    </w:p>
    <w:p>
      <w:pPr>
        <w:spacing w:after="0" w:line="332" w:lineRule="exact"/>
        <w:rPr>
          <w:rFonts w:ascii="Courier New" w:cs="Courier New" w:eastAsia="Courier New" w:hAnsi="Courier New"/>
          <w:sz w:val="15"/>
          <w:szCs w:val="15"/>
          <w:color w:val="auto"/>
        </w:rPr>
      </w:pPr>
    </w:p>
    <w:p>
      <w:pPr>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Gains or losses on securities are determined on the specific identification basis. When a decline in the value of a specific investment is considered to be other than temporary, a provision for impairment is charged to earnings and the cost basis of that investment is reduced.</w:t>
      </w:r>
    </w:p>
    <w:p>
      <w:pPr>
        <w:spacing w:after="0" w:line="164" w:lineRule="exact"/>
        <w:rPr>
          <w:rFonts w:ascii="Courier New" w:cs="Courier New" w:eastAsia="Courier New" w:hAnsi="Courier New"/>
          <w:sz w:val="15"/>
          <w:szCs w:val="15"/>
          <w:color w:val="auto"/>
        </w:rPr>
      </w:pPr>
    </w:p>
    <w:p>
      <w:pPr>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Emerging Issues Task Force Issue No. 99-20 established a new standard for recognizing interest income and impairment on certain asset-backed investments. Interest income on these investments is recorded at a yield based on projected cash flows. The yield is adjusted prospectively to reflect actual cash flows and changes in projected amounts. Impairment losses on these investments must be recognized when (i) the fair value of the security is less than its cost basis and (ii) there has been an adverse change in the expected cash flows. The new standard became effective on April 1, 2001. Impairment losses at initial application of this rule were recognized as the cumulative effect of an accounting change. Subsequent impairments are recognized as a component of net realized gains and losses.</w:t>
      </w: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39"/>
          </w:cols>
          <w:pgMar w:left="220" w:top="1296" w:right="1440" w:bottom="1440" w:gutter="0" w:footer="0" w:header="0"/>
        </w:sectPr>
      </w:pPr>
    </w:p>
    <w:bookmarkStart w:id="109" w:name="page110"/>
    <w:bookmarkEnd w:id="109"/>
    <w:p>
      <w:pPr>
        <w:ind w:right="3499"/>
        <w:spacing w:after="0" w:line="235" w:lineRule="auto"/>
        <w:rPr>
          <w:sz w:val="20"/>
          <w:szCs w:val="20"/>
          <w:color w:val="auto"/>
        </w:rPr>
      </w:pPr>
      <w:r>
        <w:rPr>
          <w:rFonts w:ascii="Courier New" w:cs="Courier New" w:eastAsia="Courier New" w:hAnsi="Courier New"/>
          <w:sz w:val="15"/>
          <w:szCs w:val="15"/>
          <w:color w:val="auto"/>
        </w:rPr>
        <w:t>INVESTMENT IN INVESTEE CORPORATIONS Investments in securities of 20%- to 50%-owned companies are generally carried at cost, adjusted for AFC's proportionate share of their undistributed earnings or losses.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Due to Chiquita's announced intention to pursue a plan to restructure its public debt, AFC wrote down its investment in Chiquita common stock to market value at December 31, 2000. In 2001, AFC suspended accounting for the investment under the equity method due to the expected restructuring, and reclassified the investment to "Other stocks." In a 2002 reorganization of Chiquita, AFC's ownership was reduced to less than one-half of 1%.</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GOODWILL Goodwill represents the excess of cost of subsidiaries over AFC's equity in their underlying net assets. Through December 31, 2001, goodwill was being amortized over periods of 20 to 40 years. Effective January 1, 2002, AFC implemented Statement of Financial Accounting Standards ("SFAS") No. 142, under which goodwill is no longer amortized but is subject to an impairment test at least annually. As required under SFAS No. 142, AFC completed the transitional test for goodwill impairment (as of January 1, 2002) in the fourth quarter of 2002. The resulting write-down was reported by restating first quarter 2002 results for the cumulative effect of a change in accounting principle.</w:t>
      </w:r>
    </w:p>
    <w:p>
      <w:pPr>
        <w:spacing w:after="0" w:line="17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INSURANCE As discussed under "Reinsurance" below, unpaid losses and loss adjustment expenses and unearned premiums have not been reduced for reinsurance recoverable.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REINSURANCE Amounts recoverable from reinsurers are estimated in a manner consistent with the claim liability associated with the reinsured policies. AFC's insurance subsidiaries report as assets (a) the estimated reinsurance recoverable on unpaid losses, including an estimate for losses incurred but not reported, and (b) amounts paid to reinsurers applicable to the unexpired terms of policies in force. Payable to reinsurers includes ceded premiums retained by AFC's insurance subsidiaries under contracts to fund ceded losses as they become due. AFC's insurance subsidiaries also assume reinsurance from other companies. Income on reinsurance assumed is recognized based on reports received from ceding companies.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DEFERRED POLICY ACQUISITION COSTS ("DPAC") Policy acquisition costs (principally commissions, premium taxes and other marketing and underwriting expenses) related to the production of new business are deferred. For the property and casualty companies, DPAC is limited based upon recoverability without any consideration for anticipated investment income and is charged against income ratably over the terms of the related policies.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DPAC related to annuities and universal life insurance products is deferred to the extent deemed recoverable and amortized, with interest, in relation to the present value of expected gross profits on the policies. To the extent that realized gains and losses result in adjustments to the amortization of DPAC related to annuities, such adjustments are reflected as components of realized gains. DPAC related to annuities is also adjusted, net of tax, for the change in amortization that would have been recorded if the unrealized gains (losses) from securities had actually been realized. This adjustment is included in "Unrealized gains (losses) on marketable securities, net" in the shareholders' equity section of the Balance Sheet.</w:t>
      </w:r>
    </w:p>
    <w:p>
      <w:pPr>
        <w:spacing w:after="0" w:line="180"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DPAC related to traditional life and health insurance is amortized over the expected premium paying period of the related policies, in proportion to the ratio of annual premium revenues to total anticipated premium revenues.</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ANNUITY AND LIFE ACQUISITION EXPENSES Annuity and life acquisition expenses on the Statement of Operations consists primarily of amortization of DPAC related to the annuity and life, accident and health businesses. This line item also includes certain marketing and commission costs that are expensed as paid.</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9799"/>
          </w:cols>
          <w:pgMar w:left="660" w:top="792" w:right="1440" w:bottom="1440" w:gutter="0" w:footer="0" w:header="0"/>
        </w:sectPr>
      </w:pPr>
    </w:p>
    <w:bookmarkStart w:id="110" w:name="page111"/>
    <w:bookmarkEnd w:id="110"/>
    <w:p>
      <w:pPr>
        <w:ind w:right="3239" w:firstLine="437"/>
        <w:spacing w:after="0" w:line="255" w:lineRule="auto"/>
        <w:rPr>
          <w:sz w:val="20"/>
          <w:szCs w:val="20"/>
          <w:color w:val="auto"/>
        </w:rPr>
      </w:pPr>
      <w:r>
        <w:rPr>
          <w:rFonts w:ascii="Courier New" w:cs="Courier New" w:eastAsia="Courier New" w:hAnsi="Courier New"/>
          <w:sz w:val="14"/>
          <w:szCs w:val="14"/>
          <w:color w:val="auto"/>
        </w:rPr>
        <w:t>UNPAID LOSSES AND LOSS ADJUSTMENT EXPENSES The net liabilities stated for unpaid claims and for expenses of investigation and adjustment of unpaid claims are based upon (a) the accumulation of case estimates for losses reported prior to the close of the accounting period on direct business written; (b) estimates received from ceding reinsurers and insurance pools and associations; (c) estimates of unreported losses based on past experience; (d) estimates based on experience of expenses for investigating and adjusting claims and (e) the current state of the law and coverage litigation. Establishing reserves for asbestos and environmental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Loss reserve liabilities are subject to the impact of changes in claim amounts and frequency and other factors. Changes in estimates of the liabilities for losses and loss adjustment expenses are reflected in the Statement of Operations in the period in which determined. In spite of the variability inherent in such estimates, management believes that the liabilities for unpaid losses and loss adjustment expenses are adequate.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ANNUITY BENEFITS ACCUMULATED Annuity receipts and benefit payments are recorded as increases or decreases in "annuity benefits accumulated" rather than as revenue and expense. Increases in this liability for interest credited are charged to expense and decreases for surrender charges are credited to other income.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LIFE, ACCIDENT AND HEALTH RESERVES Liabilities for future policy benefits under traditional life, accident and health policies are computed using the net level premium method. Computations are based on the original projections of investment yields, mortality, morbidity and surrenders and include provisions for unfavorable deviations. Reserves established for accident and health claims are modified as necessary to reflect actual experience and developing trends.</w:t>
      </w:r>
    </w:p>
    <w:p>
      <w:pPr>
        <w:spacing w:after="0" w:line="176"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VARIABLE ANNUITY ASSETS AND LIABILITIES Separate accounts related to variable annuities represent deposits invested in underlying investment funds on which Great American Financial Resources, Inc. ("GAFRI"), an</w:t>
      </w:r>
    </w:p>
    <w:p>
      <w:pPr>
        <w:spacing w:after="0" w:line="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83%-owned subsidiary, earns a fee. Investment funds are selected and may be changed only by the policyholder, who retains all investment risk.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PREMIUM RECOGNITION Property and casualty premiums are earned over the terms of the policies on a pro rata basis. Unearned premiums represent that portion of premiums written which is applicable to the unexpired terms of policies in force. On reinsurance assumed from other insurance companies or written through various underwriting organizations, unearned premiums are based on reports received from such companies and organizations. For traditional life, accident and health products, premiums are recognized as revenue when legally collectible from policyholders. For interest-sensitive life and universal life products, premiums are recorded in a policyholder account which is reflected as a liability. Revenue is recognized as amounts are assessed against the policyholder account for mortality coverage and contract expenses.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POLICYHOLDER DIVIDENDS Dividends payable to policyholders are included in "Accounts payable, accrued expenses and other liabilities" and represent estimates of amounts payable on participating policies which share in favorable underwriting results. Estimates are accrued during the period in which premiums are earned. Changes in estimates are included in income in the period determined. Policyholder dividends do not become legal liabilities unless and until declared by the boards of directors of the insurance companies.</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9799"/>
          </w:cols>
          <w:pgMar w:left="660" w:top="960"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4"/>
          <w:szCs w:val="14"/>
          <w:color w:val="auto"/>
        </w:rPr>
        <w:t>MINORITY INTEREST For balance sheet purposes, minority interest represents</w:t>
      </w:r>
    </w:p>
    <w:p>
      <w:pPr>
        <w:spacing w:after="0" w:line="10" w:lineRule="exact"/>
        <w:rPr>
          <w:sz w:val="20"/>
          <w:szCs w:val="20"/>
          <w:color w:val="auto"/>
        </w:rPr>
      </w:pPr>
    </w:p>
    <w:p>
      <w:pPr>
        <w:ind w:right="3499" w:firstLine="7"/>
        <w:spacing w:after="0" w:line="254" w:lineRule="auto"/>
        <w:tabs>
          <w:tab w:leader="none" w:pos="35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interests of noncontrolling shareholders in AFC subsidiaries, including preferred securities issued by trust subsidiaries of GAFRI and</w:t>
      </w:r>
    </w:p>
    <w:p>
      <w:pPr>
        <w:ind w:right="3319" w:firstLine="7"/>
        <w:spacing w:after="0" w:line="236" w:lineRule="auto"/>
        <w:tabs>
          <w:tab w:leader="none" w:pos="43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Financial Group, Inc.'s ("AFG") direct ownership interest in American Premier Underwriters, Inc. ("American Premier" or "APU") and American Financial Enterprises, Inc. For income statement purposes, minority interest expense represents those shareholders' interest in the earnings of AFC subsidiaries as well as accrued distributions on the trust preferred securities.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INCOME TAXES AFC files consolidated federal income tax returns which include all 80%-owned U.S. subsidiaries, except for certain life insurance subsidiaries and their subsidiaries. Deferred income taxes are calculated using the liability method. Under this method, deferred income tax assets and liabilities are determined based on differences between financial reporting and tax bases and are measured using enacted tax rates. Deferred tax assets are recognized if it is more likely than not that a benefit will be realized.</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BENEFIT PLANS AFC provides retirement benefits to qualified employees of participating companies through the AFG Retirement and Savings Plan, a defined contribution plan. The Company makes all contributions to the retirement fund portion of the Plan and matches a percentage of employee contributions to the savings fund. Employees have been permitted to direct the investment of their contributions to independently managed investment funds, while Company contributions have been invested primarily in securities of AFG and affiliates. Employees may direct the investment of a portion of their vested retirement fund account balances (increasing from 12.5% in July 2002 to 100% in April 2004) from securities of AFG and its affiliates to independently managed investment funds. As of December 31, 2002, the Plan owned 12% of AFG's outstanding common stock. Company contributions are expensed in the year for which they are declared.</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AFC and many of its subsidiaries provide health care and life insurance benefits to eligible retirees. AFC also provides postemployment benefits to former or inactive employees (primarily those on disability) who were not deemed retired under other company plans. The projected future cost of providing these benefits is expensed over the period the employees earn such benefits.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DERIVATIVES Effective October 1, 2000, AFC implemented SFAS No. 133, "Accounting for Derivative Instruments and Hedging Activities", which established accounting and reporting standards for derivative instruments (including derivative instruments that are embedded in other contracts) and for hedging activities. Prior year financial statements were not restated. SFAS No. 133 generally requires that derivatives (both assets and liabilities) be recognized in the balance sheet at fair value with changes in fair value included in current earnings. The cumulative effect of implementing SFAS No. 133, which resulted from the initial recognition of AFC's derivatives at fair value, was a loss of $9.1 million (net of minority interest and taxes).</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Derivatives are included in AFC's Balance Sheet and consist primarily of investments in common stock warrants (valued at $13.8 million at December 31, 2002; included in other stocks), the equity-based component of certain annuity products (included in annuity benefits accumulated) and related call options (included in other investments) designed to be consistent with the characteristics of the liabilities and used to mitigate the risk embedded in those annuity products.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STATEMENT OF CASH FLOWS For cash flow purposes, "investing activities" are defined as making and collecting loans and acquiring and disposing of debt or equity instruments and property and equipment. "Financing activities" include obtaining resources from owners and providing them with a return on their investments, borrowing money and repaying amounts borrowed. Annuity receipts, benefits and withdrawals are also reflected as financing activities. All other</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9799"/>
          </w:cols>
          <w:pgMar w:left="660" w:top="960" w:right="1440" w:bottom="1440" w:gutter="0" w:footer="0" w:header="0"/>
        </w:sectPr>
      </w:pPr>
    </w:p>
    <w:bookmarkStart w:id="112" w:name="page113"/>
    <w:bookmarkEnd w:id="112"/>
    <w:p>
      <w:pPr>
        <w:ind w:left="430" w:right="3399"/>
        <w:spacing w:after="0" w:line="258" w:lineRule="auto"/>
        <w:rPr>
          <w:sz w:val="20"/>
          <w:szCs w:val="20"/>
          <w:color w:val="auto"/>
        </w:rPr>
      </w:pPr>
      <w:r>
        <w:rPr>
          <w:rFonts w:ascii="Courier New" w:cs="Courier New" w:eastAsia="Courier New" w:hAnsi="Courier New"/>
          <w:sz w:val="14"/>
          <w:szCs w:val="14"/>
          <w:color w:val="auto"/>
        </w:rPr>
        <w:t>activities are considered "operating". Short-term investments having original maturities of three months or less when purchased are considered to be cash equivalents for purposes of the financial statements.</w:t>
      </w:r>
    </w:p>
    <w:p>
      <w:pPr>
        <w:spacing w:after="0" w:line="161" w:lineRule="exact"/>
        <w:rPr>
          <w:sz w:val="20"/>
          <w:szCs w:val="20"/>
          <w:color w:val="auto"/>
        </w:rPr>
      </w:pPr>
    </w:p>
    <w:p>
      <w:pPr>
        <w:ind w:left="430" w:right="3399" w:hanging="430"/>
        <w:spacing w:after="0" w:line="235" w:lineRule="auto"/>
        <w:tabs>
          <w:tab w:leader="none" w:pos="43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SALES OF SUBSIDIARIES AND INVESTEES See Note P, "Subsequent Events" for information on the 2003 sales of Infinity and the direct-to-consumer auto business.</w:t>
      </w:r>
    </w:p>
    <w:p>
      <w:pPr>
        <w:spacing w:after="0" w:line="173"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JERSEY PRIVATE PASSENGER AUTOMOBILE INSURANCE BUSINESS In September 2002, an AFC subsidiary entered into an agreement under which an unrelated insurer will assume the subsidiary's obligations to renew its private passenger automobile insurance business written in New Jersey. AFC recognized a $10.8 million pretax loss on the transaction. As of September 9, 2002, AFC no longer accepts any new private passenger automobile insurance in that state.</w:t>
      </w:r>
    </w:p>
    <w:p>
      <w:pPr>
        <w:spacing w:after="0" w:line="175" w:lineRule="exact"/>
        <w:rPr>
          <w:rFonts w:ascii="Courier New" w:cs="Courier New" w:eastAsia="Courier New" w:hAnsi="Courier New"/>
          <w:sz w:val="15"/>
          <w:szCs w:val="15"/>
          <w:color w:val="auto"/>
        </w:rPr>
      </w:pPr>
    </w:p>
    <w:p>
      <w:pPr>
        <w:ind w:left="43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MANHATTAN NATIONAL LIFE INSURANCE On June 28, 2002, GAFRI acquired Manhattan National Life Insurance Company ("MNL") from Conseco, Inc. for $48.5 million in cash. At December 31, 2002, MNL reinsured 90% of its in force business.</w:t>
      </w:r>
    </w:p>
    <w:p>
      <w:pPr>
        <w:spacing w:after="0" w:line="175" w:lineRule="exact"/>
        <w:rPr>
          <w:rFonts w:ascii="Courier New" w:cs="Courier New" w:eastAsia="Courier New" w:hAnsi="Courier New"/>
          <w:sz w:val="15"/>
          <w:szCs w:val="15"/>
          <w:color w:val="auto"/>
        </w:rPr>
      </w:pPr>
    </w:p>
    <w:p>
      <w:pPr>
        <w:ind w:left="43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SEVEN HILLS INSURANCE COMPANY In July 2001, AFC sold Seven Hills Insurance Company for $18.4 million, realizing a pretax gain of $7.1 million. AFC retained all liability for Seven Hills' business related to the period AFC owned the company.</w:t>
      </w:r>
    </w:p>
    <w:p>
      <w:pPr>
        <w:spacing w:after="0" w:line="175" w:lineRule="exact"/>
        <w:rPr>
          <w:rFonts w:ascii="Courier New" w:cs="Courier New" w:eastAsia="Courier New" w:hAnsi="Courier New"/>
          <w:sz w:val="15"/>
          <w:szCs w:val="15"/>
          <w:color w:val="auto"/>
        </w:rPr>
      </w:pPr>
    </w:p>
    <w:p>
      <w:pPr>
        <w:ind w:left="4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JAPANESE DIVISION In December 2000, AFC agreed to sell its Japanese property and casualty division to Mitsui Marine &amp; Fire Insurance Company of America for $22 million in cash and recorded an estimated $10.7 million pretax loss. Upon completion of the sale in March 2001, AFC realized an additional pretax loss of $6.9 million (including post closing adjustments) and deferred a gain of approximately $21 million on ceded insurance; the deferred gain is being recognized over the estimated settlement period (weighted average of 4 years) of the ceded claims. At the same time, a reinsurance agreement under which Great American Insurance ceded a portion of its pool of insurance to Mitsui was terminated. The Japanese division generated net written premiums of approximately $60 million per year to Great American while Great American ceded approximately $45 million per year to Mitsui.</w:t>
      </w:r>
    </w:p>
    <w:p>
      <w:pPr>
        <w:spacing w:after="0" w:line="173"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STONEWALL INSURANCE COMPANY In September 2000, AFC sold Stonewall Insurance Company for $31.2 million (net of post closing adjustments), realizing a pretax loss of $10.3 million. Stonewall was a non-operating property and casualty subsidiary with approximately $320 million in assets, engaged primarily in the run-off of approximately $170 million in asbestos and environmental liabilities associated with policies written through 1991.</w:t>
      </w:r>
    </w:p>
    <w:p>
      <w:pPr>
        <w:spacing w:after="0" w:line="166"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LINES DIVISION In 1998, AFC sold its Commercial lines division to Ohio Casualty Corporation for $300 million cash plus warrants to purchase shares of Ohio Casualty common stock. AFC received an additional $25 million (included in gains on sales of subsidiaries) in August 2000 under a provision in the sale agreement related to the retention and growth of the insurance businesses sold.</w:t>
      </w:r>
    </w:p>
    <w:p>
      <w:pPr>
        <w:spacing w:after="0" w:line="174"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START-UP MANUFACTURING BUSINESSES Since 1998, AFC subsidiaries have made loans to two start-up manufacturing businesses which were previously owned by unrelated third-parties. During 2000, the former owners chose to forfeit their equity interests to AFC rather than invest additional capital. Total loans extended to these businesses prior to forfeiture amounted to $49.7 million and the accumulated losses of the two businesses were approximately $29.7 million.</w:t>
      </w:r>
    </w:p>
    <w:p>
      <w:pPr>
        <w:spacing w:after="0" w:line="176"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During the fourth quarter of 2000, AFC sold the equity interests to a group of employees for nominal cash consideration plus warrants to repurchase a significant ownership interest. Due to the absence of significant financial investment by the buyers relative to the amount of loans ($61.5 million at December 31, 2000) owed to AFC subsidiaries, the sale was not recognized as a</w:t>
      </w:r>
    </w:p>
    <w:p>
      <w:pPr>
        <w:spacing w:after="0" w:line="168"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29"/>
          </w:cols>
          <w:pgMar w:left="230" w:top="1128" w:right="1440" w:bottom="1440" w:gutter="0" w:footer="0" w:header="0"/>
        </w:sectPr>
      </w:pPr>
    </w:p>
    <w:bookmarkStart w:id="113" w:name="page114"/>
    <w:bookmarkEnd w:id="113"/>
    <w:p>
      <w:pPr>
        <w:ind w:right="3239"/>
        <w:spacing w:after="0" w:line="236" w:lineRule="auto"/>
        <w:rPr>
          <w:sz w:val="20"/>
          <w:szCs w:val="20"/>
          <w:color w:val="auto"/>
        </w:rPr>
      </w:pPr>
      <w:r>
        <w:rPr>
          <w:rFonts w:ascii="Courier New" w:cs="Courier New" w:eastAsia="Courier New" w:hAnsi="Courier New"/>
          <w:sz w:val="15"/>
          <w:szCs w:val="15"/>
          <w:color w:val="auto"/>
        </w:rPr>
        <w:t>divestiture for accounting purposes and AFC continued accounting for their operations under the equity method as investees. In December 2002, one of the businesses sold substantially all of its assets for $29.5 million, which proceeds and approximately $675,000 in receivables and other assets were transferred to AFC. The amount transferred approximated AFC's carrying value of loans to this business. At December 31, 2001, $41.6 million in assets of this business were included in other assets and $9.8 million in liabilities of this business (after consolidation and elimination of loans from AFC subsidiaries) were included in other liabilities in AFC's consolidated balance sheet.</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Assets of the remaining start-up business ($15.3 million at December 31, 2002, and $15.5 million at December 31, 2001) are included in other assets; liabilities of the business ($2.0 million at December 31, 2002 and 2001, after consolidation and elimination of loans from AFC subsidiaries) are included in other liabilities.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AFC's equity in the losses of these two companies during 2002, 2001 and the fourth quarter of 2000 was $9.0 million, $16.6 million and $4.1 million, respectively, and is included in investee losses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9799"/>
          </w:cols>
          <w:pgMar w:left="660" w:top="960" w:right="1440" w:bottom="1440" w:gutter="0" w:footer="0" w:header="0"/>
        </w:sectPr>
      </w:pPr>
    </w:p>
    <w:bookmarkStart w:id="114" w:name="page115"/>
    <w:bookmarkEnd w:id="114"/>
    <w:p>
      <w:pPr>
        <w:ind w:left="430" w:right="3239" w:hanging="430"/>
        <w:spacing w:after="0" w:line="237" w:lineRule="auto"/>
        <w:tabs>
          <w:tab w:leader="none" w:pos="43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SEGMENTS OF OPERATIONS AFC's property and casualty group has been engaged primarily in specialty commercial insurance and private passenger automobile insurance business. The Specialty group includes a highly diversified group of specialty business units. Some of the more significant areas are inland and ocean marine, California workers' compensation, agricultural-related coverages, executive and professional liability, fidelity and surety bonds, collateral protection, and umbrella and excess coverages. In 2003, AFC sold a substantial portion of its Personal segment; see Note P - "Subsequent Events." The Personal group wrote nonstandard and preferred/standard private passenger auto and other personal insurance coverage. AFC's annuity, life and health business markets primarily retirement products as well as life and supplemental health insurance. AFC's businesses operate throughout the United States. In 2002, 2001, and 2000, AFC derived less than 2% of its revenues from the sale of life and supplemental health products in Puerto Rico and less than 1% of its revenues from the sale of property and casualty insurance in Mexico, Canada, Puerto Rico, Europe and Asia.</w:t>
      </w:r>
    </w:p>
    <w:p>
      <w:pPr>
        <w:spacing w:after="0" w:line="175" w:lineRule="exact"/>
        <w:rPr>
          <w:rFonts w:ascii="Courier New" w:cs="Courier New" w:eastAsia="Courier New" w:hAnsi="Courier New"/>
          <w:sz w:val="15"/>
          <w:szCs w:val="15"/>
          <w:color w:val="auto"/>
        </w:rPr>
      </w:pPr>
    </w:p>
    <w:p>
      <w:pPr>
        <w:ind w:left="43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tables (in thousands) show AFC's assets, revenues and operating profit (loss) by significant business segment. Operating profit (loss) represents total revenues less operating expenses.</w:t>
      </w:r>
    </w:p>
    <w:p>
      <w:pPr>
        <w:spacing w:after="0" w:line="200" w:lineRule="exact"/>
        <w:rPr>
          <w:sz w:val="20"/>
          <w:szCs w:val="20"/>
          <w:color w:val="auto"/>
        </w:rPr>
      </w:pPr>
    </w:p>
    <w:p>
      <w:pPr>
        <w:spacing w:after="0" w:line="304"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5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casualty insurance (a)</w:t>
            </w: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$ 9,960,769</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$ 8,796,909</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$ 8,200,683</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Annuities and life</w:t>
            </w: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9,349,280</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8,370,904</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7,934,851</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192,407</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230,461</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247,942</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19,502,456</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17,398,274</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16,383,476</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investees</w:t>
            </w:r>
          </w:p>
        </w:tc>
        <w:tc>
          <w:tcPr>
            <w:tcW w:w="880" w:type="dxa"/>
            <w:vAlign w:val="bottom"/>
          </w:tcPr>
          <w:p>
            <w:pPr>
              <w:spacing w:after="0"/>
              <w:rPr>
                <w:sz w:val="14"/>
                <w:szCs w:val="14"/>
                <w:color w:val="auto"/>
              </w:rPr>
            </w:pPr>
          </w:p>
        </w:tc>
        <w:tc>
          <w:tcPr>
            <w:tcW w:w="12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23,996</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$19,502,456</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$17,398,274</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$16,407,472</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(b)</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casualty insurance:</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Premiums earned:</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Specialty</w:t>
            </w: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$ 1,497,088</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$ 1,409,497</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$ 1,223,435</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Personal</w:t>
            </w: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905,246</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1,182,651</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1,270,328</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lines (c)</w:t>
            </w: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266</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1,790</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1,129</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2,402,600</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2,593,938</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2,494,892</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and other income</w:t>
            </w: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410,947</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458,410</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450,537</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2,813,547</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3,052,348</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2,945,429</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Annuities and life (d)</w:t>
            </w: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897,365</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855,733</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823,586</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33,809</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21,384</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51,095</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$ 3,744,721</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$ 3,929,465</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$ 3,820,110</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PROFIT (LOSS)</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casualty insurance:</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Underwriting:</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Specialty</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24,544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23,274)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94,857)</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Personal</w:t>
            </w: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1,339</w:t>
            </w:r>
          </w:p>
        </w:tc>
        <w:tc>
          <w:tcPr>
            <w:tcW w:w="4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(93,254)</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(108,372)</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lines (c)(e)</w:t>
            </w:r>
          </w:p>
        </w:tc>
        <w:tc>
          <w:tcPr>
            <w:tcW w:w="8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(52,207)</w:t>
            </w:r>
          </w:p>
        </w:tc>
        <w:tc>
          <w:tcPr>
            <w:tcW w:w="4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(110,987)</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1,342</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(26,324)</w:t>
            </w:r>
          </w:p>
        </w:tc>
        <w:tc>
          <w:tcPr>
            <w:tcW w:w="4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(227,515)</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(201,887)</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and other income</w:t>
            </w: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211,424</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296,725</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289,549</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185,100</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69,210</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87,662</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Annuities and life</w:t>
            </w:r>
          </w:p>
        </w:tc>
        <w:tc>
          <w:tcPr>
            <w:tcW w:w="8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61,553</w:t>
            </w:r>
          </w:p>
        </w:tc>
        <w:tc>
          <w:tcPr>
            <w:tcW w:w="4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100,864</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96,211</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w:t>
            </w:r>
          </w:p>
        </w:tc>
        <w:tc>
          <w:tcPr>
            <w:tcW w:w="8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(51,397)</w:t>
            </w:r>
          </w:p>
        </w:tc>
        <w:tc>
          <w:tcPr>
            <w:tcW w:w="4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(99,693)</w:t>
            </w:r>
          </w:p>
        </w:tc>
        <w:tc>
          <w:tcPr>
            <w:tcW w:w="5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(63,614)</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195,256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70,381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120,259</w:t>
            </w:r>
          </w:p>
        </w:tc>
      </w:tr>
      <w:tr>
        <w:trPr>
          <w:trHeight w:val="168"/>
        </w:trPr>
        <w:tc>
          <w:tcPr>
            <w:tcW w:w="3860" w:type="dxa"/>
            <w:vAlign w:val="bottom"/>
          </w:tcPr>
          <w:p>
            <w:pPr>
              <w:spacing w:after="0"/>
              <w:rPr>
                <w:sz w:val="14"/>
                <w:szCs w:val="14"/>
                <w:color w:val="auto"/>
              </w:rPr>
            </w:pPr>
          </w:p>
        </w:tc>
        <w:tc>
          <w:tcPr>
            <w:tcW w:w="2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870" w:hanging="433"/>
        <w:spacing w:after="0"/>
        <w:tabs>
          <w:tab w:leader="none" w:pos="87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allocable to segments.</w:t>
      </w:r>
    </w:p>
    <w:p>
      <w:pPr>
        <w:spacing w:after="0" w:line="4" w:lineRule="exact"/>
        <w:rPr>
          <w:rFonts w:ascii="Courier New" w:cs="Courier New" w:eastAsia="Courier New" w:hAnsi="Courier New"/>
          <w:sz w:val="15"/>
          <w:szCs w:val="15"/>
          <w:color w:val="auto"/>
        </w:rPr>
      </w:pPr>
    </w:p>
    <w:p>
      <w:pPr>
        <w:ind w:left="870" w:right="3759" w:hanging="433"/>
        <w:spacing w:after="0" w:line="234" w:lineRule="auto"/>
        <w:tabs>
          <w:tab w:leader="none" w:pos="87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include sales of products and services as well as other income earned by the respective segments.</w:t>
      </w:r>
    </w:p>
    <w:p>
      <w:pPr>
        <w:spacing w:after="0" w:line="5" w:lineRule="exact"/>
        <w:rPr>
          <w:rFonts w:ascii="Courier New" w:cs="Courier New" w:eastAsia="Courier New" w:hAnsi="Courier New"/>
          <w:sz w:val="15"/>
          <w:szCs w:val="15"/>
          <w:color w:val="auto"/>
        </w:rPr>
      </w:pPr>
    </w:p>
    <w:p>
      <w:pPr>
        <w:ind w:left="870" w:right="4099" w:hanging="433"/>
        <w:spacing w:after="0" w:line="234" w:lineRule="auto"/>
        <w:tabs>
          <w:tab w:leader="none" w:pos="87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development of lines in "run-off"; AFC has ceased underwriting new business in these operations.</w:t>
      </w:r>
    </w:p>
    <w:p>
      <w:pPr>
        <w:ind w:left="870" w:hanging="433"/>
        <w:spacing w:after="0" w:line="237" w:lineRule="auto"/>
        <w:tabs>
          <w:tab w:leader="none" w:pos="87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primarily investment income.</w:t>
      </w:r>
    </w:p>
    <w:p>
      <w:pPr>
        <w:spacing w:after="0" w:line="5" w:lineRule="exact"/>
        <w:rPr>
          <w:rFonts w:ascii="Courier New" w:cs="Courier New" w:eastAsia="Courier New" w:hAnsi="Courier New"/>
          <w:sz w:val="15"/>
          <w:szCs w:val="15"/>
          <w:color w:val="auto"/>
        </w:rPr>
      </w:pPr>
    </w:p>
    <w:p>
      <w:pPr>
        <w:ind w:left="870" w:right="3319" w:hanging="433"/>
        <w:spacing w:after="0" w:line="234" w:lineRule="auto"/>
        <w:tabs>
          <w:tab w:leader="none" w:pos="87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special charge of $100 million in 2001 related to asbestos and other environmental matters ("A&amp;E").</w:t>
      </w:r>
    </w:p>
    <w:p>
      <w:pPr>
        <w:ind w:left="870" w:hanging="433"/>
        <w:spacing w:after="0" w:line="237" w:lineRule="auto"/>
        <w:tabs>
          <w:tab w:leader="none" w:pos="87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holding company expenses.</w:t>
      </w:r>
    </w:p>
    <w:p>
      <w:pPr>
        <w:spacing w:after="0" w:line="200" w:lineRule="exact"/>
        <w:rPr>
          <w:sz w:val="20"/>
          <w:szCs w:val="20"/>
          <w:color w:val="auto"/>
        </w:rPr>
      </w:pPr>
    </w:p>
    <w:p>
      <w:pPr>
        <w:spacing w:after="0" w:line="303"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29"/>
          </w:cols>
          <w:pgMar w:left="230" w:top="1128" w:right="1440" w:bottom="853" w:gutter="0" w:footer="0" w:header="0"/>
        </w:sectPr>
      </w:pPr>
    </w:p>
    <w:bookmarkStart w:id="115" w:name="page116"/>
    <w:bookmarkEnd w:id="115"/>
    <w:p>
      <w:pPr>
        <w:ind w:left="430" w:right="4540" w:hanging="430"/>
        <w:spacing w:after="0" w:line="234" w:lineRule="auto"/>
        <w:tabs>
          <w:tab w:leader="none" w:pos="43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Fixed maturities and other stocks at December 31 consisted of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88"/>
              </w:rPr>
              <w:t>2002</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2001</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66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60" w:type="dxa"/>
            <w:vAlign w:val="bottom"/>
          </w:tcPr>
          <w:p>
            <w:pPr>
              <w:spacing w:after="0"/>
              <w:rPr>
                <w:sz w:val="14"/>
                <w:szCs w:val="14"/>
                <w:color w:val="auto"/>
              </w:rPr>
            </w:pP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Amortized</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Market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Gross</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Unrealized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Amortized</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Market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Gross</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Unrealized</w:t>
            </w:r>
          </w:p>
        </w:tc>
      </w:tr>
      <w:tr>
        <w:trPr>
          <w:trHeight w:val="168"/>
        </w:trPr>
        <w:tc>
          <w:tcPr>
            <w:tcW w:w="2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60" w:type="dxa"/>
            <w:vAlign w:val="bottom"/>
          </w:tcPr>
          <w:p>
            <w:pPr>
              <w:spacing w:after="0"/>
              <w:rPr>
                <w:sz w:val="14"/>
                <w:szCs w:val="14"/>
                <w:color w:val="auto"/>
              </w:rPr>
            </w:pP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Cost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Value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Gains</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Losses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Cost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Value</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Gains</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Losses</w:t>
            </w:r>
          </w:p>
        </w:tc>
      </w:tr>
      <w:tr>
        <w:trPr>
          <w:trHeight w:val="168"/>
        </w:trPr>
        <w:tc>
          <w:tcPr>
            <w:tcW w:w="2660" w:type="dxa"/>
            <w:vAlign w:val="bottom"/>
          </w:tcPr>
          <w:p>
            <w:pPr>
              <w:spacing w:after="0"/>
              <w:rPr>
                <w:sz w:val="14"/>
                <w:szCs w:val="14"/>
                <w:color w:val="auto"/>
              </w:rPr>
            </w:pP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505"/>
        </w:trPr>
        <w:tc>
          <w:tcPr>
            <w:tcW w:w="2660" w:type="dxa"/>
            <w:vAlign w:val="bottom"/>
          </w:tcPr>
          <w:p>
            <w:pPr>
              <w:spacing w:after="0"/>
              <w:rPr>
                <w:sz w:val="20"/>
                <w:szCs w:val="20"/>
                <w:color w:val="auto"/>
              </w:rPr>
            </w:pPr>
            <w:r>
              <w:rPr>
                <w:rFonts w:ascii="Courier New" w:cs="Courier New" w:eastAsia="Courier New" w:hAnsi="Courier New"/>
                <w:sz w:val="15"/>
                <w:szCs w:val="15"/>
                <w:color w:val="auto"/>
              </w:rPr>
              <w:t>Fixed maturities:</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2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United States Government</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 government agencies</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 authorities</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$ 1,353.6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$ 1,402.0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$ 49.5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$ 1,000.1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$ 1,017.8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$ 21.7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2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States, municipalities and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political subdivisions</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584.4</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615.2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414.9</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2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Foreign government</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163.3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c>
          <w:tcPr>
            <w:tcW w:w="44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Public utilities</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1,038.9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1,058.3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(24.0)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772.0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778.8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2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Mortgage-backed securities</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3,106.6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3,232.1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134.6</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2,632.9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2,702.5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(19.9)</w:t>
            </w:r>
          </w:p>
        </w:tc>
      </w:tr>
      <w:tr>
        <w:trPr>
          <w:trHeight w:val="168"/>
        </w:trPr>
        <w:tc>
          <w:tcPr>
            <w:tcW w:w="2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All other corporate</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5,241.8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5,462.7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312.0</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(91.1)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5,616.6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5,673.5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160.2</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(103.3)</w:t>
            </w:r>
          </w:p>
        </w:tc>
      </w:tr>
      <w:tr>
        <w:trPr>
          <w:trHeight w:val="168"/>
        </w:trPr>
        <w:tc>
          <w:tcPr>
            <w:tcW w:w="2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Redeemable preferred stocks</w:t>
            </w: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61.1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2660" w:type="dxa"/>
            <w:vAlign w:val="bottom"/>
          </w:tcPr>
          <w:p>
            <w:pPr>
              <w:spacing w:after="0"/>
              <w:rPr>
                <w:sz w:val="14"/>
                <w:szCs w:val="14"/>
                <w:color w:val="auto"/>
              </w:rPr>
            </w:pP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60" w:type="dxa"/>
            <w:vAlign w:val="bottom"/>
          </w:tcPr>
          <w:p>
            <w:pPr>
              <w:spacing w:after="0"/>
              <w:rPr>
                <w:sz w:val="24"/>
                <w:szCs w:val="2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$11,549.7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$12,006.9</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$590.3</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($133.1)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$10,593.2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$10,748.6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$306.3</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($150.9)</w:t>
            </w:r>
          </w:p>
        </w:tc>
      </w:tr>
      <w:tr>
        <w:trPr>
          <w:trHeight w:val="168"/>
        </w:trPr>
        <w:tc>
          <w:tcPr>
            <w:tcW w:w="2660" w:type="dxa"/>
            <w:vAlign w:val="bottom"/>
          </w:tcPr>
          <w:p>
            <w:pPr>
              <w:spacing w:after="0"/>
              <w:rPr>
                <w:sz w:val="14"/>
                <w:szCs w:val="14"/>
                <w:color w:val="auto"/>
              </w:rPr>
            </w:pP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60" w:type="dxa"/>
            <w:vAlign w:val="bottom"/>
          </w:tcPr>
          <w:p>
            <w:pPr>
              <w:spacing w:after="0"/>
              <w:rPr>
                <w:sz w:val="20"/>
                <w:szCs w:val="20"/>
                <w:color w:val="auto"/>
              </w:rPr>
            </w:pPr>
            <w:r>
              <w:rPr>
                <w:rFonts w:ascii="Courier New" w:cs="Courier New" w:eastAsia="Courier New" w:hAnsi="Courier New"/>
                <w:sz w:val="15"/>
                <w:szCs w:val="15"/>
                <w:color w:val="auto"/>
              </w:rPr>
              <w:t>Other stocks</w:t>
            </w:r>
          </w:p>
        </w:tc>
        <w:tc>
          <w:tcPr>
            <w:tcW w:w="11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173.9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   299.1</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187.8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313.7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68"/>
        </w:trPr>
        <w:tc>
          <w:tcPr>
            <w:tcW w:w="2660" w:type="dxa"/>
            <w:vAlign w:val="bottom"/>
          </w:tcPr>
          <w:p>
            <w:pPr>
              <w:spacing w:after="0"/>
              <w:rPr>
                <w:sz w:val="14"/>
                <w:szCs w:val="14"/>
                <w:color w:val="auto"/>
              </w:rPr>
            </w:pPr>
          </w:p>
        </w:tc>
        <w:tc>
          <w:tcPr>
            <w:tcW w:w="11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30" w:right="4380"/>
        <w:spacing w:after="0" w:line="255" w:lineRule="auto"/>
        <w:rPr>
          <w:sz w:val="20"/>
          <w:szCs w:val="20"/>
          <w:color w:val="auto"/>
        </w:rPr>
      </w:pPr>
      <w:r>
        <w:rPr>
          <w:rFonts w:ascii="Courier New" w:cs="Courier New" w:eastAsia="Courier New" w:hAnsi="Courier New"/>
          <w:sz w:val="14"/>
          <w:szCs w:val="14"/>
          <w:color w:val="auto"/>
        </w:rPr>
        <w:t>The table below sets forth the scheduled maturities of fixed maturities based on market value as of December 31, 2002. Asset-backed securities and other securities with sinking funds are reported at average maturity. Data based on amortized cost is generally the same. Actual maturities may differ from contractual maturities because certain securities may be called or prepaid by the issuers. Mortgage-backed securities had an average life of approximately five years at December 31, 2002.</w:t>
      </w:r>
    </w:p>
    <w:p>
      <w:pPr>
        <w:spacing w:after="0" w:line="160" w:lineRule="exact"/>
        <w:rPr>
          <w:sz w:val="20"/>
          <w:szCs w:val="20"/>
          <w:color w:val="auto"/>
        </w:rPr>
      </w:pPr>
    </w:p>
    <w:tbl>
      <w:tblPr>
        <w:tblLayout w:type="fixed"/>
        <w:tblInd w:w="1750" w:type="dxa"/>
        <w:tblCellMar>
          <w:top w:w="0" w:type="dxa"/>
          <w:left w:w="0" w:type="dxa"/>
          <w:bottom w:w="0" w:type="dxa"/>
          <w:right w:w="0" w:type="dxa"/>
        </w:tblCellMar>
      </w:tblPr>
      <w:tr>
        <w:trPr>
          <w:trHeight w:val="170"/>
        </w:trPr>
        <w:tc>
          <w:tcPr>
            <w:tcW w:w="3460" w:type="dxa"/>
            <w:vAlign w:val="bottom"/>
          </w:tcPr>
          <w:p>
            <w:pPr>
              <w:ind w:left="260"/>
              <w:spacing w:after="0"/>
              <w:rPr>
                <w:sz w:val="20"/>
                <w:szCs w:val="20"/>
                <w:color w:val="auto"/>
              </w:rPr>
            </w:pPr>
            <w:r>
              <w:rPr>
                <w:rFonts w:ascii="Courier New" w:cs="Courier New" w:eastAsia="Courier New" w:hAnsi="Courier New"/>
                <w:sz w:val="15"/>
                <w:szCs w:val="15"/>
                <w:color w:val="auto"/>
              </w:rPr>
              <w:t>Maturity</w:t>
            </w:r>
          </w:p>
        </w:tc>
        <w:tc>
          <w:tcPr>
            <w:tcW w:w="82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One year or less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 one year through five years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 five years through ten years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 ten years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4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Mortgage-backed securities</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168"/>
        </w:trPr>
        <w:tc>
          <w:tcPr>
            <w:tcW w:w="34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4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30" w:right="4540"/>
        <w:spacing w:after="0" w:line="236" w:lineRule="auto"/>
        <w:rPr>
          <w:sz w:val="20"/>
          <w:szCs w:val="20"/>
          <w:color w:val="auto"/>
        </w:rPr>
      </w:pPr>
      <w:r>
        <w:rPr>
          <w:rFonts w:ascii="Courier New" w:cs="Courier New" w:eastAsia="Courier New" w:hAnsi="Courier New"/>
          <w:sz w:val="15"/>
          <w:szCs w:val="15"/>
          <w:color w:val="auto"/>
        </w:rPr>
        <w:t>Certain risks are inherent in connection with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16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The only investment which exceeds 10% of Shareholders' Equity is an equity</w:t>
      </w:r>
    </w:p>
    <w:p>
      <w:pPr>
        <w:ind w:left="430"/>
        <w:spacing w:after="0" w:line="237" w:lineRule="auto"/>
        <w:rPr>
          <w:sz w:val="20"/>
          <w:szCs w:val="20"/>
          <w:color w:val="auto"/>
        </w:rPr>
      </w:pPr>
      <w:r>
        <w:rPr>
          <w:rFonts w:ascii="Courier New" w:cs="Courier New" w:eastAsia="Courier New" w:hAnsi="Courier New"/>
          <w:sz w:val="15"/>
          <w:szCs w:val="15"/>
          <w:color w:val="auto"/>
        </w:rPr>
        <w:t>investment in Provident Financial Group, Inc., having a market value of</w:t>
      </w:r>
    </w:p>
    <w:p>
      <w:pPr>
        <w:ind w:left="430"/>
        <w:spacing w:after="0" w:line="238" w:lineRule="auto"/>
        <w:rPr>
          <w:sz w:val="20"/>
          <w:szCs w:val="20"/>
          <w:color w:val="auto"/>
        </w:rPr>
      </w:pPr>
      <w:r>
        <w:rPr>
          <w:rFonts w:ascii="Courier New" w:cs="Courier New" w:eastAsia="Courier New" w:hAnsi="Courier New"/>
          <w:sz w:val="15"/>
          <w:szCs w:val="15"/>
          <w:color w:val="auto"/>
        </w:rPr>
        <w:t>$189 million and $191 million at December 31, 2002 and 2001, respectively.</w:t>
      </w:r>
    </w:p>
    <w:p>
      <w:pPr>
        <w:spacing w:after="0" w:line="173" w:lineRule="exact"/>
        <w:rPr>
          <w:sz w:val="20"/>
          <w:szCs w:val="20"/>
          <w:color w:val="auto"/>
        </w:rPr>
      </w:pPr>
    </w:p>
    <w:p>
      <w:pPr>
        <w:ind w:left="430" w:right="4980"/>
        <w:spacing w:after="0" w:line="235" w:lineRule="auto"/>
        <w:rPr>
          <w:sz w:val="20"/>
          <w:szCs w:val="20"/>
          <w:color w:val="auto"/>
        </w:rPr>
      </w:pPr>
      <w:r>
        <w:rPr>
          <w:rFonts w:ascii="Courier New" w:cs="Courier New" w:eastAsia="Courier New" w:hAnsi="Courier New"/>
          <w:sz w:val="15"/>
          <w:szCs w:val="15"/>
          <w:color w:val="auto"/>
        </w:rPr>
        <w:t>Realized gains (losses) and changes in unrealized appreciation (depreciation) on fixed maturity and equity security investments are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Fixed</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Equity</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Tax</w:t>
            </w:r>
          </w:p>
        </w:tc>
        <w:tc>
          <w:tcPr>
            <w:tcW w:w="1100" w:type="dxa"/>
            <w:vAlign w:val="bottom"/>
          </w:tcPr>
          <w:p>
            <w:pPr>
              <w:spacing w:after="0"/>
              <w:rPr>
                <w:sz w:val="14"/>
                <w:szCs w:val="14"/>
                <w:color w:val="auto"/>
              </w:rPr>
            </w:pPr>
          </w:p>
        </w:tc>
      </w:tr>
      <w:tr>
        <w:trPr>
          <w:trHeight w:val="168"/>
        </w:trPr>
        <w:tc>
          <w:tcPr>
            <w:tcW w:w="200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Maturities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Securities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Effects</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00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0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($ 61,081)</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($17,854)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$ 27,582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($ 51,353)</w:t>
            </w: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301,800</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(103,800)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197,300</w:t>
            </w:r>
          </w:p>
        </w:tc>
      </w:tr>
      <w:tr>
        <w:trPr>
          <w:trHeight w:val="336"/>
        </w:trPr>
        <w:tc>
          <w:tcPr>
            <w:tcW w:w="20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(15,315)</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(8,825)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8,451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(15,689)</w:t>
            </w: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139,000</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(84,500)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(19,200)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35,300</w:t>
            </w:r>
          </w:p>
        </w:tc>
      </w:tr>
      <w:tr>
        <w:trPr>
          <w:trHeight w:val="336"/>
        </w:trPr>
        <w:tc>
          <w:tcPr>
            <w:tcW w:w="20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(24,186)</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(2,395)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9,303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(17,278)</w:t>
            </w: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255,200</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29,900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(98,200)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186,900</w:t>
            </w:r>
          </w:p>
        </w:tc>
      </w:tr>
    </w:tbl>
    <w:p>
      <w:pPr>
        <w:sectPr>
          <w:pgSz w:w="11900" w:h="16838" w:orient="portrait"/>
          <w:cols w:equalWidth="0" w:num="1">
            <w:col w:w="11370"/>
          </w:cols>
          <w:pgMar w:left="230" w:top="623" w:right="299" w:bottom="0" w:gutter="0" w:footer="0" w:header="0"/>
        </w:sectPr>
      </w:pPr>
    </w:p>
    <w:bookmarkStart w:id="116" w:name="page117"/>
    <w:bookmarkEnd w:id="116"/>
    <w:p>
      <w:pPr>
        <w:ind w:left="2120"/>
        <w:spacing w:after="0"/>
        <w:rPr>
          <w:sz w:val="20"/>
          <w:szCs w:val="20"/>
          <w:color w:val="auto"/>
        </w:rPr>
      </w:pPr>
      <w:r>
        <w:rPr>
          <w:rFonts w:ascii="Courier New" w:cs="Courier New" w:eastAsia="Courier New" w:hAnsi="Courier New"/>
          <w:sz w:val="14"/>
          <w:szCs w:val="14"/>
          <w:color w:val="auto"/>
        </w:rPr>
        <w:t>F-55</w:t>
      </w:r>
    </w:p>
    <w:p>
      <w:pPr>
        <w:sectPr>
          <w:pgSz w:w="11900" w:h="16838" w:orient="portrait"/>
          <w:cols w:equalWidth="0" w:num="1">
            <w:col w:w="9019"/>
          </w:cols>
          <w:pgMar w:left="1440" w:top="1319" w:right="1440" w:bottom="1440" w:gutter="0" w:footer="0" w:header="0"/>
        </w:sectPr>
      </w:pPr>
    </w:p>
    <w:bookmarkStart w:id="117" w:name="page118"/>
    <w:bookmarkEnd w:id="117"/>
    <w:p>
      <w:pPr>
        <w:spacing w:after="0" w:line="25" w:lineRule="exact"/>
        <w:rPr>
          <w:sz w:val="20"/>
          <w:szCs w:val="20"/>
          <w:color w:val="auto"/>
        </w:rPr>
      </w:pPr>
    </w:p>
    <w:p>
      <w:pPr>
        <w:ind w:left="430" w:right="3399"/>
        <w:spacing w:after="0" w:line="261" w:lineRule="auto"/>
        <w:rPr>
          <w:sz w:val="20"/>
          <w:szCs w:val="20"/>
          <w:color w:val="auto"/>
        </w:rPr>
      </w:pPr>
      <w:r>
        <w:rPr>
          <w:rFonts w:ascii="Courier New" w:cs="Courier New" w:eastAsia="Courier New" w:hAnsi="Courier New"/>
          <w:sz w:val="14"/>
          <w:szCs w:val="14"/>
          <w:color w:val="auto"/>
        </w:rPr>
        <w:t>Gross gains and losses on fixed maturity investment transactions included in the Statement of Cash Flows consisted of the following (in millions):</w:t>
      </w:r>
    </w:p>
    <w:p>
      <w:pPr>
        <w:spacing w:after="0" w:line="153" w:lineRule="exact"/>
        <w:rPr>
          <w:sz w:val="20"/>
          <w:szCs w:val="20"/>
          <w:color w:val="auto"/>
        </w:rPr>
      </w:pPr>
    </w:p>
    <w:tbl>
      <w:tblPr>
        <w:tblLayout w:type="fixed"/>
        <w:tblInd w:w="157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13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Gross Gains</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Losses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w:t>
            </w:r>
          </w:p>
        </w:tc>
      </w:tr>
    </w:tbl>
    <w:p>
      <w:pPr>
        <w:spacing w:after="0" w:line="173" w:lineRule="exact"/>
        <w:rPr>
          <w:sz w:val="20"/>
          <w:szCs w:val="20"/>
          <w:color w:val="auto"/>
        </w:rPr>
      </w:pPr>
    </w:p>
    <w:p>
      <w:pPr>
        <w:ind w:left="430" w:right="3239" w:hanging="430"/>
        <w:spacing w:after="0" w:line="254" w:lineRule="auto"/>
        <w:tabs>
          <w:tab w:leader="none" w:pos="43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GOODWILL AND OTHER INTANGIBLES Effective January 1, 2002, goodwill is no longer amortized but is subject to annual impairment testing under a two step process. Under the first step, an entity's net assets are classified by reporting units and compared to their fair value. Fair value was estimated based primarily on the present value of expected future cash flows. If the carrying amount of a reporting unit exceeds its fair value, the second step of the goodwill impairment test is performed to measure the amount of impairment loss, if any. In the second quarter of 2002, AFC completed the first step of its transitional impairment test and identified potential impairment of goodwill in its annuities and life insurance segment and the personal lines segment of its property and casualty insurance business. The second step of the impairment test, measuring the amount of impairment loss, was completed in the fourth quarter with a resulting $40.4 million impairment charge reported by restating first quarter 2002 results for the cumulative effect of a change in accounting principle. The impairment charge for the annuities and life insurance segment was related to a decrease in estimated future earnings based upon lower forecasted new business sales over the next few years. The impairment charge for the personal lines segment related primarily to planned future reductions in new business volume written through the direct channel.</w:t>
      </w:r>
    </w:p>
    <w:p>
      <w:pPr>
        <w:spacing w:after="0" w:line="342" w:lineRule="exact"/>
        <w:rPr>
          <w:rFonts w:ascii="Courier New" w:cs="Courier New" w:eastAsia="Courier New" w:hAnsi="Courier New"/>
          <w:sz w:val="14"/>
          <w:szCs w:val="14"/>
          <w:color w:val="auto"/>
        </w:rPr>
      </w:pPr>
    </w:p>
    <w:p>
      <w:pPr>
        <w:ind w:left="43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If the goodwill amortization of $13.8 million and $16.5 million in the years 2001 and 2000, respectively, had not been expensed, net earnings (loss) for the periods would have been earnings of $16.3 million and a loss of $15.6 million.</w:t>
      </w:r>
    </w:p>
    <w:p>
      <w:pPr>
        <w:spacing w:after="0" w:line="175" w:lineRule="exact"/>
        <w:rPr>
          <w:rFonts w:ascii="Courier New" w:cs="Courier New" w:eastAsia="Courier New" w:hAnsi="Courier New"/>
          <w:sz w:val="14"/>
          <w:szCs w:val="14"/>
          <w:color w:val="auto"/>
        </w:rPr>
      </w:pPr>
    </w:p>
    <w:p>
      <w:pPr>
        <w:ind w:left="430" w:right="393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carrying value of goodwill during 2002, by reporting segment, are presented in the following table (in thousands):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8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Property and Casualty</w:t>
            </w: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2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Annuities</w:t>
            </w:r>
          </w:p>
        </w:tc>
        <w:tc>
          <w:tcPr>
            <w:tcW w:w="96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Specialty</w:t>
            </w: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Personal</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and Life</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900" w:type="dxa"/>
            <w:vAlign w:val="bottom"/>
          </w:tcPr>
          <w:p>
            <w:pPr>
              <w:spacing w:after="0"/>
              <w:rPr>
                <w:sz w:val="14"/>
                <w:szCs w:val="14"/>
                <w:color w:val="auto"/>
              </w:rPr>
            </w:pP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December 31, 2001</w:t>
            </w:r>
          </w:p>
        </w:tc>
        <w:tc>
          <w:tcPr>
            <w:tcW w:w="18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$154,339</w:t>
            </w:r>
          </w:p>
        </w:tc>
        <w:tc>
          <w:tcPr>
            <w:tcW w:w="10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$117,391</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$40,404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$312,134</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from acquisitions</w:t>
            </w:r>
          </w:p>
        </w:tc>
        <w:tc>
          <w:tcPr>
            <w:tcW w:w="1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1,461</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Transitional impairment charge</w:t>
            </w:r>
          </w:p>
        </w:tc>
        <w:tc>
          <w:tcPr>
            <w:tcW w:w="1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(39,600)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(21,184)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(60,784)</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(4,128)</w:t>
            </w: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(4,128)</w:t>
            </w:r>
          </w:p>
        </w:tc>
      </w:tr>
      <w:tr>
        <w:trPr>
          <w:trHeight w:val="168"/>
        </w:trPr>
        <w:tc>
          <w:tcPr>
            <w:tcW w:w="2900" w:type="dxa"/>
            <w:vAlign w:val="bottom"/>
          </w:tcPr>
          <w:p>
            <w:pPr>
              <w:spacing w:after="0"/>
              <w:rPr>
                <w:sz w:val="14"/>
                <w:szCs w:val="14"/>
                <w:color w:val="auto"/>
              </w:rPr>
            </w:pP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2002</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$150,211</w:t>
            </w: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$ 77,791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$20,681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$248,683</w:t>
            </w:r>
          </w:p>
        </w:tc>
      </w:tr>
      <w:tr>
        <w:trPr>
          <w:trHeight w:val="168"/>
        </w:trPr>
        <w:tc>
          <w:tcPr>
            <w:tcW w:w="2900" w:type="dxa"/>
            <w:vAlign w:val="bottom"/>
          </w:tcPr>
          <w:p>
            <w:pPr>
              <w:spacing w:after="0"/>
              <w:rPr>
                <w:sz w:val="14"/>
                <w:szCs w:val="14"/>
                <w:color w:val="auto"/>
              </w:rPr>
            </w:pP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Included in deferred acquisition costs in AFC's Balance Sheet are $66.8 million and $71.2 million at December 31, 2002 and 2001, respectively, representing the present value of future profits ("PVFP") related to acquisitions by AFC's annuity and life business. The PVFP amounts are net of $57.3 million and $45.5 million of accumulated amortization. Amortization of the PVFP was $11.8 million in 2002, $9.2 million in 2001 and $10.7 million in 2000. During each of the next five years, the PVFP is expected to decrease at a rate of approximately 13% of the balance at the beginning of each respective year.</w:t>
      </w:r>
    </w:p>
    <w:p>
      <w:pPr>
        <w:spacing w:after="0" w:line="178" w:lineRule="exact"/>
        <w:rPr>
          <w:sz w:val="20"/>
          <w:szCs w:val="20"/>
          <w:color w:val="auto"/>
        </w:rPr>
      </w:pPr>
    </w:p>
    <w:p>
      <w:pPr>
        <w:ind w:left="430" w:right="3319" w:hanging="430"/>
        <w:spacing w:after="0" w:line="256" w:lineRule="auto"/>
        <w:tabs>
          <w:tab w:leader="none" w:pos="43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PAYABLE TO AMERICAN FINANCIAL GROUP AFC has a reciprocal Master Credit Agreement with various AFG holding companies under which these companies make funds available to each other for general corporate purposes. Amounts borrowed under the agreement bear interest at 1% over LIBOR.</w:t>
      </w:r>
    </w:p>
    <w:p>
      <w:pPr>
        <w:spacing w:after="0" w:line="200" w:lineRule="exact"/>
        <w:rPr>
          <w:sz w:val="20"/>
          <w:szCs w:val="20"/>
          <w:color w:val="auto"/>
        </w:rPr>
      </w:pPr>
    </w:p>
    <w:p>
      <w:pPr>
        <w:spacing w:after="0" w:line="294"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29"/>
          </w:cols>
          <w:pgMar w:left="230" w:top="1440" w:right="1440" w:bottom="1440" w:gutter="0" w:footer="0" w:header="0"/>
        </w:sectPr>
      </w:pPr>
    </w:p>
    <w:bookmarkStart w:id="118" w:name="page119"/>
    <w:bookmarkEnd w:id="118"/>
    <w:p>
      <w:pPr>
        <w:ind w:left="430" w:right="3499" w:hanging="430"/>
        <w:spacing w:after="0" w:line="234" w:lineRule="auto"/>
        <w:tabs>
          <w:tab w:leader="none" w:pos="43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Long-term debt consisted of the following at December 31, (in thousands):</w:t>
      </w:r>
    </w:p>
    <w:p>
      <w:pPr>
        <w:spacing w:after="0" w:line="167"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42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spacing w:after="0" w:line="168" w:lineRule="exact"/>
              <w:rPr>
                <w:sz w:val="20"/>
                <w:szCs w:val="20"/>
                <w:color w:val="auto"/>
              </w:rPr>
            </w:pPr>
            <w:r>
              <w:rPr>
                <w:rFonts w:ascii="Courier New" w:cs="Courier New" w:eastAsia="Courier New" w:hAnsi="Courier New"/>
                <w:sz w:val="15"/>
                <w:szCs w:val="15"/>
                <w:color w:val="auto"/>
              </w:rPr>
              <w:t>HOLDING COMPANIES:</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AFC notes payable under bank line</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$248,000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$203,000</w:t>
            </w:r>
          </w:p>
        </w:tc>
      </w:tr>
      <w:tr>
        <w:trPr>
          <w:trHeight w:val="168"/>
        </w:trPr>
        <w:tc>
          <w:tcPr>
            <w:tcW w:w="4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American Premier Underwriters, Inc. ("APU")</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10-7/8% Subordinated Notes due May 2011,</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including premium of $777 and $836</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(imputed rate - 9.6%)</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11,498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11,557</w:t>
            </w:r>
          </w:p>
        </w:tc>
      </w:tr>
      <w:tr>
        <w:trPr>
          <w:trHeight w:val="168"/>
        </w:trPr>
        <w:tc>
          <w:tcPr>
            <w:tcW w:w="4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8,014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13,695</w:t>
            </w:r>
          </w:p>
        </w:tc>
      </w:tr>
      <w:tr>
        <w:trPr>
          <w:trHeight w:val="168"/>
        </w:trPr>
        <w:tc>
          <w:tcPr>
            <w:tcW w:w="424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4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$267,512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$228,252</w:t>
            </w:r>
          </w:p>
        </w:tc>
      </w:tr>
      <w:tr>
        <w:trPr>
          <w:trHeight w:val="168"/>
        </w:trPr>
        <w:tc>
          <w:tcPr>
            <w:tcW w:w="424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SUBSIDIARIES:</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GAFRI 6-7/8% Senior Notes due June 2008</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4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GAFRI notes payable under bank line</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148,600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121,100</w:t>
            </w:r>
          </w:p>
        </w:tc>
      </w:tr>
      <w:tr>
        <w:trPr>
          <w:trHeight w:val="168"/>
        </w:trPr>
        <w:tc>
          <w:tcPr>
            <w:tcW w:w="4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 secured by real estate</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35,610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36,253</w:t>
            </w:r>
          </w:p>
        </w:tc>
      </w:tr>
      <w:tr>
        <w:trPr>
          <w:trHeight w:val="168"/>
        </w:trPr>
        <w:tc>
          <w:tcPr>
            <w:tcW w:w="4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12,561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13,399</w:t>
            </w:r>
          </w:p>
        </w:tc>
      </w:tr>
      <w:tr>
        <w:trPr>
          <w:trHeight w:val="168"/>
        </w:trPr>
        <w:tc>
          <w:tcPr>
            <w:tcW w:w="424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4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$296,771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$270,752</w:t>
            </w:r>
          </w:p>
        </w:tc>
      </w:tr>
      <w:tr>
        <w:trPr>
          <w:trHeight w:val="168"/>
        </w:trPr>
        <w:tc>
          <w:tcPr>
            <w:tcW w:w="424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30" w:right="3399"/>
        <w:spacing w:after="0" w:line="261" w:lineRule="auto"/>
        <w:rPr>
          <w:sz w:val="20"/>
          <w:szCs w:val="20"/>
          <w:color w:val="auto"/>
        </w:rPr>
      </w:pPr>
      <w:r>
        <w:rPr>
          <w:rFonts w:ascii="Courier New" w:cs="Courier New" w:eastAsia="Courier New" w:hAnsi="Courier New"/>
          <w:sz w:val="14"/>
          <w:szCs w:val="14"/>
          <w:color w:val="auto"/>
        </w:rPr>
        <w:t>At December 31, 2002, sinking fund and other scheduled principal payments on debt for the subsequent five years were as follows (in millions):</w:t>
      </w:r>
    </w:p>
    <w:p>
      <w:pPr>
        <w:spacing w:after="0" w:line="153" w:lineRule="exact"/>
        <w:rPr>
          <w:sz w:val="20"/>
          <w:szCs w:val="20"/>
          <w:color w:val="auto"/>
        </w:rPr>
      </w:pPr>
    </w:p>
    <w:tbl>
      <w:tblPr>
        <w:tblLayout w:type="fixed"/>
        <w:tblInd w:w="970" w:type="dxa"/>
        <w:tblCellMar>
          <w:top w:w="0" w:type="dxa"/>
          <w:left w:w="0" w:type="dxa"/>
          <w:bottom w:w="0" w:type="dxa"/>
          <w:right w:w="0" w:type="dxa"/>
        </w:tblCellMar>
      </w:tblPr>
      <w:tr>
        <w:trPr>
          <w:trHeight w:val="170"/>
        </w:trPr>
        <w:tc>
          <w:tcPr>
            <w:tcW w:w="64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Holding</w:t>
            </w:r>
          </w:p>
        </w:tc>
        <w:tc>
          <w:tcPr>
            <w:tcW w:w="15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6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Companies</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Subsidiaries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6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2003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$ 78.0</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$ 80.1</w:t>
            </w:r>
          </w:p>
        </w:tc>
      </w:tr>
      <w:tr>
        <w:trPr>
          <w:trHeight w:val="168"/>
        </w:trPr>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2004</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150.8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150.8</w:t>
            </w:r>
          </w:p>
        </w:tc>
      </w:tr>
      <w:tr>
        <w:trPr>
          <w:trHeight w:val="168"/>
        </w:trPr>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2005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170.0</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181.3</w:t>
            </w:r>
          </w:p>
        </w:tc>
      </w:tr>
      <w:tr>
        <w:trPr>
          <w:trHeight w:val="168"/>
        </w:trPr>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2006</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r>
      <w:tr>
        <w:trPr>
          <w:trHeight w:val="168"/>
        </w:trPr>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2007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bl>
    <w:p>
      <w:pPr>
        <w:spacing w:after="0" w:line="17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In November 2002, AFC replaced its $300 million bank credit line with a new bank credit agreement. Currently, AFC may borrow up to $280 million under the new agreement; the line may be expanded to $300 million through the end of 2003. The new line consists of two facilities: a 364-day revolving facility, extendable annually, for one-third of the total line and a three-year revolving facility for the remaining two-thirds. Amounts borrowed bear interest at rates ranging from 1.25% to 2.25% over LIBOR based on AFG's credit rating. In addition, GAFRI has an unsecured credit agreement under which it can borrow up to $155 million at floating rates based on prime or Eurodollar rates through December 2004.</w:t>
      </w:r>
    </w:p>
    <w:p>
      <w:pPr>
        <w:spacing w:after="0" w:line="179"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Cash interest payments of $32 million, $50 million and $58 million were made on long-term debt in 2002, 2001 and 2000, respectively. Interest expense in the Statement of Operations includes interest credited on funds held by AFC's insurance subsidiaries under reinsurance contracts and other similar agreements as follows: 2002 - $11.7 million; 2001 - $7.1 million; and 2000 - $9.5 million.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0229"/>
          </w:cols>
          <w:pgMar w:left="230" w:top="1128" w:right="1440" w:bottom="1440" w:gutter="0" w:footer="0" w:header="0"/>
        </w:sectPr>
      </w:pPr>
    </w:p>
    <w:bookmarkStart w:id="119" w:name="page120"/>
    <w:bookmarkEnd w:id="119"/>
    <w:p>
      <w:pPr>
        <w:ind w:left="430" w:right="3319" w:hanging="430"/>
        <w:spacing w:after="0" w:line="234" w:lineRule="auto"/>
        <w:tabs>
          <w:tab w:leader="none" w:pos="43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MINORITY INTEREST Minority interest in AFC's balance sheet is comprised of the following (in thousands):</w:t>
      </w:r>
    </w:p>
    <w:p>
      <w:pPr>
        <w:spacing w:after="0" w:line="167" w:lineRule="exact"/>
        <w:rPr>
          <w:sz w:val="20"/>
          <w:szCs w:val="20"/>
          <w:color w:val="auto"/>
        </w:rPr>
      </w:pPr>
    </w:p>
    <w:tbl>
      <w:tblPr>
        <w:tblLayout w:type="fixed"/>
        <w:tblInd w:w="87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398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of AFG (parent) and noncontrolling</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shareholders in subsidiaries' common stock</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$351,559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$317,824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securities issued by</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subsidiary trusts</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142,913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142,913</w:t>
            </w:r>
          </w:p>
        </w:tc>
      </w:tr>
      <w:tr>
        <w:trPr>
          <w:trHeight w:val="168"/>
        </w:trPr>
        <w:tc>
          <w:tcPr>
            <w:tcW w:w="398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4"/>
                <w:szCs w:val="2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$494,472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$460,737</w:t>
            </w:r>
          </w:p>
        </w:tc>
      </w:tr>
      <w:tr>
        <w:trPr>
          <w:trHeight w:val="168"/>
        </w:trPr>
        <w:tc>
          <w:tcPr>
            <w:tcW w:w="398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30" w:right="3399"/>
        <w:spacing w:after="0" w:line="255" w:lineRule="auto"/>
        <w:rPr>
          <w:sz w:val="20"/>
          <w:szCs w:val="20"/>
          <w:color w:val="auto"/>
        </w:rPr>
      </w:pPr>
      <w:r>
        <w:rPr>
          <w:rFonts w:ascii="Courier New" w:cs="Courier New" w:eastAsia="Courier New" w:hAnsi="Courier New"/>
          <w:sz w:val="14"/>
          <w:szCs w:val="14"/>
          <w:color w:val="auto"/>
        </w:rPr>
        <w:t>SUBSIDIARY PREFERRED SECURITIES Wholly-owned subsidiary trusts of GAFRI have issued preferred securities and, in turn, purchased a like amount of subordinated debt which provides interest and principal payments to fund the respective trusts' obligations. The preferred securities must be redeemed upon maturity or redemption of the subordinated debt. GAFRI effectively provides unconditional guarantees of its trusts' obligations.</w:t>
      </w:r>
    </w:p>
    <w:p>
      <w:pPr>
        <w:spacing w:after="0" w:line="160"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The preferred securities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87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Date of</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Optional</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w:t>
            </w:r>
          </w:p>
        </w:tc>
        <w:tc>
          <w:tcPr>
            <w:tcW w:w="280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Issue (Maturity Date)</w:t>
            </w: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2001</w:t>
            </w:r>
          </w:p>
        </w:tc>
        <w:tc>
          <w:tcPr>
            <w:tcW w:w="1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Redemption Dates</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3"/>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w:t>
            </w:r>
          </w:p>
        </w:tc>
        <w:tc>
          <w:tcPr>
            <w:tcW w:w="1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40" w:type="dxa"/>
            <w:vAlign w:val="bottom"/>
          </w:tcPr>
          <w:p>
            <w:pPr>
              <w:spacing w:after="0"/>
              <w:rPr>
                <w:sz w:val="20"/>
                <w:szCs w:val="20"/>
                <w:color w:val="auto"/>
              </w:rPr>
            </w:pPr>
            <w:r>
              <w:rPr>
                <w:rFonts w:ascii="Courier New" w:cs="Courier New" w:eastAsia="Courier New" w:hAnsi="Courier New"/>
                <w:sz w:val="15"/>
                <w:szCs w:val="15"/>
                <w:color w:val="auto"/>
              </w:rPr>
              <w:t>November 1996</w:t>
            </w: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GAFRI</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9-1/4% TOPrS</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(2026)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$72,913</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$72,913</w:t>
            </w:r>
          </w:p>
        </w:tc>
        <w:tc>
          <w:tcPr>
            <w:tcW w:w="1980" w:type="dxa"/>
            <w:vAlign w:val="bottom"/>
          </w:tcPr>
          <w:p>
            <w:pPr>
              <w:ind w:left="220"/>
              <w:spacing w:after="0"/>
              <w:rPr>
                <w:sz w:val="20"/>
                <w:szCs w:val="20"/>
                <w:color w:val="auto"/>
              </w:rPr>
            </w:pPr>
            <w:r>
              <w:rPr>
                <w:rFonts w:ascii="Courier New" w:cs="Courier New" w:eastAsia="Courier New" w:hAnsi="Courier New"/>
                <w:sz w:val="15"/>
                <w:szCs w:val="15"/>
                <w:color w:val="auto"/>
                <w:w w:val="96"/>
              </w:rPr>
              <w:t>Currently redeemable</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1997</w:t>
            </w:r>
          </w:p>
        </w:tc>
        <w:tc>
          <w:tcPr>
            <w:tcW w:w="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GAFRI</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8-7/8% Pfd</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(2027)</w:t>
            </w: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70,000</w:t>
            </w:r>
          </w:p>
        </w:tc>
        <w:tc>
          <w:tcPr>
            <w:tcW w:w="9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70,000</w:t>
            </w:r>
          </w:p>
        </w:tc>
        <w:tc>
          <w:tcPr>
            <w:tcW w:w="19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On or after 3/1/2007</w:t>
            </w:r>
          </w:p>
        </w:tc>
      </w:tr>
    </w:tbl>
    <w:p>
      <w:pPr>
        <w:spacing w:after="0" w:line="200" w:lineRule="exact"/>
        <w:rPr>
          <w:sz w:val="20"/>
          <w:szCs w:val="20"/>
          <w:color w:val="auto"/>
        </w:rPr>
      </w:pPr>
    </w:p>
    <w:p>
      <w:pPr>
        <w:spacing w:after="0" w:line="309" w:lineRule="exact"/>
        <w:rPr>
          <w:sz w:val="20"/>
          <w:szCs w:val="20"/>
          <w:color w:val="auto"/>
        </w:rPr>
      </w:pPr>
    </w:p>
    <w:p>
      <w:pPr>
        <w:ind w:left="430" w:right="3579"/>
        <w:spacing w:after="0" w:line="234" w:lineRule="auto"/>
        <w:rPr>
          <w:sz w:val="20"/>
          <w:szCs w:val="20"/>
          <w:color w:val="auto"/>
        </w:rPr>
      </w:pPr>
      <w:r>
        <w:rPr>
          <w:rFonts w:ascii="Courier New" w:cs="Courier New" w:eastAsia="Courier New" w:hAnsi="Courier New"/>
          <w:sz w:val="15"/>
          <w:szCs w:val="15"/>
          <w:color w:val="auto"/>
        </w:rPr>
        <w:t>MINORITY INTEREST EXPENSE Minority interest expense is comprised of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87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438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Interest of AFG (parent) and noncontrolling</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3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shareholders in earnings of subsidiaries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$19,136</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$14,879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$ 6,092</w:t>
            </w:r>
          </w:p>
        </w:tc>
      </w:tr>
      <w:tr>
        <w:trPr>
          <w:trHeight w:val="168"/>
        </w:trPr>
        <w:tc>
          <w:tcPr>
            <w:tcW w:w="43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6"/>
              </w:rPr>
              <w:t>Accrued distributions by subsidiaries</w:t>
            </w:r>
          </w:p>
        </w:tc>
        <w:tc>
          <w:tcPr>
            <w:tcW w:w="1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3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on preferred securities, net of tax</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8,424</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11,075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11,959</w:t>
            </w:r>
          </w:p>
        </w:tc>
      </w:tr>
      <w:tr>
        <w:trPr>
          <w:trHeight w:val="168"/>
        </w:trPr>
        <w:tc>
          <w:tcPr>
            <w:tcW w:w="438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4"/>
                <w:szCs w:val="24"/>
                <w:color w:val="auto"/>
              </w:rPr>
            </w:pP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$27,560</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$25,954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$18,051</w:t>
            </w:r>
          </w:p>
        </w:tc>
      </w:tr>
      <w:tr>
        <w:trPr>
          <w:trHeight w:val="168"/>
        </w:trPr>
        <w:tc>
          <w:tcPr>
            <w:tcW w:w="438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30" w:right="3579" w:hanging="430"/>
        <w:spacing w:after="0" w:line="235" w:lineRule="auto"/>
        <w:tabs>
          <w:tab w:leader="none" w:pos="43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 At December 31, 2002, and 2001, American Financial Group beneficially owned all of the outstanding shares of AFC's Common Stock.</w:t>
      </w:r>
    </w:p>
    <w:p>
      <w:pPr>
        <w:spacing w:after="0" w:line="173"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Under provisions of both the Nonvoting (4.0 million shares authorized) and Voting (4.0 million shares authorized) Cumulative Preferred Stock, the Board of Directors may divide the authorized stock into series and set specific terms and conditions of each series. At December 31, 2002 and 2001, the outstanding voting shares of AFC's Preferred Stock consisted of the following:</w:t>
      </w:r>
    </w:p>
    <w:p>
      <w:pPr>
        <w:spacing w:after="0" w:line="175" w:lineRule="exact"/>
        <w:rPr>
          <w:sz w:val="20"/>
          <w:szCs w:val="20"/>
          <w:color w:val="auto"/>
        </w:rPr>
      </w:pPr>
    </w:p>
    <w:p>
      <w:pPr>
        <w:ind w:left="870" w:right="3239"/>
        <w:spacing w:after="0" w:line="236" w:lineRule="auto"/>
        <w:rPr>
          <w:sz w:val="20"/>
          <w:szCs w:val="20"/>
          <w:color w:val="auto"/>
        </w:rPr>
      </w:pPr>
      <w:r>
        <w:rPr>
          <w:rFonts w:ascii="Courier New" w:cs="Courier New" w:eastAsia="Courier New" w:hAnsi="Courier New"/>
          <w:sz w:val="15"/>
          <w:szCs w:val="15"/>
          <w:color w:val="auto"/>
        </w:rPr>
        <w:t>SERIES J, no par value; $25.00 liquidating value per share; annual dividends per share $2.00; redeemable at AFC's option at $25.75 per share beginning December 2005 declining to $25.00 at December 2007 and thereafter; 2,886,161 shares (stated value $72.2 million) outstanding at December 31, 2002 and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10229"/>
          </w:cols>
          <w:pgMar w:left="230" w:top="1128" w:right="1440" w:bottom="1440" w:gutter="0" w:footer="0" w:header="0"/>
        </w:sectPr>
      </w:pPr>
    </w:p>
    <w:bookmarkStart w:id="120" w:name="page121"/>
    <w:bookmarkEnd w:id="120"/>
    <w:p>
      <w:pPr>
        <w:ind w:left="430" w:right="3319"/>
        <w:spacing w:after="0" w:line="235" w:lineRule="auto"/>
        <w:rPr>
          <w:sz w:val="20"/>
          <w:szCs w:val="20"/>
          <w:color w:val="auto"/>
        </w:rPr>
      </w:pPr>
      <w:r>
        <w:rPr>
          <w:rFonts w:ascii="Courier New" w:cs="Courier New" w:eastAsia="Courier New" w:hAnsi="Courier New"/>
          <w:sz w:val="15"/>
          <w:szCs w:val="15"/>
          <w:color w:val="auto"/>
        </w:rPr>
        <w:t>UNREALIZED GAIN (LOSS) ON MARKETABLE SECURITIES, NET The change in unrealized gain (loss) on marketable securities included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Tax</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Minority</w:t>
            </w:r>
          </w:p>
        </w:tc>
        <w:tc>
          <w:tcPr>
            <w:tcW w:w="106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Pretax</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Effects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Interest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00" w:type="dxa"/>
            <w:vAlign w:val="bottom"/>
          </w:tcPr>
          <w:p>
            <w:pPr>
              <w:ind w:left="1660"/>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holding gains on</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arising during the period</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$195.2</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$113.3</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 losses included in net income</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78.9</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(27.7)</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46.5</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 gain on marketable</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net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($94.1)</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$159.8</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ind w:left="1660"/>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holding gains (losses) on</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arising during the period</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0.8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4.5)</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Adoption of EITF 99-20</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 losses included in net income and</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gains of subsidiary sold</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 gain on marketable</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net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$ 41.3</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($ 9.0)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$ 17.7</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ind w:left="166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holding gains on</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arising during the period</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$221.1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$126.5</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Adoption of SFAS No. 133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 gains included in net income and</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losses of subsidiary sold</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31.3</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 gain on marketable</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net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$267.4</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$153.9</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30" w:right="3759" w:hanging="430"/>
        <w:spacing w:after="0" w:line="235" w:lineRule="auto"/>
        <w:tabs>
          <w:tab w:leader="none" w:pos="43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The following is a reconciliation of income taxes at the statutory rate of 35% and income taxes as shown in the Statement of Operations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69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426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Earnings (loss) before income taxes:</w:t>
            </w: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$195,256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$70,381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$120,259</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Minority interest expense</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(32,096)</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(31,917)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(24,491)</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net losses of investees</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(13,830)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(25,462)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(142,230)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changes</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(57,716)</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(15,948)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(13,882)</w:t>
            </w:r>
          </w:p>
        </w:tc>
      </w:tr>
      <w:tr>
        <w:trPr>
          <w:trHeight w:val="168"/>
        </w:trPr>
        <w:tc>
          <w:tcPr>
            <w:tcW w:w="426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$ 91,614</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($ 2,946)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($ 60,344)</w:t>
            </w:r>
          </w:p>
        </w:tc>
      </w:tr>
      <w:tr>
        <w:trPr>
          <w:trHeight w:val="168"/>
        </w:trPr>
        <w:tc>
          <w:tcPr>
            <w:tcW w:w="426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taxes at statutory rate</w:t>
            </w:r>
          </w:p>
        </w:tc>
        <w:tc>
          <w:tcPr>
            <w:tcW w:w="1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$ 32,065</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($ 1,031)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($ 21,120)</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w:t>
            </w:r>
          </w:p>
        </w:tc>
        <w:tc>
          <w:tcPr>
            <w:tcW w:w="1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 to prior year taxes</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(33,192)</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(6,317)</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5,602</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4,881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foreign operations</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(4,212)</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(3,421)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951</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and writeoff of intangibles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3,711</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4,568</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5,537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Losses utilized</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(3,300)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(1,245)</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received deduction</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(2,313)</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(2,317)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(2,378)</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exempt interest</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(1,367)</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(1,233)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(1,571)</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Nondeductible meals, etc.</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992</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1,381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 income taxes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153</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298</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credits</w:t>
            </w:r>
          </w:p>
        </w:tc>
        <w:tc>
          <w:tcPr>
            <w:tcW w:w="1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(875)</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w:t>
            </w:r>
          </w:p>
        </w:tc>
      </w:tr>
      <w:tr>
        <w:trPr>
          <w:trHeight w:val="168"/>
        </w:trPr>
        <w:tc>
          <w:tcPr>
            <w:tcW w:w="426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Provision (Credit)</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(2,736)</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(5,496)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(28,219)</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Amounts applicable to:</w:t>
            </w: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Minority interest expense</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4,536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5,963</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6,440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net losses of investees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4,840</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8,912</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49,781</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changes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17,356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5,908</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4,810</w:t>
            </w:r>
          </w:p>
        </w:tc>
      </w:tr>
      <w:tr>
        <w:trPr>
          <w:trHeight w:val="168"/>
        </w:trPr>
        <w:tc>
          <w:tcPr>
            <w:tcW w:w="426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 as shown</w:t>
            </w:r>
          </w:p>
        </w:tc>
        <w:tc>
          <w:tcPr>
            <w:tcW w:w="1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the Statement of Operations</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$ 23,996</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$15,287</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$ 32,812</w:t>
            </w:r>
          </w:p>
        </w:tc>
      </w:tr>
      <w:tr>
        <w:trPr>
          <w:trHeight w:val="168"/>
        </w:trPr>
        <w:tc>
          <w:tcPr>
            <w:tcW w:w="426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9"/>
          </w:cols>
          <w:pgMar w:left="230" w:top="960" w:right="1440" w:bottom="0" w:gutter="0" w:footer="0" w:header="0"/>
        </w:sectPr>
      </w:pPr>
    </w:p>
    <w:bookmarkStart w:id="121" w:name="page122"/>
    <w:bookmarkEnd w:id="121"/>
    <w:p>
      <w:pPr>
        <w:ind w:left="2120"/>
        <w:spacing w:after="0"/>
        <w:rPr>
          <w:sz w:val="20"/>
          <w:szCs w:val="20"/>
          <w:color w:val="auto"/>
        </w:rPr>
      </w:pPr>
      <w:r>
        <w:rPr>
          <w:rFonts w:ascii="Courier New" w:cs="Courier New" w:eastAsia="Courier New" w:hAnsi="Courier New"/>
          <w:sz w:val="14"/>
          <w:szCs w:val="14"/>
          <w:color w:val="auto"/>
        </w:rPr>
        <w:t>F-59</w:t>
      </w:r>
    </w:p>
    <w:p>
      <w:pPr>
        <w:sectPr>
          <w:pgSz w:w="11900" w:h="16838" w:orient="portrait"/>
          <w:cols w:equalWidth="0" w:num="1">
            <w:col w:w="9019"/>
          </w:cols>
          <w:pgMar w:left="1440" w:top="814" w:right="1440" w:bottom="1440" w:gutter="0" w:footer="0" w:header="0"/>
        </w:sectPr>
      </w:pPr>
    </w:p>
    <w:bookmarkStart w:id="122" w:name="page123"/>
    <w:bookmarkEnd w:id="122"/>
    <w:p>
      <w:pPr>
        <w:spacing w:after="0" w:line="25" w:lineRule="exact"/>
        <w:rPr>
          <w:sz w:val="20"/>
          <w:szCs w:val="20"/>
          <w:color w:val="auto"/>
        </w:rPr>
      </w:pPr>
    </w:p>
    <w:p>
      <w:pPr>
        <w:ind w:right="3340"/>
        <w:spacing w:after="0" w:line="235" w:lineRule="auto"/>
        <w:rPr>
          <w:sz w:val="20"/>
          <w:szCs w:val="20"/>
          <w:color w:val="auto"/>
        </w:rPr>
      </w:pPr>
      <w:r>
        <w:rPr>
          <w:rFonts w:ascii="Courier New" w:cs="Courier New" w:eastAsia="Courier New" w:hAnsi="Courier New"/>
          <w:sz w:val="15"/>
          <w:szCs w:val="15"/>
          <w:color w:val="auto"/>
        </w:rPr>
        <w:t>Total earnings before income taxes include income subject to tax in foreign jurisdictions of $17.8 million in 2002, $8.3 million in 2001 and $10.6 million in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total income tax provision (credit) consists of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30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2002</w:t>
            </w:r>
          </w:p>
        </w:tc>
        <w:tc>
          <w:tcPr>
            <w:tcW w:w="18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060" w:type="dxa"/>
            <w:vAlign w:val="bottom"/>
          </w:tcPr>
          <w:p>
            <w:pPr>
              <w:spacing w:after="0"/>
              <w:rPr>
                <w:sz w:val="14"/>
                <w:szCs w:val="14"/>
                <w:color w:val="auto"/>
              </w:rPr>
            </w:pPr>
          </w:p>
        </w:tc>
        <w:tc>
          <w:tcPr>
            <w:tcW w:w="3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060" w:type="dxa"/>
            <w:vAlign w:val="bottom"/>
          </w:tcPr>
          <w:p>
            <w:pPr>
              <w:spacing w:after="0"/>
              <w:rPr>
                <w:sz w:val="20"/>
                <w:szCs w:val="20"/>
                <w:color w:val="auto"/>
              </w:rPr>
            </w:pPr>
            <w:r>
              <w:rPr>
                <w:rFonts w:ascii="Courier New" w:cs="Courier New" w:eastAsia="Courier New" w:hAnsi="Courier New"/>
                <w:sz w:val="15"/>
                <w:szCs w:val="15"/>
                <w:color w:val="auto"/>
              </w:rPr>
              <w:t>Current taxes:</w:t>
            </w:r>
          </w:p>
        </w:tc>
        <w:tc>
          <w:tcPr>
            <w:tcW w:w="3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3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$17,535</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$44,715</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$10,324</w:t>
            </w: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w:t>
            </w:r>
          </w:p>
        </w:tc>
        <w:tc>
          <w:tcPr>
            <w:tcW w:w="3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2,293</w:t>
            </w:r>
          </w:p>
        </w:tc>
        <w:tc>
          <w:tcPr>
            <w:tcW w:w="18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1,106</w:t>
            </w: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3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236</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1,201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459</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w:t>
            </w:r>
          </w:p>
        </w:tc>
        <w:tc>
          <w:tcPr>
            <w:tcW w:w="3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3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(24,492)</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(50,679)</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(39,588)</w:t>
            </w: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w:t>
            </w:r>
          </w:p>
        </w:tc>
        <w:tc>
          <w:tcPr>
            <w:tcW w:w="3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1,692</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w:t>
            </w:r>
          </w:p>
        </w:tc>
      </w:tr>
      <w:tr>
        <w:trPr>
          <w:trHeight w:val="168"/>
        </w:trPr>
        <w:tc>
          <w:tcPr>
            <w:tcW w:w="3060" w:type="dxa"/>
            <w:vAlign w:val="bottom"/>
          </w:tcPr>
          <w:p>
            <w:pPr>
              <w:spacing w:after="0"/>
              <w:rPr>
                <w:sz w:val="14"/>
                <w:szCs w:val="14"/>
                <w:color w:val="auto"/>
              </w:rPr>
            </w:pPr>
          </w:p>
        </w:tc>
        <w:tc>
          <w:tcPr>
            <w:tcW w:w="3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60" w:type="dxa"/>
            <w:vAlign w:val="bottom"/>
          </w:tcPr>
          <w:p>
            <w:pPr>
              <w:spacing w:after="0"/>
              <w:rPr>
                <w:sz w:val="24"/>
                <w:szCs w:val="24"/>
                <w:color w:val="auto"/>
              </w:rPr>
            </w:pPr>
          </w:p>
        </w:tc>
        <w:tc>
          <w:tcPr>
            <w:tcW w:w="3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($ 2,736)</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($ 5,496)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($28,219)</w:t>
            </w:r>
          </w:p>
        </w:tc>
      </w:tr>
      <w:tr>
        <w:trPr>
          <w:trHeight w:val="168"/>
        </w:trPr>
        <w:tc>
          <w:tcPr>
            <w:tcW w:w="3060" w:type="dxa"/>
            <w:vAlign w:val="bottom"/>
          </w:tcPr>
          <w:p>
            <w:pPr>
              <w:spacing w:after="0"/>
              <w:rPr>
                <w:sz w:val="14"/>
                <w:szCs w:val="14"/>
                <w:color w:val="auto"/>
              </w:rPr>
            </w:pPr>
          </w:p>
        </w:tc>
        <w:tc>
          <w:tcPr>
            <w:tcW w:w="3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420"/>
        <w:spacing w:after="0" w:line="235" w:lineRule="auto"/>
        <w:rPr>
          <w:sz w:val="20"/>
          <w:szCs w:val="20"/>
          <w:color w:val="auto"/>
        </w:rPr>
      </w:pPr>
      <w:r>
        <w:rPr>
          <w:rFonts w:ascii="Courier New" w:cs="Courier New" w:eastAsia="Courier New" w:hAnsi="Courier New"/>
          <w:sz w:val="15"/>
          <w:szCs w:val="15"/>
          <w:color w:val="auto"/>
        </w:rPr>
        <w:t>For income tax purposes, certain members of the AFC consolidated tax group had the following carryforwards available at December 31, 2002 (in millions):</w:t>
      </w:r>
    </w:p>
    <w:p>
      <w:pPr>
        <w:spacing w:after="0" w:line="200" w:lineRule="exact"/>
        <w:rPr>
          <w:sz w:val="20"/>
          <w:szCs w:val="20"/>
          <w:color w:val="auto"/>
        </w:rPr>
      </w:pPr>
    </w:p>
    <w:p>
      <w:pPr>
        <w:spacing w:after="0" w:line="30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Expiring</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r>
      <w:tr>
        <w:trPr>
          <w:trHeight w:val="168"/>
        </w:trPr>
        <w:tc>
          <w:tcPr>
            <w:tcW w:w="1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tcPr>
          <w:p>
            <w:pPr>
              <w:spacing w:after="0"/>
              <w:rPr>
                <w:sz w:val="24"/>
                <w:szCs w:val="24"/>
                <w:color w:val="auto"/>
              </w:rPr>
            </w:pPr>
          </w:p>
        </w:tc>
        <w:tc>
          <w:tcPr>
            <w:tcW w:w="1700" w:type="dxa"/>
            <w:vAlign w:val="bottom"/>
          </w:tcPr>
          <w:p>
            <w:pPr>
              <w:jc w:val="right"/>
              <w:ind w:right="144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- 2007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Loss</w:t>
            </w:r>
          </w:p>
        </w:tc>
        <w:tc>
          <w:tcPr>
            <w:tcW w:w="170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2008</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- 2017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rPr>
                <w:sz w:val="14"/>
                <w:szCs w:val="14"/>
                <w:color w:val="auto"/>
              </w:rPr>
            </w:pPr>
          </w:p>
        </w:tc>
        <w:tc>
          <w:tcPr>
            <w:tcW w:w="170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2018</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- 2020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 Tax Credits</w:t>
            </w:r>
          </w:p>
        </w:tc>
        <w:tc>
          <w:tcPr>
            <w:tcW w:w="1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bl>
    <w:p>
      <w:pPr>
        <w:spacing w:after="0" w:line="200" w:lineRule="exact"/>
        <w:rPr>
          <w:sz w:val="20"/>
          <w:szCs w:val="20"/>
          <w:color w:val="auto"/>
        </w:rPr>
      </w:pPr>
    </w:p>
    <w:p>
      <w:pPr>
        <w:spacing w:after="0" w:line="309" w:lineRule="exact"/>
        <w:rPr>
          <w:sz w:val="20"/>
          <w:szCs w:val="20"/>
          <w:color w:val="auto"/>
        </w:rPr>
      </w:pPr>
    </w:p>
    <w:p>
      <w:pPr>
        <w:ind w:right="3420"/>
        <w:spacing w:after="0" w:line="256" w:lineRule="auto"/>
        <w:rPr>
          <w:sz w:val="20"/>
          <w:szCs w:val="20"/>
          <w:color w:val="auto"/>
        </w:rPr>
      </w:pPr>
      <w:r>
        <w:rPr>
          <w:rFonts w:ascii="Courier New" w:cs="Courier New" w:eastAsia="Courier New" w:hAnsi="Courier New"/>
          <w:sz w:val="14"/>
          <w:szCs w:val="14"/>
          <w:color w:val="auto"/>
        </w:rPr>
        <w:t>Deferred income tax assets and liabilities reflect temporary differences between the carrying amounts of assets and liabilities recognized for financial reporting purposes and the amounts recognized for tax purposes. The significant components of deferred tax assets and liabilities included in the Balance Sheet at December 31, were as follows (in millions):</w:t>
      </w:r>
    </w:p>
    <w:p>
      <w:pPr>
        <w:spacing w:after="0" w:line="200" w:lineRule="exact"/>
        <w:rPr>
          <w:sz w:val="20"/>
          <w:szCs w:val="20"/>
          <w:color w:val="auto"/>
        </w:rPr>
      </w:pPr>
    </w:p>
    <w:p>
      <w:pPr>
        <w:spacing w:after="0" w:line="29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4280" w:type="dxa"/>
            <w:vAlign w:val="bottom"/>
          </w:tcPr>
          <w:p>
            <w:pPr>
              <w:spacing w:after="0"/>
              <w:rPr>
                <w:sz w:val="14"/>
                <w:szCs w:val="14"/>
                <w:color w:val="auto"/>
              </w:rPr>
            </w:pPr>
          </w:p>
        </w:tc>
        <w:tc>
          <w:tcPr>
            <w:tcW w:w="2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2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$ 35.4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$ 68.3</w:t>
            </w:r>
          </w:p>
        </w:tc>
      </w:tr>
      <w:tr>
        <w:trPr>
          <w:trHeight w:val="168"/>
        </w:trPr>
        <w:tc>
          <w:tcPr>
            <w:tcW w:w="4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Insurance claims and reserves</w:t>
            </w:r>
          </w:p>
        </w:tc>
        <w:tc>
          <w:tcPr>
            <w:tcW w:w="2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278.6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268.2</w:t>
            </w:r>
          </w:p>
        </w:tc>
      </w:tr>
      <w:tr>
        <w:trPr>
          <w:trHeight w:val="168"/>
        </w:trPr>
        <w:tc>
          <w:tcPr>
            <w:tcW w:w="4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 net</w:t>
            </w:r>
          </w:p>
        </w:tc>
        <w:tc>
          <w:tcPr>
            <w:tcW w:w="2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108.8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96.4</w:t>
            </w:r>
          </w:p>
        </w:tc>
      </w:tr>
      <w:tr>
        <w:trPr>
          <w:trHeight w:val="168"/>
        </w:trPr>
        <w:tc>
          <w:tcPr>
            <w:tcW w:w="4280" w:type="dxa"/>
            <w:vAlign w:val="bottom"/>
          </w:tcPr>
          <w:p>
            <w:pPr>
              <w:spacing w:after="0"/>
              <w:rPr>
                <w:sz w:val="14"/>
                <w:szCs w:val="14"/>
                <w:color w:val="auto"/>
              </w:rPr>
            </w:pPr>
          </w:p>
        </w:tc>
        <w:tc>
          <w:tcPr>
            <w:tcW w:w="2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80" w:type="dxa"/>
            <w:vAlign w:val="bottom"/>
          </w:tcPr>
          <w:p>
            <w:pPr>
              <w:spacing w:after="0"/>
              <w:rPr>
                <w:sz w:val="14"/>
                <w:szCs w:val="14"/>
                <w:color w:val="auto"/>
              </w:rPr>
            </w:pPr>
          </w:p>
        </w:tc>
        <w:tc>
          <w:tcPr>
            <w:tcW w:w="2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422.8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432.9</w:t>
            </w:r>
          </w:p>
        </w:tc>
      </w:tr>
      <w:tr>
        <w:trPr>
          <w:trHeight w:val="168"/>
        </w:trPr>
        <w:tc>
          <w:tcPr>
            <w:tcW w:w="4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Valuation allowance for deferred</w:t>
            </w:r>
          </w:p>
        </w:tc>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2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tax assets</w:t>
            </w:r>
          </w:p>
        </w:tc>
        <w:tc>
          <w:tcPr>
            <w:tcW w:w="25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(34.9)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4280" w:type="dxa"/>
            <w:vAlign w:val="bottom"/>
          </w:tcPr>
          <w:p>
            <w:pPr>
              <w:spacing w:after="0"/>
              <w:rPr>
                <w:sz w:val="14"/>
                <w:szCs w:val="14"/>
                <w:color w:val="auto"/>
              </w:rPr>
            </w:pPr>
          </w:p>
        </w:tc>
        <w:tc>
          <w:tcPr>
            <w:tcW w:w="2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80" w:type="dxa"/>
            <w:vAlign w:val="bottom"/>
          </w:tcPr>
          <w:p>
            <w:pPr>
              <w:spacing w:after="0"/>
              <w:rPr>
                <w:sz w:val="14"/>
                <w:szCs w:val="14"/>
                <w:color w:val="auto"/>
              </w:rPr>
            </w:pPr>
          </w:p>
        </w:tc>
        <w:tc>
          <w:tcPr>
            <w:tcW w:w="2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387.9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392.0</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Deferred acquisition costs</w:t>
            </w:r>
          </w:p>
        </w:tc>
        <w:tc>
          <w:tcPr>
            <w:tcW w:w="25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(242.6)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(231.5)</w:t>
            </w:r>
          </w:p>
        </w:tc>
      </w:tr>
      <w:tr>
        <w:trPr>
          <w:trHeight w:val="168"/>
        </w:trPr>
        <w:tc>
          <w:tcPr>
            <w:tcW w:w="4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Investment securities</w:t>
            </w:r>
          </w:p>
        </w:tc>
        <w:tc>
          <w:tcPr>
            <w:tcW w:w="25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(188.3)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(109.0)</w:t>
            </w:r>
          </w:p>
        </w:tc>
      </w:tr>
      <w:tr>
        <w:trPr>
          <w:trHeight w:val="168"/>
        </w:trPr>
        <w:tc>
          <w:tcPr>
            <w:tcW w:w="4280" w:type="dxa"/>
            <w:vAlign w:val="bottom"/>
          </w:tcPr>
          <w:p>
            <w:pPr>
              <w:spacing w:after="0"/>
              <w:rPr>
                <w:sz w:val="14"/>
                <w:szCs w:val="14"/>
                <w:color w:val="auto"/>
              </w:rPr>
            </w:pPr>
          </w:p>
        </w:tc>
        <w:tc>
          <w:tcPr>
            <w:tcW w:w="2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80" w:type="dxa"/>
            <w:vAlign w:val="bottom"/>
          </w:tcPr>
          <w:p>
            <w:pPr>
              <w:spacing w:after="0"/>
              <w:rPr>
                <w:sz w:val="14"/>
                <w:szCs w:val="14"/>
                <w:color w:val="auto"/>
              </w:rPr>
            </w:pPr>
          </w:p>
        </w:tc>
        <w:tc>
          <w:tcPr>
            <w:tcW w:w="25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(430.9)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(340.5)</w:t>
            </w:r>
          </w:p>
        </w:tc>
      </w:tr>
      <w:tr>
        <w:trPr>
          <w:trHeight w:val="168"/>
        </w:trPr>
        <w:tc>
          <w:tcPr>
            <w:tcW w:w="4280" w:type="dxa"/>
            <w:vAlign w:val="bottom"/>
          </w:tcPr>
          <w:p>
            <w:pPr>
              <w:spacing w:after="0"/>
              <w:rPr>
                <w:sz w:val="14"/>
                <w:szCs w:val="14"/>
                <w:color w:val="auto"/>
              </w:rPr>
            </w:pPr>
          </w:p>
        </w:tc>
        <w:tc>
          <w:tcPr>
            <w:tcW w:w="2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deferred tax asset (liability)</w:t>
            </w:r>
          </w:p>
        </w:tc>
        <w:tc>
          <w:tcPr>
            <w:tcW w:w="25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($ 43.0)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$ 51.5</w:t>
            </w:r>
          </w:p>
        </w:tc>
      </w:tr>
      <w:tr>
        <w:trPr>
          <w:trHeight w:val="168"/>
        </w:trPr>
        <w:tc>
          <w:tcPr>
            <w:tcW w:w="4280" w:type="dxa"/>
            <w:vAlign w:val="bottom"/>
          </w:tcPr>
          <w:p>
            <w:pPr>
              <w:spacing w:after="0"/>
              <w:rPr>
                <w:sz w:val="14"/>
                <w:szCs w:val="14"/>
                <w:color w:val="auto"/>
              </w:rPr>
            </w:pPr>
          </w:p>
        </w:tc>
        <w:tc>
          <w:tcPr>
            <w:tcW w:w="2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420"/>
        <w:spacing w:after="0" w:line="255" w:lineRule="auto"/>
        <w:rPr>
          <w:sz w:val="20"/>
          <w:szCs w:val="20"/>
          <w:color w:val="auto"/>
        </w:rPr>
      </w:pPr>
      <w:r>
        <w:rPr>
          <w:rFonts w:ascii="Courier New" w:cs="Courier New" w:eastAsia="Courier New" w:hAnsi="Courier New"/>
          <w:sz w:val="14"/>
          <w:szCs w:val="14"/>
          <w:color w:val="auto"/>
        </w:rPr>
        <w:t>The gross deferred tax asset has been reduced by a valuation allowance based on an analysis of the likelihood of realization. Factors considered in assessing the need for a valuation allowance include: (i) recent tax returns, which show neither a history of large amounts of taxable income nor cumulative losses in recent years, (ii) opportunities to generate taxable income from sales of appreciated assets, and (iii) the likelihood of generating larger amounts of taxable income in the future. The likelihood of realizing this asset will be reviewed periodically; any adjustments required to the valuation allowance will be made in the period in which the developments on which they are based become known.</w:t>
      </w:r>
    </w:p>
    <w:p>
      <w:pPr>
        <w:spacing w:after="0" w:line="165" w:lineRule="exact"/>
        <w:rPr>
          <w:sz w:val="20"/>
          <w:szCs w:val="20"/>
          <w:color w:val="auto"/>
        </w:rPr>
      </w:pPr>
    </w:p>
    <w:p>
      <w:pPr>
        <w:ind w:right="3500"/>
        <w:spacing w:after="0" w:line="234" w:lineRule="auto"/>
        <w:rPr>
          <w:sz w:val="20"/>
          <w:szCs w:val="20"/>
          <w:color w:val="auto"/>
        </w:rPr>
      </w:pPr>
      <w:r>
        <w:rPr>
          <w:rFonts w:ascii="Courier New" w:cs="Courier New" w:eastAsia="Courier New" w:hAnsi="Courier New"/>
          <w:sz w:val="15"/>
          <w:szCs w:val="15"/>
          <w:color w:val="auto"/>
        </w:rPr>
        <w:t>Cash payments for income taxes, net of refunds, were $30.0 million, $10.0 million and $24.4 million for 2002, 2001 and 2000, respectively.</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F-60</w:t>
      </w:r>
    </w:p>
    <w:p>
      <w:pPr>
        <w:sectPr>
          <w:pgSz w:w="11900" w:h="16838" w:orient="portrait"/>
          <w:cols w:equalWidth="0" w:num="1">
            <w:col w:w="9900"/>
          </w:cols>
          <w:pgMar w:left="660" w:top="1440" w:right="1339" w:bottom="0" w:gutter="0" w:footer="0" w:header="0"/>
        </w:sectPr>
      </w:pPr>
    </w:p>
    <w:bookmarkStart w:id="123" w:name="page124"/>
    <w:bookmarkEnd w:id="1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ind w:left="430" w:right="3239" w:hanging="430"/>
        <w:spacing w:after="0" w:line="236" w:lineRule="auto"/>
        <w:tabs>
          <w:tab w:leader="none" w:pos="43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 LOSSES OF INVESTEES In addition to the start-up manufacturing operations discussed in Note B, and prior to Chiquita's March 2002 restructuring, AFC owned 24 million shares (31% as of December 31, 2001) of Chiquita common stock. Chiquita is a leading international marketer, producer and distributor of quality fresh fruits and vegetables and processed foods.</w:t>
      </w:r>
    </w:p>
    <w:p>
      <w:pPr>
        <w:spacing w:after="0" w:line="174"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Chiquita announced a restructuring initiative that included discontinuing all interest and principal payments on its public debt. Due to the expected restructuring, AFC recorded a fourth quarter 2000 pretax charge of $95.7 million to write down its investment in Chiquita to quoted market value at December 31, 2000. In 2001, AFC suspended accounting for the investment under the equity method and reclassified the investment to "Other stocks". In the third quarter of 2001, AFC wrote down its investment in Chiquita by an additional $8 million (to $.67 per share). In March 2002, the court approved Chiquita's plan of reorganization under Chapter 11 of the U.S. Bankruptcy Code. Under the plan, over $700 million in principal and accrued interest related to Chiquita's public debt was converted into common equity. As a result of the restructuring, AFC received approximately 171,000 "new" shares (less than one-half of 1%) in the reorganized company plus warrants expiring in 2009 to purchase an additional 2.9 million shares at $19.23 per share. All of the shares and approximately 4% of the warrants have been sold.</w:t>
      </w:r>
    </w:p>
    <w:p>
      <w:pPr>
        <w:spacing w:after="0" w:line="331" w:lineRule="exact"/>
        <w:rPr>
          <w:rFonts w:ascii="Courier New" w:cs="Courier New" w:eastAsia="Courier New" w:hAnsi="Courier New"/>
          <w:sz w:val="15"/>
          <w:szCs w:val="15"/>
          <w:color w:val="auto"/>
        </w:rPr>
      </w:pPr>
    </w:p>
    <w:p>
      <w:pPr>
        <w:jc w:val="both"/>
        <w:ind w:left="43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 ended December 31, 2000, Chiquita reported net sales of $2.25 billion, operating income of $27 million, a net loss of $95 million, and a net loss attributable to common shares of $112 million.</w:t>
      </w:r>
    </w:p>
    <w:p>
      <w:pPr>
        <w:spacing w:after="0" w:line="173"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Loss accruals (included in other liabilities) have been recorded for various environmental and occupational injury and disease claims and other contingencies arising out of the railroad operations disposed of by American Premier's predecessor, Penn Central Transportation Company ("PCTC"), prior to its bankruptcy reorganization in 1978 and certain manufacturing operations disposed of by American Premier.</w:t>
      </w:r>
    </w:p>
    <w:p>
      <w:pPr>
        <w:spacing w:after="0" w:line="166" w:lineRule="exact"/>
        <w:rPr>
          <w:rFonts w:ascii="Courier New" w:cs="Courier New" w:eastAsia="Courier New" w:hAnsi="Courier New"/>
          <w:sz w:val="14"/>
          <w:szCs w:val="14"/>
          <w:color w:val="auto"/>
        </w:rPr>
      </w:pPr>
    </w:p>
    <w:p>
      <w:pPr>
        <w:ind w:left="43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2002, American Premier had liabilities for environmental and personal injury claims aggregating $66.4 million. The environmental claims consist of a number of proceedings and claims seeking to impose responsibility for hazardous waste remediation costs related to certain sites formerly owned or operated by the railroad and manufacturing operations. Remediation costs are difficult to estimate for a number of reasons, including the number and financial resources of other potentially responsible parties, the range of costs for remediation alternatives, changing technology and the time period over which these matters develop. The personal injury claims include pending and expected claims, primarily by former employees of PCTC, for injury or disease allegedly caused by exposure to excessive noise, asbestos or other substances in the workplace. In December 2001, American Premier recorded a $12.1 million charge to increase its environmental reserves due to an increase in expected ultimate claim costs. At December 31, 2002, American Premier had $46.4 million of offsetting recovery assets (included in other assets) for such environmental and personal injury claims based upon estimates of probable recoveries from insurance carriers.</w:t>
      </w:r>
    </w:p>
    <w:p>
      <w:pPr>
        <w:spacing w:after="0" w:line="331" w:lineRule="exact"/>
        <w:rPr>
          <w:rFonts w:ascii="Courier New" w:cs="Courier New" w:eastAsia="Courier New" w:hAnsi="Courier New"/>
          <w:sz w:val="14"/>
          <w:szCs w:val="14"/>
          <w:color w:val="auto"/>
        </w:rPr>
      </w:pPr>
    </w:p>
    <w:p>
      <w:pPr>
        <w:ind w:left="43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AFC has accrued approximately $7 million at December 31, 2002, for environmental costs and certain other matters associated with the sales of former operations.</w:t>
      </w:r>
    </w:p>
    <w:p>
      <w:pPr>
        <w:spacing w:after="0" w:line="173" w:lineRule="exact"/>
        <w:rPr>
          <w:rFonts w:ascii="Courier New" w:cs="Courier New" w:eastAsia="Courier New" w:hAnsi="Courier New"/>
          <w:sz w:val="14"/>
          <w:szCs w:val="14"/>
          <w:color w:val="auto"/>
        </w:rPr>
      </w:pPr>
    </w:p>
    <w:p>
      <w:pPr>
        <w:ind w:left="43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AFC's insurance subsidiaries continue to receive claims related to environmental exposures, asbestos and other mass tort claims. Establishing reserves for these claims is subject to uncertainties that are significantly greater than those presented by other types of claims. The liability for asbestos and environmental reserves at December 31, 2002 and 2001, respectively, was $572 million and $548 million; related recoverables from reinsurers (net of allowances for doubtful accounts) at those dates were $105 million and $101 million, respectively.</w:t>
      </w:r>
    </w:p>
    <w:p>
      <w:pPr>
        <w:spacing w:after="0" w:line="171"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F-61</w:t>
      </w:r>
    </w:p>
    <w:p>
      <w:pPr>
        <w:sectPr>
          <w:pgSz w:w="11900" w:h="16838" w:orient="portrait"/>
          <w:cols w:equalWidth="0" w:num="1">
            <w:col w:w="10229"/>
          </w:cols>
          <w:pgMar w:left="230" w:top="623" w:right="1440" w:bottom="1440" w:gutter="0" w:footer="0" w:header="0"/>
        </w:sectPr>
      </w:pPr>
    </w:p>
    <w:bookmarkStart w:id="125" w:name="page126"/>
    <w:bookmarkEnd w:id="125"/>
    <w:p>
      <w:pPr>
        <w:spacing w:after="0" w:line="25" w:lineRule="exact"/>
        <w:rPr>
          <w:sz w:val="20"/>
          <w:szCs w:val="20"/>
          <w:color w:val="auto"/>
        </w:rPr>
      </w:pPr>
    </w:p>
    <w:p>
      <w:pPr>
        <w:ind w:left="430" w:right="3680"/>
        <w:spacing w:after="0" w:line="236" w:lineRule="auto"/>
        <w:rPr>
          <w:sz w:val="20"/>
          <w:szCs w:val="20"/>
          <w:color w:val="auto"/>
        </w:rPr>
      </w:pPr>
      <w:r>
        <w:rPr>
          <w:rFonts w:ascii="Courier New" w:cs="Courier New" w:eastAsia="Courier New" w:hAnsi="Courier New"/>
          <w:sz w:val="15"/>
          <w:szCs w:val="15"/>
          <w:color w:val="auto"/>
        </w:rPr>
        <w:t>While management believes AFC has recorded adequate reserves for the items discussed in this note, the outcome is uncertain and could result in liabilities exceeding amounts AFC has currently recorded. Additional amounts could have a material adverse effect on AFC's future results of operations and financial condition.</w:t>
      </w:r>
    </w:p>
    <w:p>
      <w:pPr>
        <w:spacing w:after="0" w:line="174" w:lineRule="exact"/>
        <w:rPr>
          <w:sz w:val="20"/>
          <w:szCs w:val="20"/>
          <w:color w:val="auto"/>
        </w:rPr>
      </w:pPr>
    </w:p>
    <w:p>
      <w:pPr>
        <w:ind w:left="430" w:right="3680" w:hanging="430"/>
        <w:spacing w:after="0" w:line="255" w:lineRule="auto"/>
        <w:tabs>
          <w:tab w:leader="none" w:pos="43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OPERATING RESULTS (UNAUDITED) The operations of certain of AFC's business segments are seasonal in nature. While insurance premiums are recognized on a relatively level basis, claim losses related to adverse weather (snow, hail, hurricanes, tornadoes, etc.) may be seasonal. Quarterly results necessarily rely heavily on estimates. These estimates and certain other factors, such as the nature of investees' operations and discretionary sales of assets, cause the quarterly results not to be necessarily indicative of results for longer periods of time.</w:t>
      </w:r>
    </w:p>
    <w:p>
      <w:pPr>
        <w:spacing w:after="0" w:line="165" w:lineRule="exact"/>
        <w:rPr>
          <w:rFonts w:ascii="Courier New" w:cs="Courier New" w:eastAsia="Courier New" w:hAnsi="Courier New"/>
          <w:sz w:val="14"/>
          <w:szCs w:val="14"/>
          <w:color w:val="auto"/>
        </w:rPr>
      </w:pPr>
    </w:p>
    <w:p>
      <w:pPr>
        <w:ind w:left="430" w:right="3680"/>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quarterly results of consolidated operations for the two years ended December 31, 2002 (in millions, except per share amounts).</w:t>
      </w:r>
    </w:p>
    <w:p>
      <w:pPr>
        <w:spacing w:after="0" w:line="200" w:lineRule="exact"/>
        <w:rPr>
          <w:sz w:val="20"/>
          <w:szCs w:val="20"/>
          <w:color w:val="auto"/>
        </w:rPr>
      </w:pPr>
    </w:p>
    <w:p>
      <w:pPr>
        <w:spacing w:after="0" w:line="290"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1st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2nd</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3rd</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4th</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434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Quarter</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Quarter</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Quarter</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Quarter</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434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1660"/>
              <w:spacing w:after="0"/>
              <w:rPr>
                <w:sz w:val="20"/>
                <w:szCs w:val="20"/>
                <w:color w:val="auto"/>
              </w:rPr>
            </w:pPr>
            <w:r>
              <w:rPr>
                <w:rFonts w:ascii="Courier New" w:cs="Courier New" w:eastAsia="Courier New" w:hAnsi="Courier New"/>
                <w:sz w:val="15"/>
                <w:szCs w:val="15"/>
                <w:color w:val="auto"/>
              </w:rPr>
              <w:t>2002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$925.6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$920.1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$935.4</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$963.6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$3,744.7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before accounting change</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134.8</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94.4</w:t>
            </w:r>
          </w:p>
        </w:tc>
      </w:tr>
      <w:tr>
        <w:trPr>
          <w:trHeight w:val="505"/>
        </w:trPr>
        <w:tc>
          <w:tcPr>
            <w:tcW w:w="4340" w:type="dxa"/>
            <w:vAlign w:val="bottom"/>
          </w:tcPr>
          <w:p>
            <w:pPr>
              <w:ind w:left="1660"/>
              <w:spacing w:after="0"/>
              <w:rPr>
                <w:sz w:val="20"/>
                <w:szCs w:val="20"/>
                <w:color w:val="auto"/>
              </w:rPr>
            </w:pPr>
            <w:r>
              <w:rPr>
                <w:rFonts w:ascii="Courier New" w:cs="Courier New" w:eastAsia="Courier New" w:hAnsi="Courier New"/>
                <w:sz w:val="15"/>
                <w:szCs w:val="15"/>
                <w:color w:val="auto"/>
              </w:rPr>
              <w:t>2001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$973.5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$995.0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$1,016.4</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$944.6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$3,929.5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before accounting change</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(51.9)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(51.9)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r>
    </w:tbl>
    <w:p>
      <w:pPr>
        <w:spacing w:after="0" w:line="200" w:lineRule="exact"/>
        <w:rPr>
          <w:sz w:val="20"/>
          <w:szCs w:val="20"/>
          <w:color w:val="auto"/>
        </w:rPr>
      </w:pPr>
    </w:p>
    <w:p>
      <w:pPr>
        <w:spacing w:after="0" w:line="309" w:lineRule="exact"/>
        <w:rPr>
          <w:sz w:val="20"/>
          <w:szCs w:val="20"/>
          <w:color w:val="auto"/>
        </w:rPr>
      </w:pPr>
    </w:p>
    <w:p>
      <w:pPr>
        <w:ind w:left="430" w:right="3600"/>
        <w:spacing w:after="0" w:line="236" w:lineRule="auto"/>
        <w:rPr>
          <w:sz w:val="20"/>
          <w:szCs w:val="20"/>
          <w:color w:val="auto"/>
        </w:rPr>
      </w:pPr>
      <w:r>
        <w:rPr>
          <w:rFonts w:ascii="Courier New" w:cs="Courier New" w:eastAsia="Courier New" w:hAnsi="Courier New"/>
          <w:sz w:val="15"/>
          <w:szCs w:val="15"/>
          <w:color w:val="auto"/>
        </w:rPr>
        <w:t>Results for 2002 include a $16 million tax benefit in the first quarter and a $15 million tax benefit in the fourth quarter resulting from the reduction of previously accrued amounts due to the resolution of certain tax matters. Fourth quarter 2002 results also include a $30 million charge related to the settlement of asbestos-related litigation.</w:t>
      </w:r>
    </w:p>
    <w:p>
      <w:pPr>
        <w:spacing w:after="0" w:line="174" w:lineRule="exact"/>
        <w:rPr>
          <w:sz w:val="20"/>
          <w:szCs w:val="20"/>
          <w:color w:val="auto"/>
        </w:rPr>
      </w:pPr>
    </w:p>
    <w:p>
      <w:pPr>
        <w:ind w:left="430" w:right="3860"/>
        <w:spacing w:after="0" w:line="234" w:lineRule="auto"/>
        <w:rPr>
          <w:sz w:val="20"/>
          <w:szCs w:val="20"/>
          <w:color w:val="auto"/>
        </w:rPr>
      </w:pPr>
      <w:r>
        <w:rPr>
          <w:rFonts w:ascii="Courier New" w:cs="Courier New" w:eastAsia="Courier New" w:hAnsi="Courier New"/>
          <w:sz w:val="15"/>
          <w:szCs w:val="15"/>
          <w:color w:val="auto"/>
        </w:rPr>
        <w:t>The results for 2001 include goodwill amortization of approximately $3.4 million per quarter.</w:t>
      </w:r>
    </w:p>
    <w:p>
      <w:pPr>
        <w:spacing w:after="0" w:line="173" w:lineRule="exact"/>
        <w:rPr>
          <w:sz w:val="20"/>
          <w:szCs w:val="20"/>
          <w:color w:val="auto"/>
        </w:rPr>
      </w:pPr>
    </w:p>
    <w:p>
      <w:pPr>
        <w:ind w:left="430" w:right="3680"/>
        <w:spacing w:after="0" w:line="258" w:lineRule="auto"/>
        <w:rPr>
          <w:sz w:val="20"/>
          <w:szCs w:val="20"/>
          <w:color w:val="auto"/>
        </w:rPr>
      </w:pPr>
      <w:r>
        <w:rPr>
          <w:rFonts w:ascii="Courier New" w:cs="Courier New" w:eastAsia="Courier New" w:hAnsi="Courier New"/>
          <w:sz w:val="14"/>
          <w:szCs w:val="14"/>
          <w:color w:val="auto"/>
        </w:rPr>
        <w:t>The 2001 third quarter results include a $100 million pretax charge to strengthen asbestos and environmental insurance reserves and pretax losses of $25 million resulting from the World Trade Center terrorist attack.</w:t>
      </w:r>
    </w:p>
    <w:p>
      <w:pPr>
        <w:spacing w:after="0" w:line="161" w:lineRule="exact"/>
        <w:rPr>
          <w:sz w:val="20"/>
          <w:szCs w:val="20"/>
          <w:color w:val="auto"/>
        </w:rPr>
      </w:pPr>
    </w:p>
    <w:p>
      <w:pPr>
        <w:jc w:val="both"/>
        <w:ind w:left="430" w:right="3760"/>
        <w:spacing w:after="0" w:line="235" w:lineRule="auto"/>
        <w:rPr>
          <w:sz w:val="20"/>
          <w:szCs w:val="20"/>
          <w:color w:val="auto"/>
        </w:rPr>
      </w:pPr>
      <w:r>
        <w:rPr>
          <w:rFonts w:ascii="Courier New" w:cs="Courier New" w:eastAsia="Courier New" w:hAnsi="Courier New"/>
          <w:sz w:val="15"/>
          <w:szCs w:val="15"/>
          <w:color w:val="auto"/>
        </w:rPr>
        <w:t>AFC has realized gains (losses) on sales of subsidiaries in recent years (see Note B). Realized gains (losses) on securities, affiliates and other investments amounted to (in millions):</w:t>
      </w:r>
    </w:p>
    <w:p>
      <w:pPr>
        <w:spacing w:after="0" w:line="200" w:lineRule="exact"/>
        <w:rPr>
          <w:sz w:val="20"/>
          <w:szCs w:val="20"/>
          <w:color w:val="auto"/>
        </w:rPr>
      </w:pPr>
    </w:p>
    <w:p>
      <w:pPr>
        <w:spacing w:after="0" w:line="304" w:lineRule="exact"/>
        <w:rPr>
          <w:sz w:val="20"/>
          <w:szCs w:val="20"/>
          <w:color w:val="auto"/>
        </w:rPr>
      </w:pPr>
    </w:p>
    <w:tbl>
      <w:tblPr>
        <w:tblLayout w:type="fixed"/>
        <w:tblInd w:w="970"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2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1st</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2nd</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3rd</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4th</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1660" w:type="dxa"/>
            <w:vAlign w:val="bottom"/>
          </w:tcPr>
          <w:p>
            <w:pPr>
              <w:spacing w:after="0"/>
              <w:rPr>
                <w:sz w:val="14"/>
                <w:szCs w:val="14"/>
                <w:color w:val="auto"/>
              </w:rPr>
            </w:pPr>
          </w:p>
        </w:tc>
        <w:tc>
          <w:tcPr>
            <w:tcW w:w="2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Quarter</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Quarter</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Quarter</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Quarter</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1660" w:type="dxa"/>
            <w:vAlign w:val="bottom"/>
          </w:tcPr>
          <w:p>
            <w:pPr>
              <w:spacing w:after="0"/>
              <w:rPr>
                <w:sz w:val="14"/>
                <w:szCs w:val="14"/>
                <w:color w:val="auto"/>
              </w:rPr>
            </w:pPr>
          </w:p>
        </w:tc>
        <w:tc>
          <w:tcPr>
            <w:tcW w:w="2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6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88"/>
              </w:rPr>
              <w:t>2002</w:t>
            </w:r>
          </w:p>
        </w:tc>
        <w:tc>
          <w:tcPr>
            <w:tcW w:w="2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($17.8)</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($47.5)</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($33.9)</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($89.7)</w:t>
            </w:r>
          </w:p>
        </w:tc>
      </w:tr>
      <w:tr>
        <w:trPr>
          <w:trHeight w:val="168"/>
        </w:trPr>
        <w:tc>
          <w:tcPr>
            <w:tcW w:w="166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w w:val="88"/>
              </w:rPr>
              <w:t>2001</w:t>
            </w:r>
          </w:p>
        </w:tc>
        <w:tc>
          <w:tcPr>
            <w:tcW w:w="2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(26.4)</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F-62</w:t>
      </w:r>
    </w:p>
    <w:p>
      <w:pPr>
        <w:sectPr>
          <w:pgSz w:w="11900" w:h="16838" w:orient="portrait"/>
          <w:cols w:equalWidth="0" w:num="1">
            <w:col w:w="10590"/>
          </w:cols>
          <w:pgMar w:left="230" w:top="1440" w:right="1079" w:bottom="1022" w:gutter="0" w:footer="0" w:header="0"/>
        </w:sectPr>
      </w:pPr>
    </w:p>
    <w:bookmarkStart w:id="126" w:name="page127"/>
    <w:bookmarkEnd w:id="126"/>
    <w:p>
      <w:pPr>
        <w:spacing w:after="0" w:line="25" w:lineRule="exact"/>
        <w:rPr>
          <w:sz w:val="20"/>
          <w:szCs w:val="20"/>
          <w:color w:val="auto"/>
        </w:rPr>
      </w:pPr>
    </w:p>
    <w:p>
      <w:pPr>
        <w:jc w:val="both"/>
        <w:ind w:left="430" w:right="3679" w:hanging="430"/>
        <w:spacing w:after="0" w:line="235" w:lineRule="auto"/>
        <w:tabs>
          <w:tab w:leader="none" w:pos="43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Securities owned by insurance subsidiaries having a carrying value of just over $1 billion at December 31, 2002, were on deposit as required by regulatory authorities.</w:t>
      </w:r>
    </w:p>
    <w:p>
      <w:pPr>
        <w:spacing w:after="0" w:line="173"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RESERVES The liability for losses and loss adjustment expenses for certain long-term scheduled payments under workers' compensation, auto liability and other liability insurance has been discounted at about 8%, an approximation of long-term investment yields. As a result, the total liability for losses and loss adjustment expenses at December 31, 2002, has been reduced by $25 million.</w:t>
      </w:r>
    </w:p>
    <w:p>
      <w:pPr>
        <w:spacing w:after="0" w:line="174" w:lineRule="exact"/>
        <w:rPr>
          <w:rFonts w:ascii="Courier New" w:cs="Courier New" w:eastAsia="Courier New" w:hAnsi="Courier New"/>
          <w:sz w:val="15"/>
          <w:szCs w:val="15"/>
          <w:color w:val="auto"/>
        </w:rPr>
      </w:pPr>
    </w:p>
    <w:p>
      <w:pPr>
        <w:ind w:left="430"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provides an analysis of changes in the liability for losses and loss adjustment expenses, net of reinsurance (and grossed up), over the past three years on a GAAP basis (in millions). Adverse development recorded in 2002 and 2001 in prior year reserves related primarily to charges for asbestos and certain Specialty lines in run-off.</w:t>
      </w:r>
    </w:p>
    <w:p>
      <w:pPr>
        <w:spacing w:after="0" w:line="200" w:lineRule="exact"/>
        <w:rPr>
          <w:sz w:val="20"/>
          <w:szCs w:val="20"/>
          <w:color w:val="auto"/>
        </w:rPr>
      </w:pPr>
    </w:p>
    <w:p>
      <w:pPr>
        <w:spacing w:after="0" w:line="293" w:lineRule="exact"/>
        <w:rPr>
          <w:sz w:val="20"/>
          <w:szCs w:val="20"/>
          <w:color w:val="auto"/>
        </w:rPr>
      </w:pPr>
    </w:p>
    <w:tbl>
      <w:tblPr>
        <w:tblLayout w:type="fixed"/>
        <w:tblInd w:w="69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4340" w:type="dxa"/>
            <w:vAlign w:val="bottom"/>
          </w:tcPr>
          <w:p>
            <w:pPr>
              <w:spacing w:after="0"/>
              <w:rPr>
                <w:sz w:val="14"/>
                <w:szCs w:val="14"/>
                <w:color w:val="auto"/>
              </w:rPr>
            </w:pP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$3,253</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$3,192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$3,224</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Provision for losses and LAE occurring</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the current year</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1,664</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1,950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provision for</w:t>
            </w: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claims of prior years</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171</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340" w:type="dxa"/>
            <w:vAlign w:val="bottom"/>
          </w:tcPr>
          <w:p>
            <w:pPr>
              <w:spacing w:after="0"/>
              <w:rPr>
                <w:sz w:val="14"/>
                <w:szCs w:val="14"/>
                <w:color w:val="auto"/>
              </w:rPr>
            </w:pP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losses and LAE incurred (*)</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1,835</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2,113</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 for losses and LAE of:</w:t>
            </w: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year</w:t>
            </w:r>
          </w:p>
        </w:tc>
        <w:tc>
          <w:tcPr>
            <w:tcW w:w="1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(594)</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Prior years</w:t>
            </w:r>
          </w:p>
        </w:tc>
        <w:tc>
          <w:tcPr>
            <w:tcW w:w="1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(1,094)</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(1,036)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(936)</w:t>
            </w:r>
          </w:p>
        </w:tc>
      </w:tr>
      <w:tr>
        <w:trPr>
          <w:trHeight w:val="168"/>
        </w:trPr>
        <w:tc>
          <w:tcPr>
            <w:tcW w:w="4340" w:type="dxa"/>
            <w:vAlign w:val="bottom"/>
          </w:tcPr>
          <w:p>
            <w:pPr>
              <w:spacing w:after="0"/>
              <w:rPr>
                <w:sz w:val="14"/>
                <w:szCs w:val="14"/>
                <w:color w:val="auto"/>
              </w:rPr>
            </w:pP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payments</w:t>
            </w:r>
          </w:p>
        </w:tc>
        <w:tc>
          <w:tcPr>
            <w:tcW w:w="1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(1,688)</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(1,867)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(1,841)</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Reserves of businesses sold</w:t>
            </w:r>
          </w:p>
        </w:tc>
        <w:tc>
          <w:tcPr>
            <w:tcW w:w="19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Reclass to unearned premiums</w:t>
            </w:r>
          </w:p>
        </w:tc>
        <w:tc>
          <w:tcPr>
            <w:tcW w:w="19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at end of period</w:t>
            </w: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$3,400</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$3,253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$3,192</w:t>
            </w:r>
          </w:p>
        </w:tc>
      </w:tr>
      <w:tr>
        <w:trPr>
          <w:trHeight w:val="168"/>
        </w:trPr>
        <w:tc>
          <w:tcPr>
            <w:tcW w:w="4340" w:type="dxa"/>
            <w:vAlign w:val="bottom"/>
          </w:tcPr>
          <w:p>
            <w:pPr>
              <w:spacing w:after="0"/>
              <w:rPr>
                <w:sz w:val="14"/>
                <w:szCs w:val="14"/>
                <w:color w:val="auto"/>
              </w:rPr>
            </w:pP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Add back reinsurance recoverables, net</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allowance</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1,804</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1,525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1,324</w:t>
            </w:r>
          </w:p>
        </w:tc>
      </w:tr>
      <w:tr>
        <w:trPr>
          <w:trHeight w:val="168"/>
        </w:trPr>
        <w:tc>
          <w:tcPr>
            <w:tcW w:w="4340" w:type="dxa"/>
            <w:vAlign w:val="bottom"/>
          </w:tcPr>
          <w:p>
            <w:pPr>
              <w:spacing w:after="0"/>
              <w:rPr>
                <w:sz w:val="14"/>
                <w:szCs w:val="14"/>
                <w:color w:val="auto"/>
              </w:rPr>
            </w:pP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Gross unpaid losses and LAE included</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the Balance Sheet</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$5,204</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$4,778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$4,516</w:t>
            </w:r>
          </w:p>
        </w:tc>
      </w:tr>
      <w:tr>
        <w:trPr>
          <w:trHeight w:val="168"/>
        </w:trPr>
        <w:tc>
          <w:tcPr>
            <w:tcW w:w="4340" w:type="dxa"/>
            <w:vAlign w:val="bottom"/>
          </w:tcPr>
          <w:p>
            <w:pPr>
              <w:spacing w:after="0"/>
              <w:rPr>
                <w:sz w:val="14"/>
                <w:szCs w:val="14"/>
                <w:color w:val="auto"/>
              </w:rPr>
            </w:pP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70" w:right="3499" w:hanging="433"/>
        <w:spacing w:after="0" w:line="261" w:lineRule="auto"/>
        <w:tabs>
          <w:tab w:leader="none" w:pos="87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amortization of deferred gains on retroactive reinsurance of $20 million in 2002, $33 million in 2001 and $34 million in 2000.</w:t>
      </w:r>
    </w:p>
    <w:p>
      <w:pPr>
        <w:spacing w:after="0" w:line="328" w:lineRule="exact"/>
        <w:rPr>
          <w:sz w:val="20"/>
          <w:szCs w:val="20"/>
          <w:color w:val="auto"/>
        </w:rPr>
      </w:pPr>
    </w:p>
    <w:p>
      <w:pPr>
        <w:ind w:left="430" w:right="3499"/>
        <w:spacing w:after="0" w:line="235" w:lineRule="auto"/>
        <w:rPr>
          <w:sz w:val="20"/>
          <w:szCs w:val="20"/>
          <w:color w:val="auto"/>
        </w:rPr>
      </w:pPr>
      <w:r>
        <w:rPr>
          <w:rFonts w:ascii="Courier New" w:cs="Courier New" w:eastAsia="Courier New" w:hAnsi="Courier New"/>
          <w:sz w:val="15"/>
          <w:szCs w:val="15"/>
          <w:color w:val="auto"/>
        </w:rPr>
        <w:t>NET INVESTMENT INCOME The following table shows (in millions) investment income earned and investment expenses incurred by AFC's insurance companies.</w:t>
      </w:r>
    </w:p>
    <w:p>
      <w:pPr>
        <w:spacing w:after="0" w:line="200" w:lineRule="exact"/>
        <w:rPr>
          <w:sz w:val="20"/>
          <w:szCs w:val="20"/>
          <w:color w:val="auto"/>
        </w:rPr>
      </w:pPr>
    </w:p>
    <w:p>
      <w:pPr>
        <w:spacing w:after="0" w:line="304"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7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2002</w:t>
            </w:r>
          </w:p>
        </w:tc>
        <w:tc>
          <w:tcPr>
            <w:tcW w:w="14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4160" w:type="dxa"/>
            <w:vAlign w:val="bottom"/>
          </w:tcPr>
          <w:p>
            <w:pPr>
              <w:spacing w:after="0"/>
              <w:rPr>
                <w:sz w:val="14"/>
                <w:szCs w:val="14"/>
                <w:color w:val="auto"/>
              </w:rPr>
            </w:pPr>
          </w:p>
        </w:tc>
        <w:tc>
          <w:tcPr>
            <w:tcW w:w="17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Insurance group investment income:</w:t>
            </w: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Fixed maturities</w:t>
            </w:r>
          </w:p>
        </w:tc>
        <w:tc>
          <w:tcPr>
            <w:tcW w:w="17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$850.9</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$841.0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$815.5</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7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9.6</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7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160" w:type="dxa"/>
            <w:vAlign w:val="bottom"/>
          </w:tcPr>
          <w:p>
            <w:pPr>
              <w:spacing w:after="0"/>
              <w:rPr>
                <w:sz w:val="14"/>
                <w:szCs w:val="14"/>
                <w:color w:val="auto"/>
              </w:rPr>
            </w:pPr>
          </w:p>
        </w:tc>
        <w:tc>
          <w:tcPr>
            <w:tcW w:w="17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7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861.1</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850.2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830.2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Insurance group investment expenses (*)</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(40.4)</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w:t>
            </w:r>
          </w:p>
        </w:tc>
      </w:tr>
      <w:tr>
        <w:trPr>
          <w:trHeight w:val="168"/>
        </w:trPr>
        <w:tc>
          <w:tcPr>
            <w:tcW w:w="4160" w:type="dxa"/>
            <w:vAlign w:val="bottom"/>
          </w:tcPr>
          <w:p>
            <w:pPr>
              <w:spacing w:after="0"/>
              <w:rPr>
                <w:sz w:val="14"/>
                <w:szCs w:val="14"/>
                <w:color w:val="auto"/>
              </w:rPr>
            </w:pPr>
          </w:p>
        </w:tc>
        <w:tc>
          <w:tcPr>
            <w:tcW w:w="17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4"/>
                <w:szCs w:val="24"/>
                <w:color w:val="auto"/>
              </w:rPr>
            </w:pPr>
          </w:p>
        </w:tc>
        <w:tc>
          <w:tcPr>
            <w:tcW w:w="17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$820.7</w:t>
            </w:r>
          </w:p>
        </w:tc>
        <w:tc>
          <w:tcPr>
            <w:tcW w:w="14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$813.4</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$788.8</w:t>
            </w:r>
          </w:p>
        </w:tc>
      </w:tr>
      <w:tr>
        <w:trPr>
          <w:trHeight w:val="168"/>
        </w:trPr>
        <w:tc>
          <w:tcPr>
            <w:tcW w:w="4160" w:type="dxa"/>
            <w:vAlign w:val="bottom"/>
          </w:tcPr>
          <w:p>
            <w:pPr>
              <w:spacing w:after="0"/>
              <w:rPr>
                <w:sz w:val="14"/>
                <w:szCs w:val="14"/>
                <w:color w:val="auto"/>
              </w:rPr>
            </w:pPr>
          </w:p>
        </w:tc>
        <w:tc>
          <w:tcPr>
            <w:tcW w:w="17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70" w:right="3499" w:hanging="433"/>
        <w:spacing w:after="0" w:line="234" w:lineRule="auto"/>
        <w:tabs>
          <w:tab w:leader="none" w:pos="87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primarily in "Other operating and general expenses" in the Statement of Operations.</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F-63</w:t>
      </w:r>
    </w:p>
    <w:p>
      <w:pPr>
        <w:sectPr>
          <w:pgSz w:w="11900" w:h="16838" w:orient="portrait"/>
          <w:cols w:equalWidth="0" w:num="1">
            <w:col w:w="10229"/>
          </w:cols>
          <w:pgMar w:left="230" w:top="1440" w:right="1440" w:bottom="517" w:gutter="0" w:footer="0" w:header="0"/>
        </w:sectPr>
      </w:pPr>
    </w:p>
    <w:bookmarkStart w:id="127" w:name="page128"/>
    <w:bookmarkEnd w:id="127"/>
    <w:p>
      <w:pPr>
        <w:ind w:left="430" w:right="3840"/>
        <w:spacing w:after="0" w:line="256" w:lineRule="auto"/>
        <w:rPr>
          <w:sz w:val="20"/>
          <w:szCs w:val="20"/>
          <w:color w:val="auto"/>
        </w:rPr>
      </w:pPr>
      <w:r>
        <w:rPr>
          <w:rFonts w:ascii="Courier New" w:cs="Courier New" w:eastAsia="Courier New" w:hAnsi="Courier New"/>
          <w:sz w:val="14"/>
          <w:szCs w:val="14"/>
          <w:color w:val="auto"/>
        </w:rPr>
        <w:t>STATUTORY INFORMATION AFC's insurance subsidiaries are required to file financial statements with state insurance regulatory authorities prepared on an accounting basis prescribed or permitted by such authorities (statutory basis). Net earnings and policyholders' surplus on a statutory basis for the insurance subsidiaries were as follows (in millions):</w:t>
      </w:r>
    </w:p>
    <w:p>
      <w:pPr>
        <w:spacing w:after="0" w:line="200" w:lineRule="exact"/>
        <w:rPr>
          <w:sz w:val="20"/>
          <w:szCs w:val="20"/>
          <w:color w:val="auto"/>
        </w:rPr>
      </w:pPr>
    </w:p>
    <w:p>
      <w:pPr>
        <w:spacing w:after="0" w:line="293"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Policyholders'</w:t>
            </w:r>
          </w:p>
        </w:tc>
      </w:tr>
      <w:tr>
        <w:trPr>
          <w:trHeight w:val="168"/>
        </w:trPr>
        <w:tc>
          <w:tcPr>
            <w:tcW w:w="3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Net Earnings (Loss)</w:t>
            </w:r>
          </w:p>
        </w:tc>
        <w:tc>
          <w:tcPr>
            <w:tcW w:w="11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Surplus</w:t>
            </w:r>
          </w:p>
        </w:tc>
      </w:tr>
      <w:tr>
        <w:trPr>
          <w:trHeight w:val="168"/>
        </w:trPr>
        <w:tc>
          <w:tcPr>
            <w:tcW w:w="3980" w:type="dxa"/>
            <w:vAlign w:val="bottom"/>
          </w:tcPr>
          <w:p>
            <w:pPr>
              <w:spacing w:after="0"/>
              <w:rPr>
                <w:sz w:val="14"/>
                <w:szCs w:val="14"/>
                <w:color w:val="auto"/>
              </w:rPr>
            </w:pPr>
          </w:p>
        </w:tc>
        <w:tc>
          <w:tcPr>
            <w:tcW w:w="2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980" w:type="dxa"/>
            <w:vAlign w:val="bottom"/>
          </w:tcPr>
          <w:p>
            <w:pPr>
              <w:spacing w:after="0"/>
              <w:rPr>
                <w:sz w:val="14"/>
                <w:szCs w:val="14"/>
                <w:color w:val="auto"/>
              </w:rPr>
            </w:pPr>
          </w:p>
        </w:tc>
        <w:tc>
          <w:tcPr>
            <w:tcW w:w="1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Property and casualty companies</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$116</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$1,742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$1,669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Life insurance companies</w:t>
            </w:r>
          </w:p>
        </w:tc>
        <w:tc>
          <w:tcPr>
            <w:tcW w:w="1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w:t>
            </w:r>
          </w:p>
        </w:tc>
      </w:tr>
    </w:tbl>
    <w:p>
      <w:pPr>
        <w:spacing w:after="0" w:line="200" w:lineRule="exact"/>
        <w:rPr>
          <w:sz w:val="20"/>
          <w:szCs w:val="20"/>
          <w:color w:val="auto"/>
        </w:rPr>
      </w:pPr>
    </w:p>
    <w:p>
      <w:pPr>
        <w:spacing w:after="0" w:line="309" w:lineRule="exact"/>
        <w:rPr>
          <w:sz w:val="20"/>
          <w:szCs w:val="20"/>
          <w:color w:val="auto"/>
        </w:rPr>
      </w:pPr>
    </w:p>
    <w:p>
      <w:pPr>
        <w:ind w:left="430" w:right="3680"/>
        <w:spacing w:after="0" w:line="255" w:lineRule="auto"/>
        <w:rPr>
          <w:sz w:val="20"/>
          <w:szCs w:val="20"/>
          <w:color w:val="auto"/>
        </w:rPr>
      </w:pPr>
      <w:r>
        <w:rPr>
          <w:rFonts w:ascii="Courier New" w:cs="Courier New" w:eastAsia="Courier New" w:hAnsi="Courier New"/>
          <w:sz w:val="14"/>
          <w:szCs w:val="14"/>
          <w:color w:val="auto"/>
        </w:rPr>
        <w:t>REINSURANCE In the normal course of business, AFC's insurance subsidiaries cede reinsurance to other companies to diversify risk and limit maximum loss arising from large claims. To the extent that any reinsuring companies are unable to meet obligations under agreements covering reinsurance ceded, AFC's insurance subsidiaries would remain liable. The following table shows (in millions) (i) amounts deducted from property and casualty written and earned premiums in connection with reinsurance ceded, (ii) written and earned premiums included in income for reinsurance assumed and (iii) reinsurance recoveries deducted from losses and loss adjustment expenses.</w:t>
      </w:r>
    </w:p>
    <w:p>
      <w:pPr>
        <w:spacing w:after="0" w:line="200" w:lineRule="exact"/>
        <w:rPr>
          <w:sz w:val="20"/>
          <w:szCs w:val="20"/>
          <w:color w:val="auto"/>
        </w:rPr>
      </w:pPr>
    </w:p>
    <w:p>
      <w:pPr>
        <w:spacing w:after="0" w:line="295" w:lineRule="exact"/>
        <w:rPr>
          <w:sz w:val="20"/>
          <w:szCs w:val="20"/>
          <w:color w:val="auto"/>
        </w:rPr>
      </w:pPr>
    </w:p>
    <w:tbl>
      <w:tblPr>
        <w:tblLayout w:type="fixed"/>
        <w:tblInd w:w="113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2002</w:t>
            </w: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600" w:type="dxa"/>
            <w:vAlign w:val="bottom"/>
          </w:tcPr>
          <w:p>
            <w:pPr>
              <w:spacing w:after="0"/>
              <w:rPr>
                <w:sz w:val="14"/>
                <w:szCs w:val="14"/>
                <w:color w:val="auto"/>
              </w:rPr>
            </w:pPr>
          </w:p>
        </w:tc>
        <w:tc>
          <w:tcPr>
            <w:tcW w:w="2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Direct premiums written</w:t>
            </w:r>
          </w:p>
        </w:tc>
        <w:tc>
          <w:tcPr>
            <w:tcW w:w="2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$4,027</w:t>
            </w: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$3,573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$3,365</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Reinsurance assumed</w:t>
            </w:r>
          </w:p>
        </w:tc>
        <w:tc>
          <w:tcPr>
            <w:tcW w:w="2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80</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Reinsurance ceded</w:t>
            </w:r>
          </w:p>
        </w:tc>
        <w:tc>
          <w:tcPr>
            <w:tcW w:w="2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(1,693)</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(1,114)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(803)</w:t>
            </w:r>
          </w:p>
        </w:tc>
      </w:tr>
      <w:tr>
        <w:trPr>
          <w:trHeight w:val="168"/>
        </w:trPr>
        <w:tc>
          <w:tcPr>
            <w:tcW w:w="3600" w:type="dxa"/>
            <w:vAlign w:val="bottom"/>
          </w:tcPr>
          <w:p>
            <w:pPr>
              <w:spacing w:after="0"/>
              <w:rPr>
                <w:sz w:val="14"/>
                <w:szCs w:val="14"/>
                <w:color w:val="auto"/>
              </w:rPr>
            </w:pPr>
          </w:p>
        </w:tc>
        <w:tc>
          <w:tcPr>
            <w:tcW w:w="2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written premiums</w:t>
            </w:r>
          </w:p>
        </w:tc>
        <w:tc>
          <w:tcPr>
            <w:tcW w:w="2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$2,414</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$2,553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$2,638</w:t>
            </w:r>
          </w:p>
        </w:tc>
      </w:tr>
      <w:tr>
        <w:trPr>
          <w:trHeight w:val="168"/>
        </w:trPr>
        <w:tc>
          <w:tcPr>
            <w:tcW w:w="3600" w:type="dxa"/>
            <w:vAlign w:val="bottom"/>
          </w:tcPr>
          <w:p>
            <w:pPr>
              <w:spacing w:after="0"/>
              <w:rPr>
                <w:sz w:val="14"/>
                <w:szCs w:val="14"/>
                <w:color w:val="auto"/>
              </w:rPr>
            </w:pPr>
          </w:p>
        </w:tc>
        <w:tc>
          <w:tcPr>
            <w:tcW w:w="2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Direct premiums earned</w:t>
            </w:r>
          </w:p>
        </w:tc>
        <w:tc>
          <w:tcPr>
            <w:tcW w:w="2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$3,798</w:t>
            </w: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$3,393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$3,306</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Reinsurance assumed</w:t>
            </w:r>
          </w:p>
        </w:tc>
        <w:tc>
          <w:tcPr>
            <w:tcW w:w="2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91</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Reinsurance ceded</w:t>
            </w:r>
          </w:p>
        </w:tc>
        <w:tc>
          <w:tcPr>
            <w:tcW w:w="2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(1,486)</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(891)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w:t>
            </w:r>
          </w:p>
        </w:tc>
      </w:tr>
      <w:tr>
        <w:trPr>
          <w:trHeight w:val="168"/>
        </w:trPr>
        <w:tc>
          <w:tcPr>
            <w:tcW w:w="3600" w:type="dxa"/>
            <w:vAlign w:val="bottom"/>
          </w:tcPr>
          <w:p>
            <w:pPr>
              <w:spacing w:after="0"/>
              <w:rPr>
                <w:sz w:val="14"/>
                <w:szCs w:val="14"/>
                <w:color w:val="auto"/>
              </w:rPr>
            </w:pPr>
          </w:p>
        </w:tc>
        <w:tc>
          <w:tcPr>
            <w:tcW w:w="2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earned premiums</w:t>
            </w:r>
          </w:p>
        </w:tc>
        <w:tc>
          <w:tcPr>
            <w:tcW w:w="2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$2,403</w:t>
            </w: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$2,594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$2,495</w:t>
            </w:r>
          </w:p>
        </w:tc>
      </w:tr>
      <w:tr>
        <w:trPr>
          <w:trHeight w:val="168"/>
        </w:trPr>
        <w:tc>
          <w:tcPr>
            <w:tcW w:w="3600" w:type="dxa"/>
            <w:vAlign w:val="bottom"/>
          </w:tcPr>
          <w:p>
            <w:pPr>
              <w:spacing w:after="0"/>
              <w:rPr>
                <w:sz w:val="14"/>
                <w:szCs w:val="14"/>
                <w:color w:val="auto"/>
              </w:rPr>
            </w:pPr>
          </w:p>
        </w:tc>
        <w:tc>
          <w:tcPr>
            <w:tcW w:w="2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Reinsurance recoveries</w:t>
            </w:r>
          </w:p>
        </w:tc>
        <w:tc>
          <w:tcPr>
            <w:tcW w:w="2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$1,142</w:t>
            </w: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  773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567</w:t>
            </w:r>
          </w:p>
        </w:tc>
      </w:tr>
      <w:tr>
        <w:trPr>
          <w:trHeight w:val="168"/>
        </w:trPr>
        <w:tc>
          <w:tcPr>
            <w:tcW w:w="3600" w:type="dxa"/>
            <w:vAlign w:val="bottom"/>
          </w:tcPr>
          <w:p>
            <w:pPr>
              <w:spacing w:after="0"/>
              <w:rPr>
                <w:sz w:val="14"/>
                <w:szCs w:val="14"/>
                <w:color w:val="auto"/>
              </w:rPr>
            </w:pPr>
          </w:p>
        </w:tc>
        <w:tc>
          <w:tcPr>
            <w:tcW w:w="2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1490" w:right="3840" w:hanging="441"/>
        <w:spacing w:after="0" w:line="234" w:lineRule="auto"/>
        <w:tabs>
          <w:tab w:leader="none" w:pos="149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$29.7 million unearned premium transfer related to the sale of the Japanese division.</w:t>
      </w:r>
    </w:p>
    <w:p>
      <w:pPr>
        <w:spacing w:after="0" w:line="173" w:lineRule="exact"/>
        <w:rPr>
          <w:rFonts w:ascii="Courier New" w:cs="Courier New" w:eastAsia="Courier New" w:hAnsi="Courier New"/>
          <w:sz w:val="15"/>
          <w:szCs w:val="15"/>
          <w:color w:val="auto"/>
        </w:rPr>
      </w:pPr>
    </w:p>
    <w:p>
      <w:pPr>
        <w:ind w:left="430" w:right="3680" w:hanging="430"/>
        <w:spacing w:after="0" w:line="256" w:lineRule="auto"/>
        <w:tabs>
          <w:tab w:leader="none" w:pos="43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INFORMATION Total rental expense for various leases of office space and equipment was $52 million, $53 million and $44 million for 2002, 2001 and 2000, respectively. Sublease rental income related to these leases totaled $612,000 in 2002, $2.4 million in 2001 and $2.5 million in 2000.</w:t>
      </w:r>
    </w:p>
    <w:p>
      <w:pPr>
        <w:spacing w:after="0" w:line="164" w:lineRule="exact"/>
        <w:rPr>
          <w:rFonts w:ascii="Courier New" w:cs="Courier New" w:eastAsia="Courier New" w:hAnsi="Courier New"/>
          <w:sz w:val="14"/>
          <w:szCs w:val="14"/>
          <w:color w:val="auto"/>
        </w:rPr>
      </w:pPr>
    </w:p>
    <w:p>
      <w:pPr>
        <w:ind w:left="430" w:right="368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Future minimum rentals, related principally to office space, required under operating leases having initial or remaining noncancelable lease terms in excess of one year at December 31, 2002, were as follows: 2003 - $57 million; 2004 - $50 million; 2005 - $35 million; 2006 - $26 million; 2007 - $17 million and $33 million thereafter. In addition, AFC has 99-year land leases (approximately 94 years remaining) at one of its real estate properties. Minimum lease payments under these leases are expected to be approximately $180,000 in 2003 and are adjusted annually for inflation.</w:t>
      </w:r>
    </w:p>
    <w:p>
      <w:pPr>
        <w:spacing w:after="0" w:line="165" w:lineRule="exact"/>
        <w:rPr>
          <w:rFonts w:ascii="Courier New" w:cs="Courier New" w:eastAsia="Courier New" w:hAnsi="Courier New"/>
          <w:sz w:val="14"/>
          <w:szCs w:val="14"/>
          <w:color w:val="auto"/>
        </w:rPr>
      </w:pPr>
    </w:p>
    <w:p>
      <w:pPr>
        <w:ind w:left="430" w:right="368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operating and general expenses included charges for possible losses on agents' balances, other receivables and other assets in the following amounts: 2002 - $2.7 million; 2001 - $3.5 million; and 2000 - $9.7 million. Losses and loss adjustment expenses included charges for possible losses on reinsurance recoverables of $6.6 million in 2002 and $11 million in 2001. The aggregate allowance for all such losses amounted to approximately $72 million and $67 million at December 31, 2002 and 2001, respectively.</w:t>
      </w:r>
    </w:p>
    <w:p>
      <w:pPr>
        <w:spacing w:after="0" w:line="160"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F-64</w:t>
      </w:r>
    </w:p>
    <w:p>
      <w:pPr>
        <w:sectPr>
          <w:pgSz w:w="11900" w:h="16838" w:orient="portrait"/>
          <w:cols w:equalWidth="0" w:num="1">
            <w:col w:w="10670"/>
          </w:cols>
          <w:pgMar w:left="230" w:top="1128" w:right="999" w:bottom="1440" w:gutter="0" w:footer="0" w:header="0"/>
        </w:sectPr>
      </w:pPr>
    </w:p>
    <w:bookmarkStart w:id="128" w:name="page129"/>
    <w:bookmarkEnd w:id="128"/>
    <w:p>
      <w:pPr>
        <w:ind w:right="4100"/>
        <w:spacing w:after="0" w:line="255" w:lineRule="auto"/>
        <w:rPr>
          <w:sz w:val="20"/>
          <w:szCs w:val="20"/>
          <w:color w:val="auto"/>
        </w:rPr>
      </w:pPr>
      <w:r>
        <w:rPr>
          <w:rFonts w:ascii="Courier New" w:cs="Courier New" w:eastAsia="Courier New" w:hAnsi="Courier New"/>
          <w:sz w:val="14"/>
          <w:szCs w:val="14"/>
          <w:color w:val="auto"/>
        </w:rPr>
        <w:t>UNREALIZED GAIN (LOSS) ON MARKETABLE SECURITIES, NET In addition to adjusting equity securities and fixed maturity securities classified as "available for sale" to fair value, SFAS 115 requires that certain other balance sheet amounts be adjusted to the extent that unrealized gains and losses from securities would result in adjustments had those gains or losses actually been realized. The components of the Consolidated Balance Sheet caption "Unrealized gain on marketable securities, net" in shareholders' equity are summarized as follows (in millions):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3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Unadjusted</w:t>
            </w:r>
          </w:p>
        </w:tc>
        <w:tc>
          <w:tcPr>
            <w:tcW w:w="1740" w:type="dxa"/>
            <w:vAlign w:val="bottom"/>
          </w:tcPr>
          <w:p>
            <w:pPr>
              <w:spacing w:after="0"/>
              <w:rPr>
                <w:sz w:val="14"/>
                <w:szCs w:val="14"/>
                <w:color w:val="auto"/>
              </w:rPr>
            </w:pP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Adjusted</w:t>
            </w:r>
          </w:p>
        </w:tc>
      </w:tr>
      <w:tr>
        <w:trPr>
          <w:trHeight w:val="168"/>
        </w:trPr>
        <w:tc>
          <w:tcPr>
            <w:tcW w:w="4120" w:type="dxa"/>
            <w:vAlign w:val="bottom"/>
          </w:tcPr>
          <w:p>
            <w:pPr>
              <w:spacing w:after="0"/>
              <w:rPr>
                <w:sz w:val="14"/>
                <w:szCs w:val="14"/>
                <w:color w:val="auto"/>
              </w:rPr>
            </w:pPr>
          </w:p>
        </w:tc>
        <w:tc>
          <w:tcPr>
            <w:tcW w:w="3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Asset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Effect of</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Asset</w:t>
            </w:r>
          </w:p>
        </w:tc>
      </w:tr>
      <w:tr>
        <w:trPr>
          <w:trHeight w:val="168"/>
        </w:trPr>
        <w:tc>
          <w:tcPr>
            <w:tcW w:w="4120" w:type="dxa"/>
            <w:vAlign w:val="bottom"/>
          </w:tcPr>
          <w:p>
            <w:pPr>
              <w:spacing w:after="0"/>
              <w:rPr>
                <w:sz w:val="14"/>
                <w:szCs w:val="14"/>
                <w:color w:val="auto"/>
              </w:rPr>
            </w:pPr>
          </w:p>
        </w:tc>
        <w:tc>
          <w:tcPr>
            <w:tcW w:w="3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(Liability)</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SFAS 115</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(Liability)</w:t>
            </w:r>
          </w:p>
        </w:tc>
      </w:tr>
      <w:tr>
        <w:trPr>
          <w:trHeight w:val="168"/>
        </w:trPr>
        <w:tc>
          <w:tcPr>
            <w:tcW w:w="4120" w:type="dxa"/>
            <w:vAlign w:val="bottom"/>
          </w:tcPr>
          <w:p>
            <w:pPr>
              <w:spacing w:after="0"/>
              <w:rPr>
                <w:sz w:val="14"/>
                <w:szCs w:val="14"/>
                <w:color w:val="auto"/>
              </w:rPr>
            </w:pPr>
          </w:p>
        </w:tc>
        <w:tc>
          <w:tcPr>
            <w:tcW w:w="3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maturities</w:t>
            </w:r>
          </w:p>
        </w:tc>
        <w:tc>
          <w:tcPr>
            <w:tcW w:w="3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$11,549.7</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$457.2</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$12,006.9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stocks</w:t>
            </w:r>
          </w:p>
        </w:tc>
        <w:tc>
          <w:tcPr>
            <w:tcW w:w="3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173.9</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125.2</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acquisition costs</w:t>
            </w:r>
          </w:p>
        </w:tc>
        <w:tc>
          <w:tcPr>
            <w:tcW w:w="3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873.1</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Annuity benefits accumulated</w:t>
            </w:r>
          </w:p>
        </w:tc>
        <w:tc>
          <w:tcPr>
            <w:tcW w:w="3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(6,444.7)</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(6,453.9)</w:t>
            </w:r>
          </w:p>
        </w:tc>
      </w:tr>
      <w:tr>
        <w:trPr>
          <w:trHeight w:val="168"/>
        </w:trPr>
        <w:tc>
          <w:tcPr>
            <w:tcW w:w="4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Pretax unrealized</w:t>
            </w:r>
          </w:p>
        </w:tc>
        <w:tc>
          <w:tcPr>
            <w:tcW w:w="3060" w:type="dxa"/>
            <w:vAlign w:val="bottom"/>
          </w:tcPr>
          <w:p>
            <w:pPr>
              <w:spacing w:after="0"/>
              <w:rPr>
                <w:sz w:val="14"/>
                <w:szCs w:val="14"/>
                <w:color w:val="auto"/>
              </w:rPr>
            </w:pP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542.2</w:t>
            </w:r>
          </w:p>
        </w:tc>
        <w:tc>
          <w:tcPr>
            <w:tcW w:w="1580" w:type="dxa"/>
            <w:vAlign w:val="bottom"/>
          </w:tcPr>
          <w:p>
            <w:pPr>
              <w:spacing w:after="0"/>
              <w:rPr>
                <w:sz w:val="14"/>
                <w:szCs w:val="1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Deferred taxes</w:t>
            </w:r>
          </w:p>
        </w:tc>
        <w:tc>
          <w:tcPr>
            <w:tcW w:w="3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144.3</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(187.3)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(43.0)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3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(456.3)</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(38.2)</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(494.5)</w:t>
            </w:r>
          </w:p>
        </w:tc>
      </w:tr>
      <w:tr>
        <w:trPr>
          <w:trHeight w:val="168"/>
        </w:trPr>
        <w:tc>
          <w:tcPr>
            <w:tcW w:w="4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33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w:t>
            </w:r>
          </w:p>
        </w:tc>
        <w:tc>
          <w:tcPr>
            <w:tcW w:w="3060" w:type="dxa"/>
            <w:vAlign w:val="bottom"/>
          </w:tcPr>
          <w:p>
            <w:pPr>
              <w:spacing w:after="0"/>
              <w:rPr>
                <w:sz w:val="24"/>
                <w:szCs w:val="24"/>
                <w:color w:val="auto"/>
              </w:rPr>
            </w:pP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$316.7</w:t>
            </w:r>
          </w:p>
        </w:tc>
        <w:tc>
          <w:tcPr>
            <w:tcW w:w="158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maturities</w:t>
            </w:r>
          </w:p>
        </w:tc>
        <w:tc>
          <w:tcPr>
            <w:tcW w:w="3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$10,593.2</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$155.4</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$10,748.6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stocks</w:t>
            </w:r>
          </w:p>
        </w:tc>
        <w:tc>
          <w:tcPr>
            <w:tcW w:w="3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187.8</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125.9</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313.7</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acquisition costs</w:t>
            </w:r>
          </w:p>
        </w:tc>
        <w:tc>
          <w:tcPr>
            <w:tcW w:w="3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827.3</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818.3</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Annuity benefits accumulated</w:t>
            </w:r>
          </w:p>
        </w:tc>
        <w:tc>
          <w:tcPr>
            <w:tcW w:w="3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(5,827.9)</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(5,832.1)</w:t>
            </w:r>
          </w:p>
        </w:tc>
      </w:tr>
      <w:tr>
        <w:trPr>
          <w:trHeight w:val="168"/>
        </w:trPr>
        <w:tc>
          <w:tcPr>
            <w:tcW w:w="4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Pretax unrealized</w:t>
            </w:r>
          </w:p>
        </w:tc>
        <w:tc>
          <w:tcPr>
            <w:tcW w:w="3060" w:type="dxa"/>
            <w:vAlign w:val="bottom"/>
          </w:tcPr>
          <w:p>
            <w:pPr>
              <w:spacing w:after="0"/>
              <w:rPr>
                <w:sz w:val="14"/>
                <w:szCs w:val="14"/>
                <w:color w:val="auto"/>
              </w:rPr>
            </w:pP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268.1</w:t>
            </w:r>
          </w:p>
        </w:tc>
        <w:tc>
          <w:tcPr>
            <w:tcW w:w="1580" w:type="dxa"/>
            <w:vAlign w:val="bottom"/>
          </w:tcPr>
          <w:p>
            <w:pPr>
              <w:spacing w:after="0"/>
              <w:rPr>
                <w:sz w:val="14"/>
                <w:szCs w:val="1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Deferred taxes</w:t>
            </w:r>
          </w:p>
        </w:tc>
        <w:tc>
          <w:tcPr>
            <w:tcW w:w="3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144.7</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(93.2)</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51.5</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3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(442.7)</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(18.0)</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(460.7)</w:t>
            </w:r>
          </w:p>
        </w:tc>
      </w:tr>
      <w:tr>
        <w:trPr>
          <w:trHeight w:val="168"/>
        </w:trPr>
        <w:tc>
          <w:tcPr>
            <w:tcW w:w="4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33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w:t>
            </w:r>
          </w:p>
        </w:tc>
        <w:tc>
          <w:tcPr>
            <w:tcW w:w="3060" w:type="dxa"/>
            <w:vAlign w:val="bottom"/>
          </w:tcPr>
          <w:p>
            <w:pPr>
              <w:spacing w:after="0"/>
              <w:rPr>
                <w:sz w:val="24"/>
                <w:szCs w:val="24"/>
                <w:color w:val="auto"/>
              </w:rPr>
            </w:pP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$156.9</w:t>
            </w:r>
          </w:p>
        </w:tc>
        <w:tc>
          <w:tcPr>
            <w:tcW w:w="158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4200"/>
        <w:spacing w:after="0" w:line="235" w:lineRule="auto"/>
        <w:rPr>
          <w:sz w:val="20"/>
          <w:szCs w:val="20"/>
          <w:color w:val="auto"/>
        </w:rPr>
      </w:pPr>
      <w:r>
        <w:rPr>
          <w:rFonts w:ascii="Courier New" w:cs="Courier New" w:eastAsia="Courier New" w:hAnsi="Courier New"/>
          <w:sz w:val="15"/>
          <w:szCs w:val="15"/>
          <w:color w:val="auto"/>
        </w:rPr>
        <w:t>FAIR VALUE OF FINANCIAL INSTRUMENTS The following table presents (in millions) the carrying value and estimated fair value of AFC's financial instruments at December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6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900" w:type="dxa"/>
            <w:vAlign w:val="bottom"/>
            <w:gridSpan w:val="4"/>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7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Carrying</w:t>
            </w:r>
          </w:p>
        </w:tc>
        <w:tc>
          <w:tcPr>
            <w:tcW w:w="8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Fair</w:t>
            </w:r>
          </w:p>
        </w:tc>
        <w:tc>
          <w:tcPr>
            <w:tcW w:w="13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Carrying</w:t>
            </w:r>
          </w:p>
        </w:tc>
        <w:tc>
          <w:tcPr>
            <w:tcW w:w="7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3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Value</w:t>
            </w:r>
          </w:p>
        </w:tc>
        <w:tc>
          <w:tcPr>
            <w:tcW w:w="8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Value</w:t>
            </w:r>
          </w:p>
        </w:tc>
        <w:tc>
          <w:tcPr>
            <w:tcW w:w="7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Value</w:t>
            </w:r>
          </w:p>
        </w:tc>
        <w:tc>
          <w:tcPr>
            <w:tcW w:w="7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42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maturities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12,007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2"/>
              </w:rPr>
              <w:t>12,007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10,749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10,749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stocks</w:t>
            </w:r>
          </w:p>
        </w:tc>
        <w:tc>
          <w:tcPr>
            <w:tcW w:w="13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w:t>
            </w:r>
          </w:p>
        </w:tc>
        <w:tc>
          <w:tcPr>
            <w:tcW w:w="8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299</w:t>
            </w:r>
          </w:p>
        </w:tc>
        <w:tc>
          <w:tcPr>
            <w:tcW w:w="7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314</w:t>
            </w:r>
          </w:p>
        </w:tc>
        <w:tc>
          <w:tcPr>
            <w:tcW w:w="7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Annuity benefits</w:t>
            </w: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6,284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5,832</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Holding companies</w:t>
            </w:r>
          </w:p>
        </w:tc>
        <w:tc>
          <w:tcPr>
            <w:tcW w:w="13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w:t>
            </w:r>
          </w:p>
        </w:tc>
        <w:tc>
          <w:tcPr>
            <w:tcW w:w="8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268</w:t>
            </w:r>
          </w:p>
        </w:tc>
        <w:tc>
          <w:tcPr>
            <w:tcW w:w="7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228</w:t>
            </w:r>
          </w:p>
        </w:tc>
        <w:tc>
          <w:tcPr>
            <w:tcW w:w="7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Subsidiaries</w:t>
            </w:r>
          </w:p>
        </w:tc>
        <w:tc>
          <w:tcPr>
            <w:tcW w:w="13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w:t>
            </w:r>
          </w:p>
        </w:tc>
        <w:tc>
          <w:tcPr>
            <w:tcW w:w="8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287</w:t>
            </w:r>
          </w:p>
        </w:tc>
        <w:tc>
          <w:tcPr>
            <w:tcW w:w="74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271</w:t>
            </w:r>
          </w:p>
        </w:tc>
        <w:tc>
          <w:tcPr>
            <w:tcW w:w="7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 preferred securities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AFC preferred stock</w:t>
            </w:r>
          </w:p>
        </w:tc>
        <w:tc>
          <w:tcPr>
            <w:tcW w:w="130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w:t>
            </w:r>
          </w:p>
        </w:tc>
        <w:tc>
          <w:tcPr>
            <w:tcW w:w="88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54</w:t>
            </w:r>
          </w:p>
        </w:tc>
        <w:tc>
          <w:tcPr>
            <w:tcW w:w="740" w:type="dxa"/>
            <w:vAlign w:val="bottom"/>
          </w:tcPr>
          <w:p>
            <w:pPr>
              <w:spacing w:after="0"/>
              <w:rPr>
                <w:sz w:val="24"/>
                <w:szCs w:val="24"/>
                <w:color w:val="auto"/>
              </w:rPr>
            </w:pPr>
          </w:p>
        </w:tc>
        <w:tc>
          <w:tcPr>
            <w:tcW w:w="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w:t>
            </w:r>
          </w:p>
        </w:tc>
        <w:tc>
          <w:tcPr>
            <w:tcW w:w="76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r>
    </w:tbl>
    <w:p>
      <w:pPr>
        <w:spacing w:after="0" w:line="200" w:lineRule="exact"/>
        <w:rPr>
          <w:sz w:val="20"/>
          <w:szCs w:val="20"/>
          <w:color w:val="auto"/>
        </w:rPr>
      </w:pPr>
    </w:p>
    <w:p>
      <w:pPr>
        <w:spacing w:after="0" w:line="309" w:lineRule="exact"/>
        <w:rPr>
          <w:sz w:val="20"/>
          <w:szCs w:val="20"/>
          <w:color w:val="auto"/>
        </w:rPr>
      </w:pPr>
    </w:p>
    <w:p>
      <w:pPr>
        <w:ind w:right="3940"/>
        <w:spacing w:after="0" w:line="236" w:lineRule="auto"/>
        <w:rPr>
          <w:sz w:val="20"/>
          <w:szCs w:val="20"/>
          <w:color w:val="auto"/>
        </w:rPr>
      </w:pPr>
      <w:r>
        <w:rPr>
          <w:rFonts w:ascii="Courier New" w:cs="Courier New" w:eastAsia="Courier New" w:hAnsi="Courier New"/>
          <w:sz w:val="15"/>
          <w:szCs w:val="15"/>
          <w:color w:val="auto"/>
        </w:rPr>
        <w:t>When available, fair values are based on prices quoted in the most active market for each security. If quoted prices are not available, fair value is estimated based on present values, discounted cash flows, fair value of comparable securities, or similar methods. The fair value of the liability for annuities in the payout phase is assumed to be the present value of the anticipated cash flows, discounted at current interest rates. Fair value of annuities in the accumulation phase is assumed to be the policyholders' cash surrender amount.</w:t>
      </w:r>
    </w:p>
    <w:p>
      <w:pPr>
        <w:sectPr>
          <w:pgSz w:w="11900" w:h="16838" w:orient="portrait"/>
          <w:cols w:equalWidth="0" w:num="1">
            <w:col w:w="10500"/>
          </w:cols>
          <w:pgMar w:left="660" w:top="1296" w:right="739" w:bottom="0" w:gutter="0" w:footer="0" w:header="0"/>
        </w:sectPr>
      </w:pPr>
    </w:p>
    <w:bookmarkStart w:id="129" w:name="page130"/>
    <w:bookmarkEnd w:id="129"/>
    <w:p>
      <w:pPr>
        <w:ind w:left="2120"/>
        <w:spacing w:after="0"/>
        <w:rPr>
          <w:sz w:val="20"/>
          <w:szCs w:val="20"/>
          <w:color w:val="auto"/>
        </w:rPr>
      </w:pPr>
      <w:r>
        <w:rPr>
          <w:rFonts w:ascii="Courier New" w:cs="Courier New" w:eastAsia="Courier New" w:hAnsi="Courier New"/>
          <w:sz w:val="14"/>
          <w:szCs w:val="14"/>
          <w:color w:val="auto"/>
        </w:rPr>
        <w:t>F-65</w:t>
      </w:r>
    </w:p>
    <w:p>
      <w:pPr>
        <w:sectPr>
          <w:pgSz w:w="11900" w:h="16838" w:orient="portrait"/>
          <w:cols w:equalWidth="0" w:num="1">
            <w:col w:w="9019"/>
          </w:cols>
          <w:pgMar w:left="1440" w:top="141" w:right="1440" w:bottom="1440" w:gutter="0" w:footer="0" w:header="0"/>
        </w:sectPr>
      </w:pPr>
    </w:p>
    <w:bookmarkStart w:id="130" w:name="page131"/>
    <w:bookmarkEnd w:id="130"/>
    <w:p>
      <w:pPr>
        <w:spacing w:after="0" w:line="25" w:lineRule="exact"/>
        <w:rPr>
          <w:sz w:val="20"/>
          <w:szCs w:val="20"/>
          <w:color w:val="auto"/>
        </w:rPr>
      </w:pPr>
    </w:p>
    <w:p>
      <w:pPr>
        <w:jc w:val="both"/>
        <w:ind w:left="430" w:right="3319"/>
        <w:spacing w:after="0" w:line="254" w:lineRule="auto"/>
        <w:rPr>
          <w:sz w:val="20"/>
          <w:szCs w:val="20"/>
          <w:color w:val="auto"/>
        </w:rPr>
      </w:pPr>
      <w:r>
        <w:rPr>
          <w:rFonts w:ascii="Courier New" w:cs="Courier New" w:eastAsia="Courier New" w:hAnsi="Courier New"/>
          <w:sz w:val="14"/>
          <w:szCs w:val="14"/>
          <w:color w:val="auto"/>
        </w:rPr>
        <w:t>FINANCIAL INSTRUMENTS WITH OFF-BALANCE-SHEET RISK On occasion, AFC and its subsidiaries have entered into financial instrument transactions which may present off-balance-sheet risks of both a credit and market risk nature.</w:t>
      </w:r>
    </w:p>
    <w:p>
      <w:pPr>
        <w:spacing w:after="0" w:line="1" w:lineRule="exact"/>
        <w:rPr>
          <w:sz w:val="20"/>
          <w:szCs w:val="20"/>
          <w:color w:val="auto"/>
        </w:rPr>
      </w:pPr>
    </w:p>
    <w:p>
      <w:pPr>
        <w:ind w:left="430" w:right="3239"/>
        <w:spacing w:after="0" w:line="256" w:lineRule="auto"/>
        <w:rPr>
          <w:sz w:val="20"/>
          <w:szCs w:val="20"/>
          <w:color w:val="auto"/>
        </w:rPr>
      </w:pPr>
      <w:r>
        <w:rPr>
          <w:rFonts w:ascii="Courier New" w:cs="Courier New" w:eastAsia="Courier New" w:hAnsi="Courier New"/>
          <w:sz w:val="14"/>
          <w:szCs w:val="14"/>
          <w:color w:val="auto"/>
        </w:rPr>
        <w:t>These transactions include commitments to fund loans, loan guarantees and commitments to purchase and sell securities or loans. At December 31, 2002, AFC and its subsidiaries had commitments to fund credit facilities and contribute limited partnership capital totaling up to $18 million.</w:t>
      </w:r>
    </w:p>
    <w:p>
      <w:pPr>
        <w:spacing w:after="0" w:line="164"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RESTRICTIONS ON TRANSFER OF FUNDS AND ASSETS OF SUBSIDIARIES Payments of dividends, loans and advances by AFC's subsidiaries are subject to various state laws, federal regulations and debt covenants which limit the amount of dividends, loans and advances that can be paid. Under applicable restrictions, the maximum amount of dividends available to AFC in 2003 from its insurance subsidiaries without seeking regulatory clearance is approximately $24 million. Additional amounts of dividends, loans and advances require regulatory approval.</w:t>
      </w:r>
    </w:p>
    <w:p>
      <w:pPr>
        <w:spacing w:after="0" w:line="177" w:lineRule="exact"/>
        <w:rPr>
          <w:sz w:val="20"/>
          <w:szCs w:val="20"/>
          <w:color w:val="auto"/>
        </w:rPr>
      </w:pPr>
    </w:p>
    <w:p>
      <w:pPr>
        <w:ind w:left="430" w:right="3399"/>
        <w:spacing w:after="0" w:line="235" w:lineRule="auto"/>
        <w:rPr>
          <w:sz w:val="20"/>
          <w:szCs w:val="20"/>
          <w:color w:val="auto"/>
        </w:rPr>
      </w:pPr>
      <w:r>
        <w:rPr>
          <w:rFonts w:ascii="Courier New" w:cs="Courier New" w:eastAsia="Courier New" w:hAnsi="Courier New"/>
          <w:sz w:val="15"/>
          <w:szCs w:val="15"/>
          <w:color w:val="auto"/>
        </w:rPr>
        <w:t>BENEFIT PLANS AFC expensed approximately $20 million in 2002, $19 million in 2001 and $22 million in 2000 for its retirement and employee savings plans.</w:t>
      </w:r>
    </w:p>
    <w:p>
      <w:pPr>
        <w:spacing w:after="0" w:line="174"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TRANSACTIONS WITH AFFILIATES AFG purchased a $3.7 million minority interest in a residential homebuilding company from an unrelated party in 1995. At that same time, a brother of AFC's chairman purchased a minority interest in the company for $825,000. In 2000, that brother and another brother of AFC's chairman acquired the remaining shares from the third parties. In addition, GAFRI had extended a line of credit to this company under which the homebuilder could borrow up to $8 million at 13%. At December 31, 2001, $6.4 million was due under the credit line. In September 2002, the homebuilding company was sold to an unrelated party and GAFRI's line of credit was repaid and terminated.</w:t>
      </w:r>
    </w:p>
    <w:p>
      <w:pPr>
        <w:spacing w:after="0" w:line="179"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In 2001, an AFC subsidiary purchased a 29% interest in an aircraft for $1.6 million (fair value as determined by independent third party) from a company owned by a brother of AFC's chairman. The remaining interests in the aircraft are owned by AFC's chairman and his two brothers. Costs of operating the aircraft are being borne proportionately.</w:t>
      </w:r>
    </w:p>
    <w:p>
      <w:pPr>
        <w:spacing w:after="0" w:line="174"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In September 2000, GAFRI's minority ownership in a company engaged in the production of ethanol was repurchased by that company for $7.5 million in cash and $21.9 million liquidation value of non-voting redeemable preferred stock. Following the repurchase, AFC's Chairman beneficially owns 100% of the ethanol company. In December 2000, the ethanol company retired $3 million of the preferred stock at liquidation value plus accrued dividends and issued an $18.9 million subordinated note in exchange for the remaining preferred stock. The subordinated note bears interest at 12-1/4% with scheduled repayments through 2005. During 2002 and 2001, respectively, $1 million and $6 million of this note was repaid. The ethanol company also owes GAFRI $4.0 million under a subordinated note bearing interest at 14%. In addition, Great American has extended a $10 million line of credit to this company; no amounts have been borrowed under the credit line.</w:t>
      </w:r>
    </w:p>
    <w:p>
      <w:pPr>
        <w:spacing w:after="0" w:line="158" w:lineRule="exact"/>
        <w:rPr>
          <w:sz w:val="20"/>
          <w:szCs w:val="20"/>
          <w:color w:val="auto"/>
        </w:rPr>
      </w:pPr>
    </w:p>
    <w:p>
      <w:pPr>
        <w:ind w:left="430" w:hanging="430"/>
        <w:spacing w:after="0"/>
        <w:tabs>
          <w:tab w:leader="none" w:pos="43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2"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INFINITY PROPERTY AND CASUALTY CORPORATION On December 31, 2002, AFC transferred to Infinity Property and Casualty Corporation ("Infinity", a newly formed subsidiary) the following subsidiaries involved primarily in the issuance of nonstandard auto policies: Atlanta Casualty Company, Infinity Insurance Company, Leader Insurance Company and Windsor Insurance Company. Effective January 1, 2003, Great American Insurance Company, an AFC subsidiary, transferred to Infinity its personal insurance business written through independent agents. In February 2003, AFC sold 61% of Infinity in a public offering. The businesses transferred generated aggregate net written premiums</w:t>
      </w:r>
    </w:p>
    <w:p>
      <w:pPr>
        <w:spacing w:after="0" w:line="173"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F-66</w:t>
      </w:r>
    </w:p>
    <w:p>
      <w:pPr>
        <w:sectPr>
          <w:pgSz w:w="11900" w:h="16838" w:orient="portrait"/>
          <w:cols w:equalWidth="0" w:num="1">
            <w:col w:w="10229"/>
          </w:cols>
          <w:pgMar w:left="230" w:top="1440" w:right="1440" w:bottom="1440" w:gutter="0" w:footer="0" w:header="0"/>
        </w:sectPr>
      </w:pPr>
    </w:p>
    <w:bookmarkStart w:id="131" w:name="page132"/>
    <w:bookmarkEnd w:id="131"/>
    <w:p>
      <w:pPr>
        <w:spacing w:after="0" w:line="2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approximately $690 million, $900 million and $1.2 billion for the years ended December 31, 2002, 2001, and 2000, respectively. AFC expects to realize a pretax loss of about $40 million on the sale in the first quarter of 2003. In addition, a substantial tax benefit related to AFC's book versus tax basis in Infinity stock may be available.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DIRECT AUTOMOBILE INSURANCE BUSINESS In January 2003, AFC reached an agreement to sell two of its subsidiaries that market automobile insurance directly to customers. The transaction will include the transfer of Great American Insurance's right to renew certain of its personal automobile insurance business written on a direct basis in selected markets. Premiums generated by the businesses being sold were approximately $79 million in 2002. AFC does not expect to report a significant gain or loss on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F-67</w:t>
      </w:r>
    </w:p>
    <w:p>
      <w:pPr>
        <w:sectPr>
          <w:pgSz w:w="11900" w:h="16838" w:orient="portrait"/>
          <w:cols w:equalWidth="0" w:num="1">
            <w:col w:w="9799"/>
          </w:cols>
          <w:pgMar w:left="660" w:top="1440" w:right="1440" w:bottom="1440" w:gutter="0" w:footer="0" w:header="0"/>
        </w:sectPr>
      </w:pPr>
    </w:p>
    <w:bookmarkStart w:id="132" w:name="page133"/>
    <w:bookmarkEnd w:id="132"/>
    <w:p>
      <w:pPr>
        <w:ind w:left="4480"/>
        <w:spacing w:after="0"/>
        <w:rPr>
          <w:sz w:val="20"/>
          <w:szCs w:val="20"/>
          <w:color w:val="auto"/>
        </w:rPr>
      </w:pPr>
      <w:r>
        <w:rPr>
          <w:rFonts w:ascii="Courier New" w:cs="Courier New" w:eastAsia="Courier New" w:hAnsi="Courier New"/>
          <w:sz w:val="15"/>
          <w:szCs w:val="15"/>
          <w:color w:val="auto"/>
        </w:rPr>
        <w:t>Annex A</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EXECUTION 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4"/>
          <w:szCs w:val="14"/>
          <w:color w:val="auto"/>
        </w:rPr>
        <w:t>AGREEMENT AND PLAN OF REORGANIZATION</w:t>
      </w:r>
    </w:p>
    <w:p>
      <w:pPr>
        <w:spacing w:after="0" w:line="171"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AMERICAN FINANCIAL GROUP, INC.,</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AFC HOLDING COMPANY,</w:t>
      </w:r>
    </w:p>
    <w:p>
      <w:pPr>
        <w:spacing w:after="0" w:line="166"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AMERICAN FINANCIAL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DATED AS OF JULY 7, 2003</w:t>
      </w:r>
    </w:p>
    <w:p>
      <w:pPr>
        <w:sectPr>
          <w:pgSz w:w="11900" w:h="16838" w:orient="portrait"/>
          <w:cols w:equalWidth="0" w:num="1">
            <w:col w:w="9019"/>
          </w:cols>
          <w:pgMar w:left="1440" w:top="449" w:right="1440" w:bottom="1440" w:gutter="0" w:footer="0" w:header="0"/>
        </w:sectPr>
      </w:pPr>
    </w:p>
    <w:bookmarkStart w:id="133" w:name="page134"/>
    <w:bookmarkEnd w:id="133"/>
    <w:p>
      <w:pPr>
        <w:ind w:left="2800"/>
        <w:spacing w:after="0"/>
        <w:rPr>
          <w:sz w:val="20"/>
          <w:szCs w:val="20"/>
          <w:color w:val="auto"/>
        </w:rPr>
      </w:pPr>
      <w:r>
        <w:rPr>
          <w:rFonts w:ascii="Courier New" w:cs="Courier New" w:eastAsia="Courier New" w:hAnsi="Courier New"/>
          <w:sz w:val="15"/>
          <w:szCs w:val="15"/>
          <w:color w:val="auto"/>
        </w:rPr>
        <w:t>TABLE OF CONTENTS</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15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9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ARTICLE 1. THE HOLDING MERGER.............................................................................</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1.1</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The Holding Merger.....................................................................</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1.2</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Effects of the Holding Merger..........................................................</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1.3</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No Exchange of Certificates............................................................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1.4</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Holding Merger Effective Time..........................................................</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1.5</w:t>
            </w:r>
          </w:p>
        </w:tc>
        <w:tc>
          <w:tcPr>
            <w:tcW w:w="7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Holding Merger Surviving Corporation Officers; Directors; Articles of</w:t>
            </w:r>
          </w:p>
        </w:tc>
        <w:tc>
          <w:tcPr>
            <w:tcW w:w="36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Incorporation and Regulations..........................................................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505"/>
        </w:trPr>
        <w:tc>
          <w:tcPr>
            <w:tcW w:w="9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ARTICLE 2. THE AFC MERGER.................................................................................</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2.1</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The AFC Merger.........................................................................</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2.2</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Effects of AFC Merger..................................................................</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2.3</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Exchange of Certificates by Holders of Series J Preferred..............................</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2.4</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AFC Merger Effective Time..............................................................</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2.5</w:t>
            </w:r>
          </w:p>
        </w:tc>
        <w:tc>
          <w:tcPr>
            <w:tcW w:w="7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AFC Merger Surviving Corporation Officers; Directors; Articles of</w:t>
            </w:r>
          </w:p>
        </w:tc>
        <w:tc>
          <w:tcPr>
            <w:tcW w:w="36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Incorporation and Regulations..........................................................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505"/>
        </w:trPr>
        <w:tc>
          <w:tcPr>
            <w:tcW w:w="9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ARTICLE 3. APPROVAL OF AFC SHAREHOLDERS...................................................................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3.1</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AFC Meeting............................................................................</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3.2</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Proxy Statement/Prospectus.............................................................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3.3</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Correction of Statements...............................................................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505"/>
        </w:trPr>
        <w:tc>
          <w:tcPr>
            <w:tcW w:w="9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ARTICLE 4. THE HOLDING MERGER CLOSING.....................................................................</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4.1</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Time and Place.........................................................................</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4.2</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Deliveries at Closing..................................................................</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4.3</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Filing of Certificate of Merger........................................................</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505"/>
        </w:trPr>
        <w:tc>
          <w:tcPr>
            <w:tcW w:w="9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ARTICLE 5. THE AFC MERGER CLOSING.........................................................................</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5.1</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Time and Place.........................................................................</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5.2</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Deliveries at Closing.................................................................</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5.3</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Filing of Certificate of Merger.......................................................</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505"/>
        </w:trPr>
        <w:tc>
          <w:tcPr>
            <w:tcW w:w="9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ARTICLE 6. REPRESENTATIONS AND WARRANTIES OF AFC.........................................................</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6.1</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Organization and Qualification; Active Subsidiaries...................................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6.2</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Authority Relative to this Agreement..................................................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6.3</w:t>
            </w:r>
          </w:p>
        </w:tc>
        <w:tc>
          <w:tcPr>
            <w:tcW w:w="7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Consents and Approvals; No Violation..................................................</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bl>
    <w:p>
      <w:pPr>
        <w:sectPr>
          <w:pgSz w:w="11900" w:h="16838" w:orient="portrait"/>
          <w:cols w:equalWidth="0" w:num="1">
            <w:col w:w="10239"/>
          </w:cols>
          <w:pgMar w:left="220" w:top="785" w:right="1440" w:bottom="1440" w:gutter="0" w:footer="0" w:header="0"/>
        </w:sectPr>
      </w:pPr>
    </w:p>
    <w:bookmarkStart w:id="134" w:name="page135"/>
    <w:bookmarkEnd w:id="134"/>
    <w:p>
      <w:pPr>
        <w:ind w:left="2800"/>
        <w:spacing w:after="0"/>
        <w:rPr>
          <w:sz w:val="20"/>
          <w:szCs w:val="20"/>
          <w:color w:val="auto"/>
        </w:rPr>
      </w:pPr>
      <w:r>
        <w:rPr>
          <w:rFonts w:ascii="Courier New" w:cs="Courier New" w:eastAsia="Courier New" w:hAnsi="Courier New"/>
          <w:sz w:val="15"/>
          <w:szCs w:val="15"/>
          <w:color w:val="auto"/>
        </w:rPr>
        <w:t>TABLE OF CONTENTS</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4300" w:type="dxa"/>
            <w:vAlign w:val="bottom"/>
            <w:gridSpan w:val="3"/>
          </w:tcPr>
          <w:p>
            <w:pPr>
              <w:spacing w:after="0"/>
              <w:rPr>
                <w:sz w:val="20"/>
                <w:szCs w:val="20"/>
                <w:color w:val="auto"/>
              </w:rPr>
            </w:pPr>
            <w:r>
              <w:rPr>
                <w:rFonts w:ascii="Courier New" w:cs="Courier New" w:eastAsia="Courier New" w:hAnsi="Courier New"/>
                <w:sz w:val="15"/>
                <w:szCs w:val="15"/>
                <w:color w:val="auto"/>
                <w:w w:val="99"/>
              </w:rPr>
              <w:t>ARTICLE 7. REPRESENTATIONS AND WARRANTIES OF AFG</w:t>
            </w:r>
          </w:p>
        </w:tc>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w w:val="96"/>
              </w:rPr>
              <w:t>IN CONNECTION WITH THE AFC MERGER......................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88"/>
              </w:rPr>
              <w:t>12</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7.1</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Organization and Qualification</w:t>
            </w:r>
          </w:p>
        </w:tc>
        <w:tc>
          <w:tcPr>
            <w:tcW w:w="4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7.2</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Capitalization........................................................................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12</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7.3</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Authority Relative to this Agreement..................................................</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7.4</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Consents and Approvals; No Violation..................................................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7.5</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SEC Filings; Financial Statements.....................................................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7.6</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Litigation............................................................................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7.7</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Employee Benefit Plans................................................................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7.8</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Taxes and Tax Returns.................................................................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16</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7.9</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Compliance with Applicable Law</w:t>
            </w:r>
          </w:p>
        </w:tc>
        <w:tc>
          <w:tcPr>
            <w:tcW w:w="4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17</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7.10</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Environmental Protection..............................................................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17</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7.11</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Merger Consideration..................................................................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505"/>
        </w:trPr>
        <w:tc>
          <w:tcPr>
            <w:tcW w:w="9100" w:type="dxa"/>
            <w:vAlign w:val="bottom"/>
            <w:gridSpan w:val="4"/>
          </w:tcPr>
          <w:p>
            <w:pPr>
              <w:spacing w:after="0"/>
              <w:rPr>
                <w:sz w:val="20"/>
                <w:szCs w:val="20"/>
                <w:color w:val="auto"/>
              </w:rPr>
            </w:pPr>
            <w:r>
              <w:rPr>
                <w:rFonts w:ascii="Courier New" w:cs="Courier New" w:eastAsia="Courier New" w:hAnsi="Courier New"/>
                <w:sz w:val="15"/>
                <w:szCs w:val="15"/>
                <w:color w:val="auto"/>
                <w:w w:val="96"/>
              </w:rPr>
              <w:t>ARTICLE 8. REPRESENTATIONS AND WARRANTIES OF HOLDING.....................................................</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88"/>
              </w:rPr>
              <w:t>18</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8.1</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Organization and Qualification</w:t>
            </w:r>
          </w:p>
        </w:tc>
        <w:tc>
          <w:tcPr>
            <w:tcW w:w="4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8.2</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Capitalization........................................................................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8.3</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Authority Relative to this Agreement..................................................</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8.4</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Consents and Approvals; No Violation..................................................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505"/>
        </w:trPr>
        <w:tc>
          <w:tcPr>
            <w:tcW w:w="4300" w:type="dxa"/>
            <w:vAlign w:val="bottom"/>
            <w:gridSpan w:val="3"/>
          </w:tcPr>
          <w:p>
            <w:pPr>
              <w:spacing w:after="0"/>
              <w:rPr>
                <w:sz w:val="20"/>
                <w:szCs w:val="20"/>
                <w:color w:val="auto"/>
              </w:rPr>
            </w:pPr>
            <w:r>
              <w:rPr>
                <w:rFonts w:ascii="Courier New" w:cs="Courier New" w:eastAsia="Courier New" w:hAnsi="Courier New"/>
                <w:sz w:val="15"/>
                <w:szCs w:val="15"/>
                <w:color w:val="auto"/>
                <w:w w:val="99"/>
              </w:rPr>
              <w:t>ARTICLE 9. REPRESENTATIONS AND WARRANTIES OF AFG</w:t>
            </w:r>
          </w:p>
        </w:tc>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w w:val="96"/>
              </w:rPr>
              <w:t>IN CONNECTION WITH THE HOLDING MERGER..................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88"/>
              </w:rPr>
              <w:t>20</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9.1</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Organization and Qualification</w:t>
            </w:r>
          </w:p>
        </w:tc>
        <w:tc>
          <w:tcPr>
            <w:tcW w:w="4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20</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9.2</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Authority Relative to this Agreement..................................................</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20</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9.3</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Consents and Approvals; No Violation..................................................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20</w:t>
            </w:r>
          </w:p>
        </w:tc>
      </w:tr>
      <w:tr>
        <w:trPr>
          <w:trHeight w:val="505"/>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10.</w:t>
            </w:r>
          </w:p>
        </w:tc>
        <w:tc>
          <w:tcPr>
            <w:tcW w:w="8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ADDITIONAL AGREEMENTS........................................................................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88"/>
              </w:rPr>
              <w:t>21</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10.1</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Access to Information.................................................................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10.2</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Public Announcements..................................................................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10.3</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Best Efforts..........................................................................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22</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10.4</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Rule 145..............................................................................</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22</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10.5</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Post Merger Matters...................................................................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22</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10.6</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Survival of Indemnification for Directors and Officers................................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22</w:t>
            </w:r>
          </w:p>
        </w:tc>
      </w:tr>
      <w:tr>
        <w:trPr>
          <w:trHeight w:val="505"/>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11.</w:t>
            </w:r>
          </w:p>
        </w:tc>
        <w:tc>
          <w:tcPr>
            <w:tcW w:w="8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CONDITIONS TO CONSUMMATION OF THE AFC MERGER.................................................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88"/>
              </w:rPr>
              <w:t>23</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11.1</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Conditions to the Obligations of Each Party...........................................</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23</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11.2</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Additional Conditions to the Obligations of AFC.......................................</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24</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11.3</w:t>
            </w:r>
          </w:p>
        </w:tc>
        <w:tc>
          <w:tcPr>
            <w:tcW w:w="7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Additional Conditions to the Obligations of AFG.......................................</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25</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7" w:right="1440" w:bottom="1440" w:gutter="0" w:footer="0" w:header="0"/>
        </w:sectPr>
      </w:pPr>
    </w:p>
    <w:bookmarkStart w:id="135" w:name="page136"/>
    <w:bookmarkEnd w:id="135"/>
    <w:p>
      <w:pPr>
        <w:ind w:left="2800"/>
        <w:spacing w:after="0"/>
        <w:rPr>
          <w:sz w:val="20"/>
          <w:szCs w:val="20"/>
          <w:color w:val="auto"/>
        </w:rPr>
      </w:pPr>
      <w:r>
        <w:rPr>
          <w:rFonts w:ascii="Courier New" w:cs="Courier New" w:eastAsia="Courier New" w:hAnsi="Courier New"/>
          <w:sz w:val="15"/>
          <w:szCs w:val="15"/>
          <w:color w:val="auto"/>
        </w:rPr>
        <w:t>TABLE OF CONTENTS</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12.</w:t>
            </w:r>
          </w:p>
        </w:tc>
        <w:tc>
          <w:tcPr>
            <w:tcW w:w="80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CONDITIONS TO CONSUMMATION OF THE HOLDING MERGER.............................................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88"/>
              </w:rPr>
              <w:t>26</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12.1</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Conditions to the Obligations of Each Party...........................................</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26</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12.2</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Additional Conditions to the Obligations of Holding...................................</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26</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12.3</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Additional Conditions to the Obligations of AFG.......................................</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27</w:t>
            </w:r>
          </w:p>
        </w:tc>
      </w:tr>
      <w:tr>
        <w:trPr>
          <w:trHeight w:val="505"/>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13.</w:t>
            </w:r>
          </w:p>
        </w:tc>
        <w:tc>
          <w:tcPr>
            <w:tcW w:w="80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TERMINATION; AMENDMENTS; WAIVER..............................................................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88"/>
              </w:rPr>
              <w:t>27</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13.1</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Termination...........................................................................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27</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13.2</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Amendment.............................................................................</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29</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13.3</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Extension; Waiver.....................................................................</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29</w:t>
            </w:r>
          </w:p>
        </w:tc>
      </w:tr>
      <w:tr>
        <w:trPr>
          <w:trHeight w:val="505"/>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14.</w:t>
            </w:r>
          </w:p>
        </w:tc>
        <w:tc>
          <w:tcPr>
            <w:tcW w:w="80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MISCELLANEOUS................................................................................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88"/>
              </w:rPr>
              <w:t>29</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14.1</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Survival of Representations, Warranties, Covenants and Agreements.....................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29</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14.2</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Entire Agreement; Assignment..........................................................</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30</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14.3</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Validity..............................................................................</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30</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14.4</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Notices...............................................................................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30</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14.5</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Governing Law.........................................................................</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33</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14.6</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Expenses..............................................................................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33</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14.7</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Interpretation........................................................................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33</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14.8</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Counterparts..........................................................................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33</w:t>
            </w: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14.9</w:t>
            </w:r>
          </w:p>
        </w:tc>
        <w:tc>
          <w:tcPr>
            <w:tcW w:w="7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Parties in Interest...................................................................</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33</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617"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00" w:type="dxa"/>
            <w:vAlign w:val="bottom"/>
          </w:tcPr>
          <w:p>
            <w:pPr>
              <w:ind w:left="2100"/>
              <w:spacing w:after="0"/>
              <w:rPr>
                <w:sz w:val="20"/>
                <w:szCs w:val="20"/>
                <w:color w:val="auto"/>
              </w:rPr>
            </w:pPr>
            <w:r>
              <w:rPr>
                <w:rFonts w:ascii="Courier New" w:cs="Courier New" w:eastAsia="Courier New" w:hAnsi="Courier New"/>
                <w:sz w:val="15"/>
                <w:szCs w:val="15"/>
                <w:color w:val="auto"/>
              </w:rPr>
              <w:t>Annexes</w:t>
            </w:r>
          </w:p>
        </w:tc>
      </w:tr>
      <w:tr>
        <w:trPr>
          <w:trHeight w:val="168"/>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0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80" w:type="dxa"/>
            <w:vAlign w:val="bottom"/>
          </w:tcPr>
          <w:p>
            <w:pPr>
              <w:spacing w:after="0"/>
              <w:rPr>
                <w:sz w:val="20"/>
                <w:szCs w:val="20"/>
                <w:color w:val="auto"/>
              </w:rPr>
            </w:pPr>
            <w:r>
              <w:rPr>
                <w:rFonts w:ascii="Courier New" w:cs="Courier New" w:eastAsia="Courier New" w:hAnsi="Courier New"/>
                <w:sz w:val="15"/>
                <w:szCs w:val="15"/>
                <w:color w:val="auto"/>
              </w:rPr>
              <w:t>Annex I</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00" w:type="dxa"/>
            <w:vAlign w:val="bottom"/>
          </w:tcPr>
          <w:p>
            <w:pPr>
              <w:ind w:left="100"/>
              <w:spacing w:after="0"/>
              <w:rPr>
                <w:sz w:val="20"/>
                <w:szCs w:val="20"/>
                <w:color w:val="auto"/>
              </w:rPr>
            </w:pPr>
            <w:r>
              <w:rPr>
                <w:rFonts w:ascii="Courier New" w:cs="Courier New" w:eastAsia="Courier New" w:hAnsi="Courier New"/>
                <w:sz w:val="15"/>
                <w:szCs w:val="15"/>
                <w:color w:val="auto"/>
              </w:rPr>
              <w:t>Holding Officer's Certificate</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II</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AFG Officer's Certificate (Holding Merger)</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III</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AFC Officer's Certificate</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IV</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AFG Officer's Certificate (AFC Merger)</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V</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Legal Opinion of Keating, Muething &amp; Klekamp, PLL</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VI</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Legal Opinion of Akin, Gump, Strauss, Hauer &amp; Feld LLP as to Tax</w:t>
            </w:r>
          </w:p>
        </w:tc>
      </w:tr>
      <w:tr>
        <w:trPr>
          <w:trHeight w:val="168"/>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Matters</w:t>
            </w:r>
          </w:p>
        </w:tc>
      </w:tr>
    </w:tbl>
    <w:p>
      <w:pPr>
        <w:sectPr>
          <w:pgSz w:w="11900" w:h="16838" w:orient="portrait"/>
          <w:cols w:equalWidth="0" w:num="1">
            <w:col w:w="10239"/>
          </w:cols>
          <w:pgMar w:left="220" w:top="953" w:right="1440" w:bottom="1440" w:gutter="0" w:footer="0" w:header="0"/>
        </w:sectPr>
      </w:pPr>
    </w:p>
    <w:bookmarkStart w:id="137" w:name="page138"/>
    <w:bookmarkEnd w:id="137"/>
    <w:p>
      <w:pPr>
        <w:spacing w:after="0" w:line="18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AGREEMENT AND PLAN OF REORGANIZATION</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THIS AGREEMENT AND PLAN OF REORGANIZATION ("Agreement") is made as of July 7, 2003 among AMERICAN FINANCIAL GROUP, INC., an Ohio corporation("AFG"), AFC HOLDING COMPANY, an Ohio corporation and wholly owned subsidiary of AFG ("Holding"), and AMERICAN FINANCIAL CORPORATION, an Ohio corporation and majority owned subsidiary of Holding ("AFC").</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R E C I T A L S:</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WHEREAS, the Board of Directors of each of AFG and Holding have determined that it is advisable and in the best interests of their respective shareholders that, immediately prior to the consummation of the AFC Merger (as hereinafter defined), Holding merge with and into AFG pursuant to the Holding Merger (as hereinafter defined); and,</w:t>
      </w:r>
    </w:p>
    <w:p>
      <w:pPr>
        <w:spacing w:after="0" w:line="174" w:lineRule="exact"/>
        <w:rPr>
          <w:sz w:val="20"/>
          <w:szCs w:val="20"/>
          <w:color w:val="auto"/>
        </w:rPr>
      </w:pPr>
    </w:p>
    <w:p>
      <w:pPr>
        <w:jc w:val="both"/>
        <w:ind w:right="3319" w:firstLine="787"/>
        <w:spacing w:after="0" w:line="258" w:lineRule="auto"/>
        <w:rPr>
          <w:sz w:val="20"/>
          <w:szCs w:val="20"/>
          <w:color w:val="auto"/>
        </w:rPr>
      </w:pPr>
      <w:r>
        <w:rPr>
          <w:rFonts w:ascii="Courier New" w:cs="Courier New" w:eastAsia="Courier New" w:hAnsi="Courier New"/>
          <w:sz w:val="14"/>
          <w:szCs w:val="14"/>
          <w:color w:val="auto"/>
        </w:rPr>
        <w:t>WHEREAS, the Board of Directors of each of AFG and AFC have determined that it is advisable and in the best interests of their respective shareholders that AFC merge with and into AFG pursuant to the AFC Merger; and,</w:t>
      </w:r>
    </w:p>
    <w:p>
      <w:pPr>
        <w:spacing w:after="0" w:line="161" w:lineRule="exact"/>
        <w:rPr>
          <w:sz w:val="20"/>
          <w:szCs w:val="20"/>
          <w:color w:val="auto"/>
        </w:rPr>
      </w:pPr>
    </w:p>
    <w:p>
      <w:pPr>
        <w:ind w:right="3839" w:firstLine="787"/>
        <w:spacing w:after="0" w:line="261" w:lineRule="auto"/>
        <w:rPr>
          <w:sz w:val="20"/>
          <w:szCs w:val="20"/>
          <w:color w:val="auto"/>
        </w:rPr>
      </w:pPr>
      <w:r>
        <w:rPr>
          <w:rFonts w:ascii="Courier New" w:cs="Courier New" w:eastAsia="Courier New" w:hAnsi="Courier New"/>
          <w:sz w:val="14"/>
          <w:szCs w:val="14"/>
          <w:color w:val="auto"/>
        </w:rPr>
        <w:t>WHEREAS, AFG and Holding desire to make certain representations, warranties and agreements in connection with the Holding Merger; and,</w:t>
      </w:r>
    </w:p>
    <w:p>
      <w:pPr>
        <w:spacing w:after="0" w:line="160"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WHEREAS, AFG and AFC desire to make certain representations, warranties and agreements in connection with the AFC Merger.</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mutual covenants and agreements herein contained, and intending to be legally bound hereby, the parties hereto agree as follows:</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HOLDING MERGER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 The Holding Merger.</w:t>
      </w:r>
    </w:p>
    <w:p>
      <w:pPr>
        <w:spacing w:after="0" w:line="173" w:lineRule="exact"/>
        <w:rPr>
          <w:sz w:val="20"/>
          <w:szCs w:val="20"/>
          <w:color w:val="auto"/>
        </w:rPr>
      </w:pPr>
    </w:p>
    <w:p>
      <w:pPr>
        <w:ind w:right="3239" w:firstLine="1147"/>
        <w:spacing w:after="0" w:line="236" w:lineRule="auto"/>
        <w:tabs>
          <w:tab w:leader="none" w:pos="14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AFG shall execute and deliver, and Holding shall execute and deliver, a certificate of merger and any other documents required under the laws of the State of Ohio to effect the merger of Holding with and into AFG (the "Holding Merger") on the terms and conditions set forth in this Agreement. The closing and consummation of the Holding Merger shall be governed by the provisions of Article 4 of this Agreement.</w:t>
      </w:r>
    </w:p>
    <w:p>
      <w:pPr>
        <w:spacing w:after="0" w:line="168" w:lineRule="exact"/>
        <w:rPr>
          <w:rFonts w:ascii="Courier New" w:cs="Courier New" w:eastAsia="Courier New" w:hAnsi="Courier New"/>
          <w:sz w:val="15"/>
          <w:szCs w:val="15"/>
          <w:color w:val="auto"/>
        </w:rPr>
      </w:pPr>
    </w:p>
    <w:p>
      <w:pPr>
        <w:ind w:left="1500" w:hanging="353"/>
        <w:spacing w:after="0"/>
        <w:tabs>
          <w:tab w:leader="none" w:pos="15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Merger:</w:t>
      </w:r>
    </w:p>
    <w:p>
      <w:pPr>
        <w:spacing w:after="0" w:line="172" w:lineRule="exact"/>
        <w:rPr>
          <w:rFonts w:ascii="Courier New" w:cs="Courier New" w:eastAsia="Courier New" w:hAnsi="Courier New"/>
          <w:sz w:val="15"/>
          <w:szCs w:val="15"/>
          <w:color w:val="auto"/>
        </w:rPr>
      </w:pPr>
    </w:p>
    <w:p>
      <w:pPr>
        <w:ind w:right="3239" w:firstLine="1497"/>
        <w:spacing w:after="0" w:line="235" w:lineRule="auto"/>
        <w:tabs>
          <w:tab w:leader="none" w:pos="1837"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no par value per share, of Holding ("Holding Common Stock") issued and outstanding immediately prior to the Holding Merger</w:t>
      </w:r>
    </w:p>
    <w:p>
      <w:pPr>
        <w:sectPr>
          <w:pgSz w:w="11900" w:h="16838" w:orient="portrait"/>
          <w:cols w:equalWidth="0" w:num="1">
            <w:col w:w="10239"/>
          </w:cols>
          <w:pgMar w:left="220" w:top="1440" w:right="1440" w:bottom="1440" w:gutter="0" w:footer="0" w:header="0"/>
        </w:sectPr>
      </w:pPr>
    </w:p>
    <w:bookmarkStart w:id="138" w:name="page139"/>
    <w:bookmarkEnd w:id="138"/>
    <w:p>
      <w:pPr>
        <w:ind w:left="3340"/>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Effective Time (as hereinafter defined) shall, by virtue of the Holding Merger and without the need for any further action on the part of the holder thereof, be cancelled.</w:t>
      </w:r>
    </w:p>
    <w:p>
      <w:pPr>
        <w:spacing w:after="0" w:line="174" w:lineRule="exact"/>
        <w:rPr>
          <w:sz w:val="20"/>
          <w:szCs w:val="20"/>
          <w:color w:val="auto"/>
        </w:rPr>
      </w:pPr>
    </w:p>
    <w:p>
      <w:pPr>
        <w:ind w:right="3319" w:firstLine="1234"/>
        <w:spacing w:after="0" w:line="236" w:lineRule="auto"/>
        <w:tabs>
          <w:tab w:leader="none" w:pos="1662"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AFG Common Stock issued and outstanding immediately prior to the Holding Merger Effective Time shall be converted, by virtue of the Holding Merger and without the need for any action on the part of the holder thereof, into one (1) share of the common stock, no par value, of AFG, as the corporation surviving the Holding Merger (in this capacity, the "Holding Merger Surviving Corporation").</w:t>
      </w:r>
    </w:p>
    <w:p>
      <w:pPr>
        <w:spacing w:after="0" w:line="174" w:lineRule="exact"/>
        <w:rPr>
          <w:rFonts w:ascii="Courier New" w:cs="Courier New" w:eastAsia="Courier New" w:hAnsi="Courier New"/>
          <w:sz w:val="15"/>
          <w:szCs w:val="15"/>
          <w:color w:val="auto"/>
        </w:rPr>
      </w:pPr>
    </w:p>
    <w:p>
      <w:pPr>
        <w:ind w:right="3239" w:firstLine="884"/>
        <w:spacing w:after="0" w:line="255" w:lineRule="auto"/>
        <w:tabs>
          <w:tab w:leader="none" w:pos="122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who or that holds an option, warrant or other right to acquire shares of AFG Common Stock, whether or not vested at the Holding Merger Effective Time, shall, by virtue of the Holding Merger and without the need for any further action on the part of the holder thereof, have that option, warrant or other right converted into an option, warrant or other right to acquire shares of Holding Merger Surviving Corporation common stock in the same amounts and at the price or prices in effect with respect to the AFG Common Stock immediately prior to the Holding Merger Effective Time. At the Holding Merger Effective Time, the Holding Merger Surviving Corporation shall assume each outstanding option, warrant or other right to acquire shares of AFG Common Stock. To the extent necessary, the Compensation Committee of the Board of Directors of the Holding Merger Surviving Corporation will take all action necessary or advisable to provide for the foregoing.</w:t>
      </w:r>
    </w:p>
    <w:p>
      <w:pPr>
        <w:spacing w:after="0" w:line="164"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Merger shall be effected under Section 1701.80 of the Ohio General Corporation Law, and this Agreement and the Holding Merger need not be approved by the shareholders of either AFG or Holding. Each of AFG and Holding shall use its best efforts to cause the Holding Merger to be consummated in accordance with the terms hereof.</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1.2 Effects of the Holding Merger.</w:t>
      </w:r>
    </w:p>
    <w:p>
      <w:pPr>
        <w:spacing w:after="0" w:line="173"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When the Holding Merger has been effected, the separate existence of Holding shall cease and Holding shall be merged with and into AFG, with AFG being the Holding Merger Surviving Corporation. At and after the Holding Merger Effective Time, AFG shall thereupon and thereafter possess all the rights, privileges, powers, immunities, purposes and franchises, of a public as well as of a private nature, of Holding, and, all and singular, the rights, privileges, powers, immunities, purposes and franchises of Holding, and all property, real, personal and mixed, tangible and intangible, and all debts due to Holding, on whatever account, as well as for stock subscriptions and all other things in action or belonging to Holding, shall be vested in AFG without further act or deed; and all property, rights, privileges, powers, immunities, purposes and franchises, and all and every other interest shall be thereafter as effectually the property of AFG as they were of Holding; and the title to any real estate vested by deed or otherwise or any other interest in real estate vested by any instrument or otherwise in Holding shall not revert or become in any way impaired by reason of the Holding Merger, but all rights of creditors and all liens upon any property of Holding shall be preserved unimpaired, and all debts, liabilities and duties of Holding shall thenceforth attach to AFG, and shall be enforceable against it to the same extent as if said debts, liabilities and duties had been incurred or contracted by it; all of the foregoing in</w:t>
      </w:r>
    </w:p>
    <w:p>
      <w:pPr>
        <w:sectPr>
          <w:pgSz w:w="11900" w:h="16838" w:orient="portrait"/>
          <w:cols w:equalWidth="0" w:num="1">
            <w:col w:w="10239"/>
          </w:cols>
          <w:pgMar w:left="220" w:top="449" w:right="1440" w:bottom="1440" w:gutter="0" w:footer="0" w:header="0"/>
        </w:sectPr>
      </w:pPr>
    </w:p>
    <w:bookmarkStart w:id="139" w:name="page140"/>
    <w:bookmarkEnd w:id="139"/>
    <w:p>
      <w:pPr>
        <w:ind w:left="334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accordance with Section 1701.82 and other the applicable provisions of the Ohio Corporation Law.</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1.3 No Exchange of Certificates.</w:t>
      </w:r>
    </w:p>
    <w:p>
      <w:pPr>
        <w:spacing w:after="0" w:line="173" w:lineRule="exact"/>
        <w:rPr>
          <w:sz w:val="20"/>
          <w:szCs w:val="20"/>
          <w:color w:val="auto"/>
        </w:rPr>
      </w:pPr>
    </w:p>
    <w:p>
      <w:pPr>
        <w:ind w:right="3579" w:firstLine="875"/>
        <w:spacing w:after="0" w:line="236" w:lineRule="auto"/>
        <w:rPr>
          <w:sz w:val="20"/>
          <w:szCs w:val="20"/>
          <w:color w:val="auto"/>
        </w:rPr>
      </w:pPr>
      <w:r>
        <w:rPr>
          <w:rFonts w:ascii="Courier New" w:cs="Courier New" w:eastAsia="Courier New" w:hAnsi="Courier New"/>
          <w:sz w:val="15"/>
          <w:szCs w:val="15"/>
          <w:color w:val="auto"/>
        </w:rPr>
        <w:t>From and after the Effective Time, each holder of an outstanding certificate which immediately prior to the Effective Time represented outstanding shares of AFG Common Stock shall represent and evidence the same number of outstanding shares of Holding Merger Surviving Corporation Common Stock.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1.4 Holding Merger Effective Time.</w:t>
      </w:r>
    </w:p>
    <w:p>
      <w:pPr>
        <w:spacing w:after="0" w:line="173" w:lineRule="exact"/>
        <w:rPr>
          <w:sz w:val="20"/>
          <w:szCs w:val="20"/>
          <w:color w:val="auto"/>
        </w:rPr>
      </w:pPr>
    </w:p>
    <w:p>
      <w:pPr>
        <w:jc w:val="both"/>
        <w:ind w:right="3319" w:firstLine="875"/>
        <w:spacing w:after="0" w:line="235" w:lineRule="auto"/>
        <w:rPr>
          <w:sz w:val="20"/>
          <w:szCs w:val="20"/>
          <w:color w:val="auto"/>
        </w:rPr>
      </w:pPr>
      <w:r>
        <w:rPr>
          <w:rFonts w:ascii="Courier New" w:cs="Courier New" w:eastAsia="Courier New" w:hAnsi="Courier New"/>
          <w:sz w:val="15"/>
          <w:szCs w:val="15"/>
          <w:color w:val="auto"/>
        </w:rPr>
        <w:t>The term "Holding Merger Effective Time" shall mean the date and time at which the Holding Merger shall have become effective pursuant to the laws of the State of Ohio. The Holding Merger Effective Time shall be immediately prior to the AFC Merger Effective Time.</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Section 1.5 Holding Merger Surviving Corporation Officers; Directors; Articles of Incorporation and Regulations.</w:t>
      </w:r>
    </w:p>
    <w:p>
      <w:pPr>
        <w:spacing w:after="0" w:line="173"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The officers and directors of AFG, as the Holding Merger Surviving Corporation, immediately following the Holding Merger Effective Time, shall be the officers and directors of AFG immediately prior to the Holding Merger Effective Time. The Articles of Incorporation of AFG immediately prior to the Holding Merger Effective Time shall be the Articles of Incorporation of the Holding Merger Surviving Corporation. The Regulations of AFG immediately prior to the Holding Merger Effective Time shall be the Regulations of the Holding Merger Surviving Corporation. Nothing in this Section 1.5 shall be construed to grant to any person any contractual or other right to hold office or a directorship in the Holding Merger Surviving Corporation or to preclude the shareholders or Board of Directors of the Holding Merger Surviving Corporation from further amending or modifying the Articles of Incorporation or Regulations of the Holding Merger Surviving Corporation.</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2.</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AFC MERGER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2.1 The AFC Merger.</w:t>
      </w:r>
    </w:p>
    <w:p>
      <w:pPr>
        <w:spacing w:after="0" w:line="173" w:lineRule="exact"/>
        <w:rPr>
          <w:sz w:val="20"/>
          <w:szCs w:val="20"/>
          <w:color w:val="auto"/>
        </w:rPr>
      </w:pPr>
    </w:p>
    <w:p>
      <w:pPr>
        <w:ind w:right="3239" w:firstLine="1497"/>
        <w:spacing w:after="0" w:line="256" w:lineRule="auto"/>
        <w:tabs>
          <w:tab w:leader="none" w:pos="183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AFG and AFC shall execute and deliver a certificate of merger and any other documents required under the laws of the State of Ohio to effect the merger of AFC with and into AFG (the "AFC Merger") on the terms and conditions set forth in this Agreement. The closing and consummation of the AFC Merger shall be governed by the provisions of Article 5 of this Agreement.</w:t>
      </w:r>
    </w:p>
    <w:p>
      <w:pPr>
        <w:sectPr>
          <w:pgSz w:w="11900" w:h="16838" w:orient="portrait"/>
          <w:cols w:equalWidth="0" w:num="1">
            <w:col w:w="10239"/>
          </w:cols>
          <w:pgMar w:left="220" w:top="449" w:right="1440" w:bottom="1440" w:gutter="0" w:footer="0" w:header="0"/>
        </w:sectPr>
      </w:pPr>
    </w:p>
    <w:bookmarkStart w:id="140" w:name="page141"/>
    <w:bookmarkEnd w:id="140"/>
    <w:p>
      <w:pPr>
        <w:ind w:left="2456"/>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ind w:left="356" w:hanging="356"/>
        <w:spacing w:after="0"/>
        <w:tabs>
          <w:tab w:leader="none" w:pos="35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AFC Merger:</w:t>
      </w:r>
    </w:p>
    <w:p>
      <w:pPr>
        <w:spacing w:after="0" w:line="172" w:lineRule="exact"/>
        <w:rPr>
          <w:rFonts w:ascii="Courier New" w:cs="Courier New" w:eastAsia="Courier New" w:hAnsi="Courier New"/>
          <w:sz w:val="15"/>
          <w:szCs w:val="15"/>
          <w:color w:val="auto"/>
        </w:rPr>
      </w:pPr>
    </w:p>
    <w:p>
      <w:pPr>
        <w:ind w:left="-884" w:right="3319" w:firstLine="1234"/>
        <w:spacing w:after="0" w:line="236" w:lineRule="auto"/>
        <w:tabs>
          <w:tab w:leader="none" w:pos="69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no par value per share, of AFC ("AFC Common Stock") issued and outstanding immediately prior to the AFC Merger Effective Time (as hereinafter defined) shall, by virtue of the AFC Merger and without the need for any further action on the part of the holder thereof, be cancelled.</w:t>
      </w:r>
    </w:p>
    <w:p>
      <w:pPr>
        <w:spacing w:after="0" w:line="173" w:lineRule="exact"/>
        <w:rPr>
          <w:rFonts w:ascii="Courier New" w:cs="Courier New" w:eastAsia="Courier New" w:hAnsi="Courier New"/>
          <w:sz w:val="15"/>
          <w:szCs w:val="15"/>
          <w:color w:val="auto"/>
        </w:rPr>
      </w:pPr>
    </w:p>
    <w:p>
      <w:pPr>
        <w:ind w:left="-884" w:right="3239" w:firstLine="1234"/>
        <w:spacing w:after="0" w:line="254" w:lineRule="auto"/>
        <w:tabs>
          <w:tab w:leader="none" w:pos="777"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Series J Preferred Stock, no par value per share, of AFC (the "Series J Preferred") issued and outstanding immediately prior to the AFC Merger Effective Time shall be converted, by virtue of the AFC Merger and without the need for any further action on the part of the holder thereof, into the right to receive the AFC Merger Consideration (as hereinafter defined). The "AFC Merger Consideration" shall be, for each share of Series J Preferred Stock, that number of shares of common stock, no par value per share, of AFG ("AFG Common Stock") equal to the quotient (rounded to the nearest fourth decimal place) obtained by dividing Twenty Five Dollars ($25.00) plus Accrued Dividends (as hereinafter defined) in the amount set forth in the next succeeding two (2) sentences by the lesser of Twenty Seven Dollars ($27.00) or the Average Closing Price (as hereinafter defined) on the trading day that is three (3) business days preceding the date on which the AFC Meeting (as hereinafter defined) occurs (together with any cash to be paid to holders of Series J Preferred in lieu of issuance of fractional shares of AFG Common Stock pursuant to Section 2.1(d) below). If the holder of a share of Series J Preferred Stock was the record holder of such share at the close of business on October 15, 2003, the record date for the regular dividend to be paid on the Series J Preferred Stock on November 1, 2003, the amount of "Accrued Dividends" on such share to be paid in the AFC Merger as AFC Merger Consideration shall mean the amount of dividends accruing from May 1, 2003 at the per diem rate of $.0055 per share of Series J Preferred Stock through the AFC Merger Effective Time. If the holder of a share of Series J Preferred Stock was not the record holder of such share at the close of business on October 15, 2003, the record date for the regular dividend to be paid on the Series J Preferred Stock on November 1, 2003, the amount of "Accrued Dividends" on such share to be paid in the AFC Merger as AFC Merger Consideration shall mean the amount of dividends accruing from October 16, 2003 at the per diem rate of $.0055 per share of Series J Preferred Stock through the AFC Merger Effective Time. The "Average Closing Price" as of any date shall mean the average of the mean of the daily high sales price and daily low sales price of AFG Common Stock on the New York Stock Exchange (as reported in The Wall Street Journal) for the twenty (20) consecutive days in which such shares are trading ending at the close of trading on the last day of trading before the date of the determination.</w:t>
      </w:r>
    </w:p>
    <w:p>
      <w:pPr>
        <w:spacing w:after="0" w:line="347" w:lineRule="exact"/>
        <w:rPr>
          <w:rFonts w:ascii="Courier New" w:cs="Courier New" w:eastAsia="Courier New" w:hAnsi="Courier New"/>
          <w:sz w:val="14"/>
          <w:szCs w:val="14"/>
          <w:color w:val="auto"/>
        </w:rPr>
      </w:pPr>
    </w:p>
    <w:p>
      <w:pPr>
        <w:ind w:left="-884" w:right="3239" w:firstLine="1234"/>
        <w:spacing w:after="0" w:line="236" w:lineRule="auto"/>
        <w:tabs>
          <w:tab w:leader="none" w:pos="865"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AFG Common Stock issued and outstanding immediately prior to the AFC Merger Effective Time shall be converted, by virtue of the AFC Merger and without the need for any action on the part of the holder thereof, into one (1) share of the common stock, no par value, of AFG, as the corporation surviving the AFC Merger (in this capacity, the "AFC Merger Surviving Corporation").</w:t>
      </w:r>
    </w:p>
    <w:p>
      <w:pPr>
        <w:sectPr>
          <w:pgSz w:w="11900" w:h="16838" w:orient="portrait"/>
          <w:cols w:equalWidth="0" w:num="1">
            <w:col w:w="9355"/>
          </w:cols>
          <w:pgMar w:left="1104" w:top="449" w:right="1440" w:bottom="1440" w:gutter="0" w:footer="0" w:header="0"/>
        </w:sectPr>
      </w:pPr>
    </w:p>
    <w:bookmarkStart w:id="141" w:name="page142"/>
    <w:bookmarkEnd w:id="141"/>
    <w:p>
      <w:pPr>
        <w:ind w:left="2456"/>
        <w:spacing w:after="0"/>
        <w:rPr>
          <w:sz w:val="20"/>
          <w:szCs w:val="20"/>
          <w:color w:val="auto"/>
        </w:rPr>
      </w:pPr>
      <w:r>
        <w:rPr>
          <w:rFonts w:ascii="Courier New" w:cs="Courier New" w:eastAsia="Courier New" w:hAnsi="Courier New"/>
          <w:sz w:val="15"/>
          <w:szCs w:val="15"/>
          <w:color w:val="auto"/>
        </w:rPr>
        <w:t>-5-</w:t>
      </w:r>
    </w:p>
    <w:p>
      <w:pPr>
        <w:spacing w:after="0" w:line="341" w:lineRule="exact"/>
        <w:rPr>
          <w:sz w:val="20"/>
          <w:szCs w:val="20"/>
          <w:color w:val="auto"/>
        </w:rPr>
      </w:pPr>
    </w:p>
    <w:p>
      <w:pPr>
        <w:ind w:left="-884" w:right="3239" w:firstLine="884"/>
        <w:spacing w:after="0" w:line="237" w:lineRule="auto"/>
        <w:tabs>
          <w:tab w:leader="none" w:pos="3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who or that holds an option, warrant or other right to acquire shares of AFG Common Stock, whether or not vested at the AFC Merger Effective Time, shall, by virtue of the AFC Merger and without the need for any further action on the part of the holder thereof, have that option, warrant or other right converted into an option, warrant or other right to acquire shares of AFC Merger Surviving Corporation common stock in the same amounts and at the price or prices in effect with respect to the AFG Common Stock immediately prior to the AFC Merger Effective Time. At the AFC Merger Effective Time, the AFC Merger Surviving Corporation shall assume each outstanding option, warrant or other right to acquire shares of AFG Common Stock. To the extent necessary, the Compensation Committee of the Board of Directors of the AFC Merger Surviving Corporation will take all action necessary or advisable to provide for the foregoing.</w:t>
      </w:r>
    </w:p>
    <w:p>
      <w:pPr>
        <w:spacing w:after="0" w:line="173" w:lineRule="exact"/>
        <w:rPr>
          <w:rFonts w:ascii="Courier New" w:cs="Courier New" w:eastAsia="Courier New" w:hAnsi="Courier New"/>
          <w:sz w:val="15"/>
          <w:szCs w:val="15"/>
          <w:color w:val="auto"/>
        </w:rPr>
      </w:pPr>
    </w:p>
    <w:p>
      <w:pPr>
        <w:ind w:left="-884" w:right="3319" w:firstLine="884"/>
        <w:spacing w:after="0" w:line="236" w:lineRule="auto"/>
        <w:tabs>
          <w:tab w:leader="none" w:pos="3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of AFG Common Stock shall be issued to holders of Series J Preferred in the AFC Merger. All fractional shares of AFG Common Stock that a holder of Series J Preferred would otherwise be entitled to receive as a result of the AFC Merger shall be aggregated. Such holder shall be entitled to receive, in lieu of any fractional share of AFG Common Stock, an amount in cash equal to the product of such fraction multiplied by the Average Closing Price.</w:t>
      </w:r>
    </w:p>
    <w:p>
      <w:pPr>
        <w:spacing w:after="0" w:line="175" w:lineRule="exact"/>
        <w:rPr>
          <w:rFonts w:ascii="Courier New" w:cs="Courier New" w:eastAsia="Courier New" w:hAnsi="Courier New"/>
          <w:sz w:val="15"/>
          <w:szCs w:val="15"/>
          <w:color w:val="auto"/>
        </w:rPr>
      </w:pPr>
    </w:p>
    <w:p>
      <w:pPr>
        <w:ind w:left="-884" w:right="3239" w:firstLine="884"/>
        <w:spacing w:after="0" w:line="254" w:lineRule="auto"/>
        <w:tabs>
          <w:tab w:leader="none" w:pos="34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shares of Series J Preferred outstanding immediately prior to the AFC Merger Effective Time and held by a holder who has not voted in favor of the AFC Merger or consented thereto in writing and who has demanded appraisal for such shares of Series J Preferred in accordance with Section 1701.85 of the Ohio General Corporation Law shall not be converted into a right to receive the AFC Merger Consideration, unless such holder fails to perfect or withdraws or loses its, his or her right to appraisal, in which case such shares of Series J Preferred shall be treated as if they had been converted as of the AFC Merger Effective Time into a right to receive the AFC Merger Consideration, without interest thereon. AFC shall give AFG prompt notice of any demands received by AFC for appraisal of shares of Series J Preferred and, prior to the AFC Merger Effective Time, AFG shall have the right to direct all negotiations and proceedings with respect to such demands. Prior to the AFC Merger Effective Time, AFC shall not, except with the prior written consent of AFG, make any payment with respect to, or settle or offer to settle any such demands. From and after the AFC Effective Time, AFG, as the AFC Merger Surviving Corporation, shall have the right to direct all negotiations and proceedings with respect to such demands.</w:t>
      </w:r>
    </w:p>
    <w:p>
      <w:pPr>
        <w:spacing w:after="0" w:line="174" w:lineRule="exact"/>
        <w:rPr>
          <w:rFonts w:ascii="Courier New" w:cs="Courier New" w:eastAsia="Courier New" w:hAnsi="Courier New"/>
          <w:sz w:val="14"/>
          <w:szCs w:val="14"/>
          <w:color w:val="auto"/>
        </w:rPr>
      </w:pPr>
    </w:p>
    <w:p>
      <w:pPr>
        <w:ind w:left="-884" w:right="3239" w:firstLine="884"/>
        <w:spacing w:after="0" w:line="236" w:lineRule="auto"/>
        <w:tabs>
          <w:tab w:leader="none" w:pos="3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the sole holder of the AFC Common Stock, Holding hereby covenants that it will vote to authorize and approve the execution, delivery and performance by AFC of the AFC Merger and this Agreement at the AFC Meeting. AFC shall promptly submit to Holding, as the sole holder of AFC Common Stock, and the holders of the Series J Preferred this Agreement and the AFC Merger for adoption and approval in accordance with Article 3 hereof. Each of AFG and AFC shall use its best efforts to cause the AFC Merger to be consummated in accordance with the terms hereof.</w:t>
      </w:r>
    </w:p>
    <w:p>
      <w:pPr>
        <w:sectPr>
          <w:pgSz w:w="11900" w:h="16838" w:orient="portrait"/>
          <w:cols w:equalWidth="0" w:num="1">
            <w:col w:w="9355"/>
          </w:cols>
          <w:pgMar w:left="1104" w:top="449" w:right="1440" w:bottom="1440" w:gutter="0" w:footer="0" w:header="0"/>
        </w:sectPr>
      </w:pPr>
    </w:p>
    <w:bookmarkStart w:id="142" w:name="page143"/>
    <w:bookmarkEnd w:id="142"/>
    <w:p>
      <w:pPr>
        <w:ind w:left="3340"/>
        <w:spacing w:after="0"/>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2.2 Effects of AFC Merger.</w:t>
      </w:r>
    </w:p>
    <w:p>
      <w:pPr>
        <w:spacing w:after="0" w:line="173"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When the AFC Merger has been effected, the separate existence of AFC shall cease and AFC shall be merged with and into AFG, AFG being the AFC Merger Surviving Corporation. At and after the AFC Merger Effective Time, AFG shall thereupon and thereafter possess all the rights, privileges, powers, immunities, purposes and franchises, of a public as well as of a private nature, of AFC, and, all and singular, the rights, privileges, powers, immunities, purposes and franchises of AFC, and all property, real, personal and mixed, tangible and intangible, and all debts due to AFC, on whatever account, as well as for stock subscriptions and all other things in action or belonging to AFC, shall be vested in AFG without further act or deed; and all property, rights, privileges, powers, immunities, purposes and franchises, and all and every other interest shall be thereafter as effectually the property of AFG as they were of AFC; and the title to any real estate vested by deed or otherwise or any other interest in real estate vested by any instrument or otherwise in AFC shall not revert or become in any way impaired by reason of the AFC Merger, but all rights of creditors and all liens upon any property of AFC shall be preserved unimpaired, and all debts, liabilities and duties of AFC shall thenceforth attach to AFG, and shall be enforceable against it to the same extent as if said debts, liabilities and duties had been incurred or contracted by it; all of the foregoing in accordance with Section 1701.82 and other applicable provisions of the Ohio General Corporation Law.</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2.3 Exchange of Certificates by Holders of Series J Preferred.</w:t>
      </w:r>
    </w:p>
    <w:p>
      <w:pPr>
        <w:spacing w:after="0" w:line="173"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From and after the AFC Merger Effective Time, each holder of an outstanding certificate which immediately prior to the AFC Merger Effective Time represented outstanding shares of Series J Preferred shall be entitled to receive in exchange therefor, upon surrender thereof to Securities Transfer Company, One East Fourth Street, Cincinnati, Ohio 45202: (i) a certificate or certificates representing the number of whole shares of AFG Common Stock into which such holder's shares were converted in accordance with 2.1(b)(ii); and</w:t>
      </w:r>
    </w:p>
    <w:p>
      <w:pPr>
        <w:spacing w:after="0" w:line="2" w:lineRule="exact"/>
        <w:rPr>
          <w:sz w:val="20"/>
          <w:szCs w:val="20"/>
          <w:color w:val="auto"/>
        </w:rPr>
      </w:pPr>
    </w:p>
    <w:p>
      <w:pPr>
        <w:ind w:right="3239" w:firstLine="10"/>
        <w:spacing w:after="0" w:line="254" w:lineRule="auto"/>
        <w:tabs>
          <w:tab w:leader="none" w:pos="437"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check representing any cash payable in lieu of any fractional share of AFG Common Stock computed as set forth in Section 2.1(d) hereof. No holder of a certificate or certificates which immediately prior to the AFC Merger Effective Time represented shares of Series J Preferred shall be entitled to receive any dividend or other distribution from AFG until surrender of such holder's certificate or certificates for a certificate or certificates representing shares of AFG Common Stock. After the AFC Merger Effective Time, there shall be no further registration of transfers of shares of Series J Preferred. If, after the AFC Merger Effective Time, certificates representing Series J Preferred are presented to AFG, they shall be cancelled and exchanged for the AFC Merger Consideration to be received in accordance with 2.1(b)(ii). From and after the AFC Merger Effective Time, AFG shall, however, be entitled to treat certificates for shares of Series J Preferred which have not yet been surrendered for exchange as evidencing solely the right to receive the AFC Merger Consideration for such certificates in accordance with 2.1(b)(ii), notwithstanding any failure to surrender such certificates in exchange therefor. If any certificate for shares of AFG Common Stock is to be issued in a name other than that in which the certificate for shares of Series J Preferred surrendered in exchange therefor is registered, it shall be a condition of such issuance that the person requesting such issuance shall pay any transfer or</w:t>
      </w:r>
    </w:p>
    <w:p>
      <w:pPr>
        <w:sectPr>
          <w:pgSz w:w="11900" w:h="16838" w:orient="portrait"/>
          <w:cols w:equalWidth="0" w:num="1">
            <w:col w:w="10239"/>
          </w:cols>
          <w:pgMar w:left="220" w:top="449" w:right="1440" w:bottom="1440" w:gutter="0" w:footer="0" w:header="0"/>
        </w:sectPr>
      </w:pPr>
    </w:p>
    <w:bookmarkStart w:id="143" w:name="page144"/>
    <w:bookmarkEnd w:id="143"/>
    <w:p>
      <w:pPr>
        <w:ind w:left="3340"/>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other tax required by reason of the issuance of certificates for such shares of AFG Common Stock in a name other than that of the registered holder of the certificate surrendered, or shall establish to the satisfaction of AFG or its agent that such tax has been paid or is not applicable. Notwithstanding the foregoing, AFG shall not be liable to any holder of shares of Series J Preferred for any shares of AFG Common Stock (or dividends or distributions with respect thereto) or cash in lieu of fractional shares delivered to a public official pursuant to any applicable abandoned property, escheat or similar law.</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2.4 AFC Merger Effective Time.</w:t>
      </w:r>
    </w:p>
    <w:p>
      <w:pPr>
        <w:spacing w:after="0" w:line="17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The term "AFC Merger Effective Time" shall mean the date and time at which the AFC Merger shall have become effective pursuant to the laws of the State of Ohio. The AFC Merger Effective Time shall be immediately after the Holding Merger Effective Time.</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Section 2.5 AFC Merger Surviving Corporation Officers; Directors; Articles of Incorporation and Regulations.</w:t>
      </w:r>
    </w:p>
    <w:p>
      <w:pPr>
        <w:spacing w:after="0" w:line="173" w:lineRule="exact"/>
        <w:rPr>
          <w:sz w:val="20"/>
          <w:szCs w:val="20"/>
          <w:color w:val="auto"/>
        </w:rPr>
      </w:pPr>
    </w:p>
    <w:p>
      <w:pPr>
        <w:ind w:right="3399" w:firstLine="875"/>
        <w:spacing w:after="0" w:line="237" w:lineRule="auto"/>
        <w:rPr>
          <w:sz w:val="20"/>
          <w:szCs w:val="20"/>
          <w:color w:val="auto"/>
        </w:rPr>
      </w:pPr>
      <w:r>
        <w:rPr>
          <w:rFonts w:ascii="Courier New" w:cs="Courier New" w:eastAsia="Courier New" w:hAnsi="Courier New"/>
          <w:sz w:val="15"/>
          <w:szCs w:val="15"/>
          <w:color w:val="auto"/>
        </w:rPr>
        <w:t>The officers and directors of AFG, as the AFC Merger Surviving Corporation, immediately following the AFC Merger Effective Time shall be the officers and directors of AFG immediately prior to the AFG Merger Effective Time. The Articles of Incorporation of AFG immediately prior to the AFC Merger Effective Time shall be the Articles of Incorporation of the AFC Merger Surviving Corporation. The Regulations of AFG immediately prior to the AFC Merger Effective Time shall be the Regulations of the AFC Merger Surviving Corporation. Nothing in this Section 2.5 shall be construed to grant to any person any contractual or other right to hold office or a directorship in the AFC Merger Surviving Corporation or to preclude the shareholders or Board of Directors of the AFC Merger Surviving Corporation from further amending or modifying the Articles of Incorporation or Regulations of the AFC Merger Surviving Corporation.</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3.</w:t>
      </w:r>
    </w:p>
    <w:p>
      <w:pPr>
        <w:jc w:val="center"/>
        <w:ind w:right="3239"/>
        <w:spacing w:after="0" w:line="237" w:lineRule="auto"/>
        <w:rPr>
          <w:sz w:val="20"/>
          <w:szCs w:val="20"/>
          <w:color w:val="auto"/>
        </w:rPr>
      </w:pPr>
      <w:r>
        <w:rPr>
          <w:rFonts w:ascii="Courier New" w:cs="Courier New" w:eastAsia="Courier New" w:hAnsi="Courier New"/>
          <w:sz w:val="15"/>
          <w:szCs w:val="15"/>
          <w:color w:val="auto"/>
        </w:rPr>
        <w:t>APPROVAL OF AFC SHAREHOLDERS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3.1 AFC Meeting.</w:t>
      </w:r>
    </w:p>
    <w:p>
      <w:pPr>
        <w:spacing w:after="0" w:line="173" w:lineRule="exact"/>
        <w:rPr>
          <w:sz w:val="20"/>
          <w:szCs w:val="20"/>
          <w:color w:val="auto"/>
        </w:rPr>
      </w:pPr>
    </w:p>
    <w:p>
      <w:pPr>
        <w:ind w:right="3399" w:firstLine="884"/>
        <w:spacing w:after="0" w:line="254" w:lineRule="auto"/>
        <w:tabs>
          <w:tab w:leader="none" w:pos="1224"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AFC Merger shall be submitted for approval to the holders of the AFC Common Stock and, in separate class votes (as provided in Section</w:t>
      </w: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11.1(c)), of shares of Series J Preferred, at a meeting to be duly held for this purpose by AFC (the "AFC Meeting"). AFC shall endeavor to hold the AFC Meeting as soon as practicable after the date hereof. AFC, acting through its Board of Directors, shall, in accordance with applicable law:</w:t>
      </w:r>
    </w:p>
    <w:p>
      <w:pPr>
        <w:spacing w:after="0" w:line="168" w:lineRule="exact"/>
        <w:rPr>
          <w:rFonts w:ascii="Courier New" w:cs="Courier New" w:eastAsia="Courier New" w:hAnsi="Courier New"/>
          <w:sz w:val="14"/>
          <w:szCs w:val="14"/>
          <w:color w:val="auto"/>
        </w:rPr>
      </w:pPr>
    </w:p>
    <w:p>
      <w:pPr>
        <w:ind w:left="1580" w:hanging="346"/>
        <w:spacing w:after="0"/>
        <w:tabs>
          <w:tab w:leader="none" w:pos="1580"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duly call, give notice of, convene and hold the AFC Meeting;</w:t>
      </w:r>
    </w:p>
    <w:p>
      <w:pPr>
        <w:spacing w:after="0" w:line="172" w:lineRule="exact"/>
        <w:rPr>
          <w:rFonts w:ascii="Courier New" w:cs="Courier New" w:eastAsia="Courier New" w:hAnsi="Courier New"/>
          <w:sz w:val="15"/>
          <w:szCs w:val="15"/>
          <w:color w:val="auto"/>
        </w:rPr>
      </w:pPr>
    </w:p>
    <w:p>
      <w:pPr>
        <w:ind w:right="3579" w:firstLine="1234"/>
        <w:spacing w:after="0" w:line="235" w:lineRule="auto"/>
        <w:tabs>
          <w:tab w:leader="none" w:pos="166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 in the Proxy Statement/Prospectus (as hereinafter defined) the recommendation of the Special Committee of the AFC Board of Directors appointed to</w:t>
      </w:r>
    </w:p>
    <w:p>
      <w:pPr>
        <w:sectPr>
          <w:pgSz w:w="11900" w:h="16838" w:orient="portrait"/>
          <w:cols w:equalWidth="0" w:num="1">
            <w:col w:w="10239"/>
          </w:cols>
          <w:pgMar w:left="220" w:top="449" w:right="1440" w:bottom="1440" w:gutter="0" w:footer="0" w:header="0"/>
        </w:sectPr>
      </w:pPr>
    </w:p>
    <w:bookmarkStart w:id="144" w:name="page145"/>
    <w:bookmarkEnd w:id="144"/>
    <w:p>
      <w:pPr>
        <w:ind w:left="3340"/>
        <w:spacing w:after="0"/>
        <w:rPr>
          <w:sz w:val="20"/>
          <w:szCs w:val="20"/>
          <w:color w:val="auto"/>
        </w:rPr>
      </w:pPr>
      <w:r>
        <w:rPr>
          <w:rFonts w:ascii="Courier New" w:cs="Courier New" w:eastAsia="Courier New" w:hAnsi="Courier New"/>
          <w:sz w:val="15"/>
          <w:szCs w:val="15"/>
          <w:color w:val="auto"/>
        </w:rPr>
        <w:t>-8-</w:t>
      </w:r>
    </w:p>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evaluate the AFC Merger (the "AFC Special Committee") and the full AFC Board of Directors that the holders of the Series J Preferred vote in favor of the approval of the transactions contemplated by this Agreement; and</w:t>
      </w:r>
    </w:p>
    <w:p>
      <w:pPr>
        <w:spacing w:after="0" w:line="174" w:lineRule="exact"/>
        <w:rPr>
          <w:sz w:val="20"/>
          <w:szCs w:val="20"/>
          <w:color w:val="auto"/>
        </w:rPr>
      </w:pPr>
    </w:p>
    <w:p>
      <w:pPr>
        <w:ind w:right="3239" w:firstLine="1234"/>
        <w:spacing w:after="0" w:line="236" w:lineRule="auto"/>
        <w:tabs>
          <w:tab w:leader="none" w:pos="174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solicit from the holders of the Series J Preferred proxies in favor of the approval of the transactions contemplated by this Agreement, and take all other actions necessary or advisable to secure the approval by the holders of the Series J Preferred of the transactions contemplated by this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3.2 Proxy Statement/Prospectus.</w:t>
      </w:r>
    </w:p>
    <w:p>
      <w:pPr>
        <w:spacing w:after="0" w:line="173"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As soon as reasonably practicable after the date hereof, AFG and AFC shall prepare and file with the Securities and Exchange Commission (the "Commission"), and diligently pursue the effectiveness of, a registration statement (the "Registration Statement") under the Securities Act of 1933 (the "Securities Act"), registering the public offering of shares of AFG Common Stock to be issued to holders of Series J Preferred in the AFC Merger, which Registration Statement shall contain (1) a letter to shareholders of AFC, notice of meeting, proxy statement meeting the requirements of Section 14 of the Securities Exchange Act of 1934 (the "Exchange Act") and rules promulgated thereunder and appropriate related forms of proxy with respect to the AFC Meeting, and (2) a prospectus of AFG with respect to the shares of AFG Common Stock to be issued in the AFC Merger (such proxy statement and prospectus, together with all amendments thereto, are referred to herein as the "Proxy Statement/Prospectus"). AFG and AFC shall simultaneously file the Registration Statement with appropriate state governmental offices ("Governmental Offices") under the securities or "blue sky" laws of such states as advised by counsel. AFG and AFC shall use their best efforts, including but not limited to responding promptly to comments, if any, issued by the Commission or the Governmental Offices regarding the Registration Statement, to have the Registration Statement declared effective by the Commission and Governmental Offices. As soon as reasonably practicable after such effectiveness, AFC shall promptly mail to the its shareholders the Proxy Statement/Prospectus in connection with the AFC Meeting.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3.3 Correction of Statements.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Each of AFG and AFC shall correct promptly any information specifically provided by it for inclusion in the Proxy Statement/Prospectus which shall have become false or misleading in any material respect. Each of AFG and AFC shall take all steps necessary to file or to cause to be filed with the Commission and have declared effective or cleared by the Commission any amendment or supplement to the Registration Statement or the Proxy Statement/Prospectus so as to correct the same and to cause the Registration Statement or the Proxy Statement/Prospectus as so corrected to be disseminated to the respective stockholders of AFG and AFC, in each case as and to the extent required by applicable law. The Registration Statement and the Proxy Statement/Prospectus shall comply as to form in all material respects with the provisions of the Securities Act, the Exchange Act and other applicable law.</w:t>
      </w:r>
    </w:p>
    <w:p>
      <w:pPr>
        <w:sectPr>
          <w:pgSz w:w="11900" w:h="16838" w:orient="portrait"/>
          <w:cols w:equalWidth="0" w:num="1">
            <w:col w:w="10239"/>
          </w:cols>
          <w:pgMar w:left="220" w:top="449" w:right="1440" w:bottom="1440" w:gutter="0" w:footer="0" w:header="0"/>
        </w:sectPr>
      </w:pPr>
    </w:p>
    <w:bookmarkStart w:id="145" w:name="page146"/>
    <w:bookmarkEnd w:id="145"/>
    <w:p>
      <w:pPr>
        <w:ind w:left="334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4.</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HOLDING MERGER CLOSING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4.1 Time and Place.</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The consummation of the Holding Merger (the "Closing") shall take place at the offices of Keating, Muething &amp; Klekamp, P.L.L., 1400 Provident Tower, One East Fourth Street, Cincinnati, Ohio 45202, at 10:00 a.m. local time on the date of the satisfaction or waiver of all conditions set forth in Article 12 of this Agreement, or at such other place and time as the parties hereto may agree.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4.2 Deliveries at Closing.</w:t>
      </w:r>
    </w:p>
    <w:p>
      <w:pPr>
        <w:spacing w:after="0" w:line="173"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(a) At the Closing, Holding shall deliver or cause to be delivered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AFG:</w:t>
      </w:r>
    </w:p>
    <w:p>
      <w:pPr>
        <w:spacing w:after="0" w:line="173" w:lineRule="exact"/>
        <w:rPr>
          <w:sz w:val="20"/>
          <w:szCs w:val="20"/>
          <w:color w:val="auto"/>
        </w:rPr>
      </w:pPr>
    </w:p>
    <w:p>
      <w:pPr>
        <w:ind w:right="3499" w:firstLine="1497"/>
        <w:spacing w:after="0" w:line="234" w:lineRule="auto"/>
        <w:tabs>
          <w:tab w:leader="none" w:pos="1837"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of Holding in the form attached hereto as Annex I; and,</w:t>
      </w:r>
    </w:p>
    <w:p>
      <w:pPr>
        <w:spacing w:after="0" w:line="173" w:lineRule="exact"/>
        <w:rPr>
          <w:rFonts w:ascii="Courier New" w:cs="Courier New" w:eastAsia="Courier New" w:hAnsi="Courier New"/>
          <w:sz w:val="15"/>
          <w:szCs w:val="15"/>
          <w:color w:val="auto"/>
        </w:rPr>
      </w:pPr>
    </w:p>
    <w:p>
      <w:pPr>
        <w:ind w:right="3319" w:firstLine="1497"/>
        <w:spacing w:after="0" w:line="235" w:lineRule="auto"/>
        <w:tabs>
          <w:tab w:leader="none" w:pos="1924"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documents required to be delivered or caused to be delivered by Holding hereunder and such other documents and instruments as AFG shall reasonably request in order to effect or evidence the transactions contemplated hereby.</w:t>
      </w:r>
    </w:p>
    <w:p>
      <w:pPr>
        <w:spacing w:after="0" w:line="168" w:lineRule="exact"/>
        <w:rPr>
          <w:rFonts w:ascii="Courier New" w:cs="Courier New" w:eastAsia="Courier New" w:hAnsi="Courier New"/>
          <w:sz w:val="15"/>
          <w:szCs w:val="15"/>
          <w:color w:val="auto"/>
        </w:rPr>
      </w:pPr>
    </w:p>
    <w:p>
      <w:pPr>
        <w:ind w:left="1500" w:hanging="353"/>
        <w:spacing w:after="0"/>
        <w:tabs>
          <w:tab w:leader="none" w:pos="150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AFG shall deliver to Holding:</w:t>
      </w:r>
    </w:p>
    <w:p>
      <w:pPr>
        <w:spacing w:after="0" w:line="172" w:lineRule="exact"/>
        <w:rPr>
          <w:rFonts w:ascii="Courier New" w:cs="Courier New" w:eastAsia="Courier New" w:hAnsi="Courier New"/>
          <w:sz w:val="15"/>
          <w:szCs w:val="15"/>
          <w:color w:val="auto"/>
        </w:rPr>
      </w:pPr>
    </w:p>
    <w:p>
      <w:pPr>
        <w:ind w:right="3759" w:firstLine="1497"/>
        <w:spacing w:after="0" w:line="234" w:lineRule="auto"/>
        <w:tabs>
          <w:tab w:leader="none" w:pos="1837"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officer's certificate of AFG in the form attached hereto as Annex II; and,</w:t>
      </w:r>
    </w:p>
    <w:p>
      <w:pPr>
        <w:spacing w:after="0" w:line="173" w:lineRule="exact"/>
        <w:rPr>
          <w:rFonts w:ascii="Courier New" w:cs="Courier New" w:eastAsia="Courier New" w:hAnsi="Courier New"/>
          <w:sz w:val="15"/>
          <w:szCs w:val="15"/>
          <w:color w:val="auto"/>
        </w:rPr>
      </w:pPr>
    </w:p>
    <w:p>
      <w:pPr>
        <w:ind w:right="3239" w:firstLine="1497"/>
        <w:spacing w:after="0" w:line="235" w:lineRule="auto"/>
        <w:tabs>
          <w:tab w:leader="none" w:pos="1924"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documents required to be delivered or caused to be delivered by AFG hereunder and such other documents and instruments as Holding shall reasonably request in order to effect or evidence the transactions contemplated hereby.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4.3 Filing of Certificate of Merger.</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Contemporaneously with the deliveries pursuant to Section 4.2 above, AFG and Holding shall cause agents acceptable to both AFG and Holding to deliver to the Secretary of State of the State of Ohio for filing a certificate of merger duly executed by AFG and shall make all other deliveries, filings or recordings required by applicable law to consummate the Holding Merger.</w:t>
      </w:r>
    </w:p>
    <w:p>
      <w:pPr>
        <w:spacing w:after="0" w:line="1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5.</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AFC MERGER CLOSING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5.1 Time and Place.</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The consummation of the AFC Merger (the "Closing") shall take place at the offices of Keating, Muething &amp; Klekamp, P.L.L., 1400 Provident Tower, One East Fourth Street, Cincinnati, Ohio 45202, at 11:00 a.m. local time on the date of the satisfaction or waiver of all</w:t>
      </w:r>
    </w:p>
    <w:p>
      <w:pPr>
        <w:sectPr>
          <w:pgSz w:w="11900" w:h="16838" w:orient="portrait"/>
          <w:cols w:equalWidth="0" w:num="1">
            <w:col w:w="10239"/>
          </w:cols>
          <w:pgMar w:left="220" w:top="449" w:right="1440" w:bottom="1440" w:gutter="0" w:footer="0" w:header="0"/>
        </w:sectPr>
      </w:pPr>
    </w:p>
    <w:bookmarkStart w:id="146" w:name="page147"/>
    <w:bookmarkEnd w:id="146"/>
    <w:p>
      <w:pPr>
        <w:ind w:left="3340"/>
        <w:spacing w:after="0"/>
        <w:rPr>
          <w:sz w:val="20"/>
          <w:szCs w:val="20"/>
          <w:color w:val="auto"/>
        </w:rPr>
      </w:pPr>
      <w:r>
        <w:rPr>
          <w:rFonts w:ascii="Courier New" w:cs="Courier New" w:eastAsia="Courier New" w:hAnsi="Courier New"/>
          <w:sz w:val="15"/>
          <w:szCs w:val="15"/>
          <w:color w:val="auto"/>
        </w:rPr>
        <w:t>-10-</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conditions set forth in Article 11 of this Agreement, or at such other place and time as the parties hereto may agree.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5.2 Deliveries at Closing.</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 At the Closing, AFC shall deliver or cause to be delivered to</w:t>
      </w:r>
    </w:p>
    <w:p>
      <w:pPr>
        <w:spacing w:after="0" w:line="237" w:lineRule="auto"/>
        <w:rPr>
          <w:sz w:val="20"/>
          <w:szCs w:val="20"/>
          <w:color w:val="auto"/>
        </w:rPr>
      </w:pPr>
      <w:r>
        <w:rPr>
          <w:rFonts w:ascii="Courier New" w:cs="Courier New" w:eastAsia="Courier New" w:hAnsi="Courier New"/>
          <w:sz w:val="15"/>
          <w:szCs w:val="15"/>
          <w:color w:val="auto"/>
        </w:rPr>
        <w:t>AFG:</w:t>
      </w:r>
    </w:p>
    <w:p>
      <w:pPr>
        <w:spacing w:after="0" w:line="173" w:lineRule="exact"/>
        <w:rPr>
          <w:sz w:val="20"/>
          <w:szCs w:val="20"/>
          <w:color w:val="auto"/>
        </w:rPr>
      </w:pPr>
    </w:p>
    <w:p>
      <w:pPr>
        <w:ind w:left="1840" w:hanging="343"/>
        <w:spacing w:after="0"/>
        <w:tabs>
          <w:tab w:leader="none" w:pos="184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certificate of AFC in the form attached hereto</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as Annex III; and,</w:t>
      </w:r>
    </w:p>
    <w:p>
      <w:pPr>
        <w:spacing w:after="0" w:line="173" w:lineRule="exact"/>
        <w:rPr>
          <w:rFonts w:ascii="Courier New" w:cs="Courier New" w:eastAsia="Courier New" w:hAnsi="Courier New"/>
          <w:sz w:val="14"/>
          <w:szCs w:val="14"/>
          <w:color w:val="auto"/>
        </w:rPr>
      </w:pPr>
    </w:p>
    <w:p>
      <w:pPr>
        <w:ind w:right="3319" w:firstLine="1497"/>
        <w:spacing w:after="0" w:line="235" w:lineRule="auto"/>
        <w:tabs>
          <w:tab w:leader="none" w:pos="1924"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documents required to be delivered or caused to be delivered by AFC hereunder and such other documents and instruments as AFG shall reasonably request in order to effect or evidence the transactions contemplated hereby.</w:t>
      </w:r>
    </w:p>
    <w:p>
      <w:pPr>
        <w:spacing w:after="0" w:line="168" w:lineRule="exact"/>
        <w:rPr>
          <w:rFonts w:ascii="Courier New" w:cs="Courier New" w:eastAsia="Courier New" w:hAnsi="Courier New"/>
          <w:sz w:val="15"/>
          <w:szCs w:val="15"/>
          <w:color w:val="auto"/>
        </w:rPr>
      </w:pPr>
    </w:p>
    <w:p>
      <w:pPr>
        <w:ind w:left="1500" w:hanging="353"/>
        <w:spacing w:after="0"/>
        <w:tabs>
          <w:tab w:leader="none" w:pos="150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AFG shall deliver or cause to be delivered to</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AFC:</w:t>
      </w:r>
    </w:p>
    <w:p>
      <w:pPr>
        <w:spacing w:after="0" w:line="166" w:lineRule="exact"/>
        <w:rPr>
          <w:rFonts w:ascii="Courier New" w:cs="Courier New" w:eastAsia="Courier New" w:hAnsi="Courier New"/>
          <w:sz w:val="15"/>
          <w:szCs w:val="15"/>
          <w:color w:val="auto"/>
        </w:rPr>
      </w:pPr>
    </w:p>
    <w:p>
      <w:pPr>
        <w:ind w:left="1840" w:hanging="343"/>
        <w:spacing w:after="0"/>
        <w:tabs>
          <w:tab w:leader="none" w:pos="184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AFC Merger Consideration in accordance with Section</w:t>
      </w:r>
    </w:p>
    <w:p>
      <w:pPr>
        <w:spacing w:after="0" w:line="237" w:lineRule="auto"/>
        <w:rPr>
          <w:sz w:val="20"/>
          <w:szCs w:val="20"/>
          <w:color w:val="auto"/>
        </w:rPr>
      </w:pPr>
      <w:r>
        <w:rPr>
          <w:rFonts w:ascii="Courier New" w:cs="Courier New" w:eastAsia="Courier New" w:hAnsi="Courier New"/>
          <w:sz w:val="15"/>
          <w:szCs w:val="15"/>
          <w:color w:val="auto"/>
        </w:rPr>
        <w:t>2.3;</w:t>
      </w:r>
    </w:p>
    <w:p>
      <w:pPr>
        <w:spacing w:after="0" w:line="167" w:lineRule="exact"/>
        <w:rPr>
          <w:sz w:val="20"/>
          <w:szCs w:val="20"/>
          <w:color w:val="auto"/>
        </w:rPr>
      </w:pPr>
    </w:p>
    <w:p>
      <w:pPr>
        <w:ind w:left="1940" w:hanging="443"/>
        <w:spacing w:after="0"/>
        <w:tabs>
          <w:tab w:leader="none" w:pos="19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of AFG in the form attached</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hereto as Annex IV;</w:t>
      </w:r>
    </w:p>
    <w:p>
      <w:pPr>
        <w:spacing w:after="0" w:line="173" w:lineRule="exact"/>
        <w:rPr>
          <w:rFonts w:ascii="Courier New" w:cs="Courier New" w:eastAsia="Courier New" w:hAnsi="Courier New"/>
          <w:sz w:val="15"/>
          <w:szCs w:val="15"/>
          <w:color w:val="auto"/>
        </w:rPr>
      </w:pPr>
    </w:p>
    <w:p>
      <w:pPr>
        <w:ind w:right="3239" w:firstLine="1497"/>
        <w:spacing w:after="0" w:line="234" w:lineRule="auto"/>
        <w:tabs>
          <w:tab w:leader="none" w:pos="2012"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legal opinion of Messrs. Keating, Muething &amp; Klekamp. P.L.L. in the form annexed hereto as Annex V;</w:t>
      </w:r>
    </w:p>
    <w:p>
      <w:pPr>
        <w:spacing w:after="0" w:line="173" w:lineRule="exact"/>
        <w:rPr>
          <w:rFonts w:ascii="Courier New" w:cs="Courier New" w:eastAsia="Courier New" w:hAnsi="Courier New"/>
          <w:sz w:val="15"/>
          <w:szCs w:val="15"/>
          <w:color w:val="auto"/>
        </w:rPr>
      </w:pPr>
    </w:p>
    <w:p>
      <w:pPr>
        <w:ind w:right="3239" w:firstLine="1497"/>
        <w:spacing w:after="0" w:line="234" w:lineRule="auto"/>
        <w:tabs>
          <w:tab w:leader="none" w:pos="192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legal opinion of Akin, Gump, Strauss, Hauer &amp; Feld LLP as to tax matters in the form annexed hereto as Annex VI;</w:t>
      </w:r>
    </w:p>
    <w:p>
      <w:pPr>
        <w:spacing w:after="0" w:line="173" w:lineRule="exact"/>
        <w:rPr>
          <w:rFonts w:ascii="Courier New" w:cs="Courier New" w:eastAsia="Courier New" w:hAnsi="Courier New"/>
          <w:sz w:val="15"/>
          <w:szCs w:val="15"/>
          <w:color w:val="auto"/>
        </w:rPr>
      </w:pPr>
    </w:p>
    <w:p>
      <w:pPr>
        <w:ind w:right="3399" w:firstLine="1497"/>
        <w:spacing w:after="0" w:line="235" w:lineRule="auto"/>
        <w:tabs>
          <w:tab w:leader="none" w:pos="183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documents required to be delivered or caused to be delivered by AFG hereunder and such other documents and instruments as AFC shall reasonably request in order to effect or evidence the transactions contemplated hereby.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5.3 Filing of Certificate of Merger.</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Contemporaneously with the deliveries pursuant to Section 5.2 above and upon receipt of evidence that the certificate of merger with respect to the Holding Merger has been filed with and accepted by the Secretary of State of the State of Ohio, AFC and AFG shall cause agents acceptable to both AFC and AFG to deliver to the Secretary of State of the State of Ohio for filing a certificate of merger duly executed by AFC and AFG and shall make all other deliveries, filings or recordings required by applicable law to consummate the AFC Merger.</w:t>
      </w:r>
    </w:p>
    <w:p>
      <w:pPr>
        <w:spacing w:after="0" w:line="32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6.</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REPRESENTATIONS AND WARRANTIES OF AFC</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AFC represents and warrants to AFG as follows:</w:t>
      </w:r>
    </w:p>
    <w:p>
      <w:pPr>
        <w:sectPr>
          <w:pgSz w:w="11900" w:h="16838" w:orient="portrait"/>
          <w:cols w:equalWidth="0" w:num="1">
            <w:col w:w="10239"/>
          </w:cols>
          <w:pgMar w:left="220" w:top="449" w:right="1440" w:bottom="1440" w:gutter="0" w:footer="0" w:header="0"/>
        </w:sectPr>
      </w:pPr>
    </w:p>
    <w:bookmarkStart w:id="147" w:name="page148"/>
    <w:bookmarkEnd w:id="147"/>
    <w:p>
      <w:pPr>
        <w:ind w:left="3340"/>
        <w:spacing w:after="0"/>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6.1 Organization and Qualification; Active Subsidiaries.</w:t>
      </w:r>
    </w:p>
    <w:p>
      <w:pPr>
        <w:spacing w:after="0" w:line="173"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AFC is a corporation duly organized, validly existing and in good standing under the laws of the State of Ohio and has all requisite corporate power and authority to own, lease or operate the properties that it purports to own, lease or operate and to carry on its business as it is now being conducted. AFC is duly qualified or licensed as a foreign corporation to do business and is in good standing (or the local law equivalent) in each jurisdiction where the property owned, leased or operated by it or the nature of its activities makes such qualification or licensing necessary, except for such failures to be so duly qualified or licensed and in good standing which, when taken together with all other such failures and all such failures of AFC would not have a material adverse effect on the business, operations or financial condition of AFC, taken as a whole.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6.2 Authority Relative to this Agreement.</w:t>
      </w:r>
    </w:p>
    <w:p>
      <w:pPr>
        <w:spacing w:after="0" w:line="173"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AFC has the corporate power and authority to execute and deliver this Agreement and to carry out its obligations hereunder. The execution and delivery by AFC of this Agreement and the consummation by AFC of the transactions contemplated hereby have been duly and validly authorized by each of the AFC Special Committee and the full Board of Directors of AFC. Upon the recommendation of the AFC Special Committee, the full Board of Directors of AFC has directed that this Agreement be submitted to the holders of Series J Preferred for approval at a meeting of such holders and, except for such approval, no other corporate proceedings on the part of AFC are necessary to authorize this Agreement or to consummate the transactions contemplated hereby. This Agreement has been duly executed and delivered by AFC and, assuming the due authorization, execution and delivery of this Agreement by the other parties hereto, constitutes a legal, valid and binding agreement of AFC, enforceable against AFC in accordance with its terms.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6.3 Consents and Approvals; No Violation.</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Except in the case of clauses Section 6.4(b) through Section 6.4(d) below, as set forth in Section 6.4 of the AFC Disclosure Schedule and for such failures to obtain consents, approvals, authorizations or permits for, or make filings with or notifications to, or such violations, conflicts, breaches, defaults, terminations, accelerations and rights of termination, cancellation, amendment or acceleration which, individually or in the aggregate, would not have a material adverse effect on the business, operations or financial condition of AFC, none of the execution and delivery of this Agreement by AFC, the consummation by AFC of the transactions contemplated hereby, or compliance by AFC with any of the provisions hereof will: (a) conflict with or result in a breach of any provision of the charter or bylaws (or other organizational or governing documents) of AFC; (b) require any consent, approval, authorization or permit of, or filing with or notification to, any governmental or regulatory authority, except (A) pursuant to the Exchange Act, the Securities Act, the securities or "blue sky" laws of certain states, (B) for filing a certificate of merger pursuant to the Ohio General Corporation Law; (c) violate or conflict with any judgment, order, writ, injunction, decree, statute, rule or regulation applicable to AFC; or (d)</w:t>
      </w:r>
    </w:p>
    <w:p>
      <w:pPr>
        <w:sectPr>
          <w:pgSz w:w="11900" w:h="16838" w:orient="portrait"/>
          <w:cols w:equalWidth="0" w:num="1">
            <w:col w:w="10239"/>
          </w:cols>
          <w:pgMar w:left="220" w:top="449" w:right="1440" w:bottom="1440" w:gutter="0" w:footer="0" w:header="0"/>
        </w:sectPr>
      </w:pPr>
    </w:p>
    <w:bookmarkStart w:id="148" w:name="page149"/>
    <w:bookmarkEnd w:id="148"/>
    <w:p>
      <w:pPr>
        <w:ind w:left="3340"/>
        <w:spacing w:after="0"/>
        <w:rPr>
          <w:sz w:val="20"/>
          <w:szCs w:val="20"/>
          <w:color w:val="auto"/>
        </w:rPr>
      </w:pPr>
      <w:r>
        <w:rPr>
          <w:rFonts w:ascii="Courier New" w:cs="Courier New" w:eastAsia="Courier New" w:hAnsi="Courier New"/>
          <w:sz w:val="15"/>
          <w:szCs w:val="15"/>
          <w:color w:val="auto"/>
        </w:rPr>
        <w:t>-12-</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conflict with, result in a breach of any provisions of, constitute a default (or an event which with notice or lapse of time or both would become a default) under, result in a termination of, accelerate the performance required by, give to any third party any right of termination, cancellation, amendment or acceleration under, or result in the creation of a lien, security interest, charge or other encumbrance on any of the assets of AFC pursuant to any note, bond, mortgage, indenture, license, lease, agreement or other instrument or obligation to which AFC is a party or by which AFC may be bound or affected.</w:t>
      </w:r>
    </w:p>
    <w:p>
      <w:pPr>
        <w:spacing w:after="0" w:line="15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7.</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REPRESENTATIONS AND WARRANTIES OF AFG</w:t>
      </w:r>
    </w:p>
    <w:p>
      <w:pPr>
        <w:jc w:val="center"/>
        <w:ind w:right="3139"/>
        <w:spacing w:after="0" w:line="238" w:lineRule="auto"/>
        <w:rPr>
          <w:sz w:val="20"/>
          <w:szCs w:val="20"/>
          <w:color w:val="auto"/>
        </w:rPr>
      </w:pPr>
      <w:r>
        <w:rPr>
          <w:rFonts w:ascii="Courier New" w:cs="Courier New" w:eastAsia="Courier New" w:hAnsi="Courier New"/>
          <w:sz w:val="15"/>
          <w:szCs w:val="15"/>
          <w:color w:val="auto"/>
        </w:rPr>
        <w:t>IN CONNECTION WITH THE AFC MERGER</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AFG</w:t>
        <w:tab/>
        <w:t>represents and warrants to AFC as follows: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7.1 Organization and Qualification.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AFG is a corporation duly organized, validly existing and in good standing under the laws of the State of Ohio and has all requisite corporate power and authority to own, lease or operate the properties that it purports to own, lease or operate and to carry on its business as it is now being conducted. AFG is duly qualified or licensed as a foreign corporation to do business and is in good standing (or the local law equivalent) in each jurisdiction where the property owned, leased or operated by it or the nature of its activities makes such qualification or licensing necessary, except for such failures to be so duly qualified or licensed and in good standing which would not have a material adverse effect on the business, operations or financial condition of AFG and its Subsidiaries, taken as a whole.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7.2 Capitalization.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AFG. The authorized capital stock of AFG consists of Two Hundred Million (200,000,000) shares of AFG Common Stock and Twenty Five Million (25,000,000) shares of preference stock ("AFG Preferred Stock"). As of March 31, 2003, (i) Eighty Eight Million One Hundred Ninety Four Thousand Five Hundred Fifty One (88,194,551) shares of AFG Common Stock were outstanding or issuable, including One Million Three Hundred Sixty One Thousand Eight Hundred Sixty-Seven (1,361,867) shares held by a subsidiary and set aside for issuance pursuant to a plan of reorganization, (ii) no shares of AFG Preferred Stock were issued and outstanding and (iii) Eighteen Million Six Hundred Sixty Six Thousand Six Hundred Fourteen (18,666,614) shares of AFG Common Stock held back in AFG's treasury. In addition, as of such date, Nine Million Six Hundred Ninety Three Thousand Five Hundred Thirty Seven (9,693,537) shares of AFG Common Stock were reserved for issuance in connection with the AFG Stock Option Plan, of which Seven Million Seven Hundred Ninety Four Thousand Two Hundred Fifty Six (7,794,256) shares were reserved for issuance upon the exercise of outstanding AFG Stock Options and One Million Eight Hundred Ninety Nine Thousand Two Hundred Eighty One (1,899,281) shares were reserved for issuance in connection with ungranted additional stock options. All of the issued and outstanding shares of capital stock of AFG are validly issued, fully paid and nonassessable and are not subject to, nor were they issued in violation of, any</w:t>
      </w:r>
    </w:p>
    <w:p>
      <w:pPr>
        <w:sectPr>
          <w:pgSz w:w="11900" w:h="16838" w:orient="portrait"/>
          <w:cols w:equalWidth="0" w:num="1">
            <w:col w:w="10239"/>
          </w:cols>
          <w:pgMar w:left="220" w:top="449" w:right="1440" w:bottom="1440" w:gutter="0" w:footer="0" w:header="0"/>
        </w:sectPr>
      </w:pPr>
    </w:p>
    <w:bookmarkStart w:id="149" w:name="page150"/>
    <w:bookmarkEnd w:id="149"/>
    <w:p>
      <w:pPr>
        <w:ind w:left="3340"/>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preemptive rights. Since December 31, 2002, AFG has not issued any shares of its capital stock or additional options to purchase shares of its capital stock except for the issuance of shares of AFG Common Stock (i) upon exercise of AFG Stock Options, (ii) in connection with shares issued pursuant to a 1978 Plan of Reorganization, (iii) in connection with shares issued pursuant to AFG's Employee Stock Purchase Plan, (iv) in connection with AFG's dividend reinvestment plan; and (v) in connection with AFG's Director's Compensation Plan. Except as set forth above, in the AFC SEC Filings (as defined in Section 7.5 below) or in Schedule 7.2 of the AFC Disclosure Schedule previously delivered by AFG to AFC (the "AFG Disclosure Schedule"), as of the date hereof,</w:t>
      </w:r>
    </w:p>
    <w:p>
      <w:pPr>
        <w:spacing w:after="0" w:line="3" w:lineRule="exact"/>
        <w:rPr>
          <w:sz w:val="20"/>
          <w:szCs w:val="20"/>
          <w:color w:val="auto"/>
        </w:rPr>
      </w:pPr>
    </w:p>
    <w:p>
      <w:pPr>
        <w:ind w:right="3239" w:firstLine="10"/>
        <w:spacing w:after="0" w:line="254" w:lineRule="auto"/>
        <w:tabs>
          <w:tab w:leader="none" w:pos="35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shares of capital stock of AFG authorized, issued or outstanding and (ii) there are no outstanding subscriptions, options, warrants, calls, rights, convertible securities or other agreements or commitments of any character obligating AFG or its subsidiaries, to issue, transfer or sell, presently or in the future, any shares of the capital stock or any securities convertible into, exchangeable for, or evidencing the right to subscribe for, any shares of the capital stock of AFG. Except as set forth in the AFG SEC Filings (as defined in Section 7.5 below) or Schedule 7.2 of the AFG Disclosure Schedule, all of the outstanding shares of capital stock of each of the AFG Subsidiaries have been validly issued and are fully paid and nonassessable and are beneficially owned by either AFG or another of the AFG Subsidiaries free and clear of all liens, charges, claims or encumbrances. Except as set forth in the AFG SEC Filings or Schedule 7.2 of the AFG Disclosure Schedule, there are no outstanding subscriptions, options, warrants, calls, rights, convertible securities or other agreements or commitments of any character relating to the issued or unissued capital stock of any of the AFG Subsidiaries or securities convertible into, exchangeable for or evidencing the right to subscribe for any shares of such capital stock, or otherwise obligating any such AFG Subsidiary to issue, transfer or sell any such capital stock or other securities. There are no voting trusts or other agreements or understandings to which AFG or any of its subsidiaries is a party with respect to the voting of the capital stock of AFG or any of the AFG Subsidiaries.</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7.3 Authority Relative to this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AFG has the corporate power and authority to execute and deliver this Agreement and to carry out its obligations hereunder. The execution and delivery of this Agreement by AFG and the consummation by AFG of the transactions contemplated hereby, specifically including the AFC Merger, have been duly and validly authorized by the Board of Directors of AFG. No other corporate proceedings on the part of AFG are necessary to consummate the transactions contemplated hereby. This Agreement has been duly executed and delivered by AFG and, assuming the due authorization, execution and delivery of this Agreement by each of the other parties hereto, constitutes a legal, valid and binding agreement of AFG, enforceable against AFG in accordance with its terms.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7.4 Consents and Approvals; No Violation.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Except, in the case of clauses Section 7.4(b) through Section 7.4(d) below, as set forth in Section 7.4 of the AFG Disclosure Schedule, and for such failure to obtain consents, approvals, authorizations or permits for, or make filings with or notifications to, or such</w:t>
      </w:r>
    </w:p>
    <w:p>
      <w:pPr>
        <w:sectPr>
          <w:pgSz w:w="11900" w:h="16838" w:orient="portrait"/>
          <w:cols w:equalWidth="0" w:num="1">
            <w:col w:w="10239"/>
          </w:cols>
          <w:pgMar w:left="220" w:top="449" w:right="1440" w:bottom="1440" w:gutter="0" w:footer="0" w:header="0"/>
        </w:sectPr>
      </w:pPr>
    </w:p>
    <w:bookmarkStart w:id="150" w:name="page151"/>
    <w:bookmarkEnd w:id="150"/>
    <w:p>
      <w:pPr>
        <w:ind w:left="3340"/>
        <w:spacing w:after="0"/>
        <w:rPr>
          <w:sz w:val="20"/>
          <w:szCs w:val="20"/>
          <w:color w:val="auto"/>
        </w:rPr>
      </w:pPr>
      <w:r>
        <w:rPr>
          <w:rFonts w:ascii="Courier New" w:cs="Courier New" w:eastAsia="Courier New" w:hAnsi="Courier New"/>
          <w:sz w:val="15"/>
          <w:szCs w:val="15"/>
          <w:color w:val="auto"/>
        </w:rPr>
        <w:t>-14-</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violations, conflicts, breaches, defaults, terminations, accelerations and rights of termination, cancellation, amendment or acceleration which, individually or in the aggregate, would not have a material adverse effect on the business, operations or financial condition of AFG and its Subsidiaries, taken as a whole, none of the execution and delivery of this Agreement by AFG, the consummation by AFG of the transactions contemplated hereby or compliance by AFG or any of its Subsidiaries with any of the provisions hereof will: (a) conflict with or result in a breach of any provision of the charter or bylaws of AFG or any Subsidiary of AFG; (b) require any consent, approval, authorization or permit of, or filing with or notification to, any governmental or regulatory authority, except (i) pursuant to the Exchange Act, the Securities Act and the securities or "blue sky" laws of certain states, and (ii) for filing a certificate of merger under the Ohio General Corporation Law; (c) violate or conflict with any judgment, order, writ, injunction, decree, statute, rule or regulation applicable to AFG or any of its Subsidiaries or any of their respective assets; or (d) conflict with, result in a breach of any provisions of, constitute a default (or an event which with notice or lapse of time or both would become a default) under, result in a termination of, accelerate the performance required by, give to any third party any right of termination, cancellation, amendment or acceleration under, or result in the creation of a lien, security interest, charge or other encumbrance on any of the assets of AFG or any of its Subsidiaries pursuant to, any note, bond, mortgage, indenture, license, lease, agreement or other instrument or obligation to which AFG or any of its Subsidiaries is a party or by which AFG or any of its Subsidiaries or any of their respective assets may be bound or affected.</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7.5 SEC Filings; Financial Statements.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AFG has previously delivered or made available to AFC true and complete copies of its (i) Annual Report on Form 10-K for the year ended December 31, 2002, as filed with the SEC, and all amendments thereto; (ii) Quarterly Report on Form 10-Q for the period ended March 31, 2003, as filed with the SEC; and (iii) all other reports, statements and registration statements (including Current Reports on Form 8-K) filed by it with the SEC since January 1, 2003 (collectively, the "AFG SEC Filings"). As of their respective dates, the AFG SEC Filings did not contain any untrue statement of a material fact or omit to state any material fact required to be stated therein or necessary to make the statements therein, in light of the circumstances under which they were made, not misleading. The financial statements of AFG included in the AFG SEC Filings (the "AFG Financial Statements") present fairly, in all material respects, the financial condition, results of operations and changes in financial position of AFG as at the dates or for the periods indicated therein in conformity with generally accepted accounting principles applied on a consistent basks (except as otherwise indicated in such financial statements or the notes thereto), subject, in the case of unaudited interim financial statements, to normal recurring year-end adjustments ("GAAP").</w:t>
      </w:r>
    </w:p>
    <w:p>
      <w:pPr>
        <w:spacing w:after="0" w:line="3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7.6 Litigation.</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Except as set forth in the AFG SEC Filings or Schedule 7.6 of the AFG Disclosure Schedule, there are no actions, suits, claims, investigations or proceedings pending or, to the knowledge of AFG, threatened against, relating to, involving or otherwise affecting AFG</w:t>
      </w:r>
    </w:p>
    <w:p>
      <w:pPr>
        <w:sectPr>
          <w:pgSz w:w="11900" w:h="16838" w:orient="portrait"/>
          <w:cols w:equalWidth="0" w:num="1">
            <w:col w:w="10239"/>
          </w:cols>
          <w:pgMar w:left="220" w:top="449" w:right="1440" w:bottom="1440" w:gutter="0" w:footer="0" w:header="0"/>
        </w:sectPr>
      </w:pPr>
    </w:p>
    <w:bookmarkStart w:id="151" w:name="page152"/>
    <w:bookmarkEnd w:id="151"/>
    <w:p>
      <w:pPr>
        <w:ind w:left="3340"/>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or any of its Subsidiaries before any court, governmental agency, commission, or administrative or regulatory authority which, if adversely decided, in the aggregate, may reasonably be expected to have a material adverse effect on the Condition of AFG and its Subsidiaries, taken as a whole. Except as set forth in the AFG SEC Filings or Schedule 7.6 of the AFG Disclosure Schedule, neither AFG nor any of its Subsidiaries is subject to any order, judgment, injunction or decree that materially and adversely affects or will materially and adversely affect the Condition of AFG and its Subsidiaries, taken as a whole.</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7.7 Employee Benefit Plans.</w:t>
      </w:r>
    </w:p>
    <w:p>
      <w:pPr>
        <w:spacing w:after="0" w:line="173" w:lineRule="exact"/>
        <w:rPr>
          <w:sz w:val="20"/>
          <w:szCs w:val="20"/>
          <w:color w:val="auto"/>
        </w:rPr>
      </w:pPr>
    </w:p>
    <w:p>
      <w:pPr>
        <w:ind w:right="3399" w:firstLine="884"/>
        <w:spacing w:after="0" w:line="258" w:lineRule="auto"/>
        <w:tabs>
          <w:tab w:leader="none" w:pos="1224"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hereof, the term "Benefit Plan" shall mean any plan maintained currently by AFG or any Subsidiary of AFG for the benefit of employees, former employees or Directors of AFG or any Subsidiary of AFG.</w:t>
      </w:r>
    </w:p>
    <w:p>
      <w:pPr>
        <w:spacing w:after="0" w:line="161" w:lineRule="exact"/>
        <w:rPr>
          <w:rFonts w:ascii="Courier New" w:cs="Courier New" w:eastAsia="Courier New" w:hAnsi="Courier New"/>
          <w:sz w:val="14"/>
          <w:szCs w:val="14"/>
          <w:color w:val="auto"/>
        </w:rPr>
      </w:pPr>
    </w:p>
    <w:p>
      <w:pPr>
        <w:ind w:right="3239" w:firstLine="884"/>
        <w:spacing w:after="0" w:line="235" w:lineRule="auto"/>
        <w:tabs>
          <w:tab w:leader="none" w:pos="1224"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Benefit Plan which is an employee pension benefit plan (as defined in Section 3(2) of the Employee Retirement Income Security Act of 1974 ("ERISA"), other than any such plan that meets the "top-hat" exception under Section 201(12) of ERISA (a "Qualified Benefit Plan"):</w:t>
      </w:r>
    </w:p>
    <w:p>
      <w:pPr>
        <w:spacing w:after="0" w:line="7" w:lineRule="exact"/>
        <w:rPr>
          <w:rFonts w:ascii="Courier New" w:cs="Courier New" w:eastAsia="Courier New" w:hAnsi="Courier New"/>
          <w:sz w:val="15"/>
          <w:szCs w:val="15"/>
          <w:color w:val="auto"/>
        </w:rPr>
      </w:pPr>
    </w:p>
    <w:p>
      <w:pPr>
        <w:ind w:right="3239" w:firstLine="10"/>
        <w:spacing w:after="0" w:line="255" w:lineRule="auto"/>
        <w:tabs>
          <w:tab w:leader="none" w:pos="35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the IRS has issued a determination letter which determined that such Qualified Benefit Plan satisfied the requirements of Section 401(a) of the Code, as amended, such determination letter has not been revoked or threatened to be revoked by the IRS and the scope of such determination letter is complete, or a determination letter will be applied for from the IRS within the appropriate time periods of the Internal Revenue Code of 1986 (the "Code"); (ii) such Qualified Benefit Plan is in compliance with all qualification requirements of Section 401(a) of the Code; (iii) no application has been made to the IRS under the voluntary compliance resolution program or the walk-in closing agreement program and no circumstance or condition exists which would qualify as a subject matter of such a filing; and (iv) such Qualified Benefit Plan has been operated in compliance with all notice, reporting and disclosure requirements of ERISA which apply to employee pension benefit plans;</w:t>
      </w:r>
    </w:p>
    <w:p>
      <w:pPr>
        <w:spacing w:after="0" w:line="164" w:lineRule="exact"/>
        <w:rPr>
          <w:rFonts w:ascii="Courier New" w:cs="Courier New" w:eastAsia="Courier New" w:hAnsi="Courier New"/>
          <w:sz w:val="14"/>
          <w:szCs w:val="14"/>
          <w:color w:val="auto"/>
        </w:rPr>
      </w:pPr>
    </w:p>
    <w:p>
      <w:pPr>
        <w:ind w:right="3239" w:firstLine="884"/>
        <w:spacing w:after="0" w:line="255" w:lineRule="auto"/>
        <w:tabs>
          <w:tab w:leader="none" w:pos="1224"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Benefit Plan: (i) to the extent such Benefit Plan is intended to provide benefits to plan participants that are not subject to federal income tax so long as specific provisions of the Code are met, such Benefit Plan currently meets such Code provisions; (ii) such Benefit Plan has been operated in compliance with all applicable notice, reporting and disclosure requirements of ERISA and the Code (including but not limited to the filing of timely Forms 5500); (iii) such Benefit Plan, if a group health plan subject to the requirements of Section 4980B of the Code or Sections 601 through 608 of ERISA, has been operated in compliance with such requirements; and (iv) there is not now, and never has been, any "unrelated business taxable income" as defined in Section 512 through 514 of the Code.</w:t>
      </w:r>
    </w:p>
    <w:p>
      <w:pPr>
        <w:spacing w:after="0" w:line="164" w:lineRule="exact"/>
        <w:rPr>
          <w:rFonts w:ascii="Courier New" w:cs="Courier New" w:eastAsia="Courier New" w:hAnsi="Courier New"/>
          <w:sz w:val="14"/>
          <w:szCs w:val="14"/>
          <w:color w:val="auto"/>
        </w:rPr>
      </w:pPr>
    </w:p>
    <w:p>
      <w:pPr>
        <w:ind w:right="3239" w:firstLine="884"/>
        <w:spacing w:after="0" w:line="256" w:lineRule="auto"/>
        <w:tabs>
          <w:tab w:leader="none" w:pos="1224"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prohibited transaction under Section 408 of ERISA has occurred with respect to any Benefit Plan which would result, with respect to any person, in (i) the imposition, directly or indirectly, of an excise tax under Section 4975 of the Code or (ii) fiduciary liability under Section 409 of ERISA.</w:t>
      </w:r>
    </w:p>
    <w:p>
      <w:pPr>
        <w:sectPr>
          <w:pgSz w:w="11900" w:h="16838" w:orient="portrait"/>
          <w:cols w:equalWidth="0" w:num="1">
            <w:col w:w="10239"/>
          </w:cols>
          <w:pgMar w:left="220" w:top="449" w:right="1440" w:bottom="1440" w:gutter="0" w:footer="0" w:header="0"/>
        </w:sectPr>
      </w:pPr>
    </w:p>
    <w:bookmarkStart w:id="152" w:name="page153"/>
    <w:bookmarkEnd w:id="152"/>
    <w:p>
      <w:pPr>
        <w:ind w:left="3340"/>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right="3319" w:firstLine="884"/>
        <w:spacing w:after="0" w:line="235" w:lineRule="auto"/>
        <w:tabs>
          <w:tab w:leader="none" w:pos="1224"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actions, suits or claims (other than routine claims for benefits not subject to challenge by the plan administrator) are pending or threatened against any Benefit Plan or against AFG or any affiliate of AFG with respect to any Benefit Plan.</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AFG and affiliates of AFG (or any pension plan maintained by any of them) have not incurred any material liability to the Pension Benefit Guaranty Corporation ("PBGC") or the IRS with respect to any Benefit Plan which is a defined pension plan, except for the payment of PBGC premiums, all of which if due prior to the date of this Agreement have been fully paid, and no PBGC reportable event under Section 4043(b) of ERISA has occurred with respect to any such pension plan.</w:t>
      </w:r>
    </w:p>
    <w:p>
      <w:pPr>
        <w:spacing w:after="0" w:line="175" w:lineRule="exact"/>
        <w:rPr>
          <w:rFonts w:ascii="Courier New" w:cs="Courier New" w:eastAsia="Courier New" w:hAnsi="Courier New"/>
          <w:sz w:val="15"/>
          <w:szCs w:val="15"/>
          <w:color w:val="auto"/>
        </w:rPr>
      </w:pPr>
    </w:p>
    <w:p>
      <w:pPr>
        <w:ind w:right="3319" w:firstLine="884"/>
        <w:spacing w:after="0" w:line="236" w:lineRule="auto"/>
        <w:tabs>
          <w:tab w:leader="none" w:pos="1224"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AFG or a subsidiary of AFG has all power and authority necessary to amend or terminate each Benefit Plan without incurring any penalty or liability provided that, in the case of an employee pension benefit plan (as defined in Section 3(2) of ERISA), benefits accrued as of the date of amendment or termination are not reduced.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7.8 Taxes and Tax Returns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AFG and each of its Tax Subsidiaries (collectively, the "Group") has timely filed or been included in all tax returns, declarations, reports, estimates, information returns, statements and other material returns (collectively, "Returns") relating to Taxes (as hereinafter defined) required to be filed under U.S. federal, state, local or any foreign laws (taking into account any extensions of time for filing such Returns). The Group has paid or made provision for (by a tax accrual or tax reserve on the most recent consolidated balance sheets of the Group (the "Balance Sheets") contained in the AFG SEC Filings, which accruals or reserves have been recorded in accordance with GAAP), all Taxes (except for such Taxes which if not so paid or provided for would not, in the aggregate, have a material adverse effect on the financial condition of AFG and its Subsidiaries, taken as a whole) in respect of all taxable periods or portions thereof ending on or before the date of the Balance Sheets. There are no material liens for Taxes upon the assets of the Group except liens for Taxes not yet due. The Group is not delinquent in the payment of any federal income or other Taxes and, except as set forth in Schedule 7.8 of the AFG Disclosure Schedule, there are no outstanding deficiencies, assessments or written proposals for assessment of federal income or other Taxes proposed, asserted or assessed against the Group. Except as set forth in the AFG Financial Statements or in Schedule 7.8 of the AFG Disclosure Schedule, no waivers are presently open for the statute of limitations for the assessment of federal income taxes for any consolidated federal income tax return of the Group. Except as set forth in the AFG Financial Statements or in Schedule 7.8 of the AFG Disclosure Schedule, no federal, state, local or foreign audits or other administrative proceedings or court proceedings which are material to the financial condition of the Group, taken as a whole, are presently pending with regard to any Taxes or Returns of the Group. As used herein, "Taxes" means (A) all net income, gross income, gross receipts, sales, use, transfer, franchise, profits, withholding, payroll, employment, excise, severance, property or windfall profits taxes, or other taxes of any kind whatsoever, together with any interest and any penalties, additions to tax or additional amounts imposed by any taxing authority (domestic or foreign) upon the Group with respect to all periods or portions</w:t>
      </w:r>
    </w:p>
    <w:p>
      <w:pPr>
        <w:sectPr>
          <w:pgSz w:w="11900" w:h="16838" w:orient="portrait"/>
          <w:cols w:equalWidth="0" w:num="1">
            <w:col w:w="10239"/>
          </w:cols>
          <w:pgMar w:left="220" w:top="449" w:right="1440" w:bottom="1440" w:gutter="0" w:footer="0" w:header="0"/>
        </w:sectPr>
      </w:pPr>
    </w:p>
    <w:bookmarkStart w:id="153" w:name="page154"/>
    <w:bookmarkEnd w:id="153"/>
    <w:p>
      <w:pPr>
        <w:ind w:left="3340"/>
        <w:spacing w:after="0"/>
        <w:rPr>
          <w:sz w:val="20"/>
          <w:szCs w:val="20"/>
          <w:color w:val="auto"/>
        </w:rPr>
      </w:pPr>
      <w:r>
        <w:rPr>
          <w:rFonts w:ascii="Courier New" w:cs="Courier New" w:eastAsia="Courier New" w:hAnsi="Courier New"/>
          <w:sz w:val="15"/>
          <w:szCs w:val="15"/>
          <w:color w:val="auto"/>
        </w:rPr>
        <w:t>-17-</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thereof ending on or before the AFC Merger Effective Time and/or (B) any liability of the Group for the payment of any amounts of the type described in the immediately preceding clause (A) as a result of being a member of an affiliated or combined group.</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7.9 Compliance with Applicable Law.</w:t>
      </w:r>
    </w:p>
    <w:p>
      <w:pPr>
        <w:spacing w:after="0" w:line="173"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Each of AFG and its Subsidiaries holds all material licenses, franchises, permits and authorizations necessary for the lawful conduct of its business under and pursuant to all, and has complied with and is not in default in any respect under any, applicable law, statute, order, rule, regulation, policy or guideline of any federal, state or local governmental authority relating to AFG or any of its Subsidiaries (other than where such default or noncompliance would not result in a material limitation on the conduct of the business of AFG or any of its Subsidiaries, or not cause AFG or any of its Subsidiaries to incur material financial penalty, or would not be likely to otherwise have a material adverse effect on the business, operations or financial condition of AFG and its Subsidiaries taken as a whole) and none of AFG or any of its Subsidiaries has received written notice of violation of, or knows of any violation of, any of the above.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7.10 Environmental Protection.</w:t>
      </w:r>
    </w:p>
    <w:p>
      <w:pPr>
        <w:spacing w:after="0" w:line="173" w:lineRule="exact"/>
        <w:rPr>
          <w:sz w:val="20"/>
          <w:szCs w:val="20"/>
          <w:color w:val="auto"/>
        </w:rPr>
      </w:pPr>
    </w:p>
    <w:p>
      <w:pPr>
        <w:ind w:right="3239" w:firstLine="884"/>
        <w:spacing w:after="0" w:line="234" w:lineRule="auto"/>
        <w:tabs>
          <w:tab w:leader="none" w:pos="1224"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the AFG SEC Filings or Schedule 7.10 of the AFG Disclosure Schedule:</w:t>
      </w:r>
    </w:p>
    <w:p>
      <w:pPr>
        <w:spacing w:after="0" w:line="173" w:lineRule="exact"/>
        <w:rPr>
          <w:rFonts w:ascii="Courier New" w:cs="Courier New" w:eastAsia="Courier New" w:hAnsi="Courier New"/>
          <w:sz w:val="15"/>
          <w:szCs w:val="15"/>
          <w:color w:val="auto"/>
        </w:rPr>
      </w:pPr>
    </w:p>
    <w:p>
      <w:pPr>
        <w:ind w:right="3239" w:firstLine="1234"/>
        <w:spacing w:after="0" w:line="236" w:lineRule="auto"/>
        <w:tabs>
          <w:tab w:leader="none" w:pos="1574"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AFG and its Subsidiaries is, in all material respects, in compliance with all Environmental Laws (as hereinafter defined) and has not received any communication within the last three years from a governmental authority that alleges that AFG or any of its Subsidiaries is not in such full compliance;</w:t>
      </w:r>
    </w:p>
    <w:p>
      <w:pPr>
        <w:spacing w:after="0" w:line="173" w:lineRule="exact"/>
        <w:rPr>
          <w:rFonts w:ascii="Courier New" w:cs="Courier New" w:eastAsia="Courier New" w:hAnsi="Courier New"/>
          <w:sz w:val="15"/>
          <w:szCs w:val="15"/>
          <w:color w:val="auto"/>
        </w:rPr>
      </w:pPr>
    </w:p>
    <w:p>
      <w:pPr>
        <w:ind w:right="3499" w:firstLine="1234"/>
        <w:spacing w:after="0" w:line="236" w:lineRule="auto"/>
        <w:tabs>
          <w:tab w:leader="none" w:pos="1662"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Environmental Claim (as hereinafter defined) pending or, to AFG's best knowledge, threatened against AFG or any of its subsidiaries or, to AFG's knowledge, pending or, to AFG's best knowledge, threatened against any person or entity whose liability for any Environmental Claim AFG or any of its Subsidiaries has retained or assumed either contractually or by operation of law; and</w:t>
      </w:r>
    </w:p>
    <w:p>
      <w:pPr>
        <w:spacing w:after="0" w:line="174" w:lineRule="exact"/>
        <w:rPr>
          <w:rFonts w:ascii="Courier New" w:cs="Courier New" w:eastAsia="Courier New" w:hAnsi="Courier New"/>
          <w:sz w:val="15"/>
          <w:szCs w:val="15"/>
          <w:color w:val="auto"/>
        </w:rPr>
      </w:pPr>
    </w:p>
    <w:p>
      <w:pPr>
        <w:ind w:right="3239" w:firstLine="1234"/>
        <w:spacing w:after="0" w:line="236" w:lineRule="auto"/>
        <w:tabs>
          <w:tab w:leader="none" w:pos="1749"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the same would not have a material adverse effect on the financial condition of AFG and its Subsidiaries, taken as a whole, there are no past or present actions, activities, circumstances, conditions, events or incidents, including, without limitation, the release, emission, discharge or disposal of any Material of Environmental Concern (as hereinafter defined), that could reasonably be expected to result in any Environmental Claim against AFG or any of its Subsidiaries or against any person or entity whose liability for any Environmental Claim AFG or any of its subsidiaries has retained or assumed either contractually or by operation of law.</w:t>
      </w:r>
    </w:p>
    <w:p>
      <w:pPr>
        <w:spacing w:after="0" w:line="179"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Claim" means any written notice by any governmental or regulatory agency, authority or instrumentality, or by any third-party, alleging potential liability</w:t>
      </w:r>
    </w:p>
    <w:p>
      <w:pPr>
        <w:sectPr>
          <w:pgSz w:w="11900" w:h="16838" w:orient="portrait"/>
          <w:cols w:equalWidth="0" w:num="1">
            <w:col w:w="10239"/>
          </w:cols>
          <w:pgMar w:left="220" w:top="449" w:right="1440" w:bottom="1440" w:gutter="0" w:footer="0" w:header="0"/>
        </w:sectPr>
      </w:pPr>
    </w:p>
    <w:bookmarkStart w:id="154" w:name="page155"/>
    <w:bookmarkEnd w:id="154"/>
    <w:p>
      <w:pPr>
        <w:ind w:left="334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(including, without limitation, potential liability for investigatory costs, cleanup costs, governmental response costs, natural resources damages, property damages, personal injuries, or penalties) arising out of, based on or resulting from (i) the presence, or release into the environment, of any Material of Environmental Concern at any location, whether or not owned by AFG or any of its Subsidiaries, or (ii) circumstances forming the basis of any violation, or alleged violation, of any Environmental Laws.</w:t>
      </w:r>
    </w:p>
    <w:p>
      <w:pPr>
        <w:spacing w:after="0" w:line="176" w:lineRule="exact"/>
        <w:rPr>
          <w:sz w:val="20"/>
          <w:szCs w:val="20"/>
          <w:color w:val="auto"/>
        </w:rPr>
      </w:pPr>
    </w:p>
    <w:p>
      <w:pPr>
        <w:ind w:right="3319" w:firstLine="884"/>
        <w:spacing w:after="0" w:line="255" w:lineRule="auto"/>
        <w:tabs>
          <w:tab w:leader="none" w:pos="122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means all federal, state, local and foreign laws and regulations relating to pollution or protection of human health or the environment (including, without limitation, ambient air, surface water, ground water, land surface or subsurface strata), including, without limitation, laws and regulations relating to emissions, discharges, releases or threatened releases of Materials of Environmental Concern or otherwise relating to the manufacture, processing, distribution, use, treatment, storage, disposal, transport or handling of Materials of Environmental Concern.</w:t>
      </w:r>
    </w:p>
    <w:p>
      <w:pPr>
        <w:spacing w:after="0" w:line="165" w:lineRule="exact"/>
        <w:rPr>
          <w:rFonts w:ascii="Courier New" w:cs="Courier New" w:eastAsia="Courier New" w:hAnsi="Courier New"/>
          <w:sz w:val="14"/>
          <w:szCs w:val="14"/>
          <w:color w:val="auto"/>
        </w:rPr>
      </w:pPr>
    </w:p>
    <w:p>
      <w:pPr>
        <w:ind w:right="3239" w:firstLine="884"/>
        <w:spacing w:after="0" w:line="255" w:lineRule="auto"/>
        <w:tabs>
          <w:tab w:leader="none" w:pos="122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"Materials of Environmental Concern" means any substance, material or waste which is regulated by any governmental authority, including, without limitation, any material, substance or waste which is defined as a "hazardous waste," "hazardous material," "hazardous substance," "hazardous chemical," "extremely hazardous waste," "restricted hazardous waste," "contaminant," "toxic waste," "pollutant," "biological agent" or "toxic substance" under any law, ordinance, rule, regulation or guideline, including, but not limited to, petroleum, petroleum products, asbestos, urea formaldehyde, mold, radon, biological organisms and polychlorinated biphenyls.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7.11 Merger Consideration.</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The AFG Common Stock to be issued to the holders of Series J Preferred Stock pursuant to this Agreement and the AFC Merger at Closing shall, when issued, be duly authorized, validly issued, fully paid and nonassessable and listed on the New York Stock Exchange.</w:t>
      </w:r>
    </w:p>
    <w:p>
      <w:pPr>
        <w:spacing w:after="0" w:line="33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8.</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REPRESENTATIONS AND WARRANTIES OF HOLDING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Holding represents and warrants to AFG as follows: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8.1 Organization and Qualification.</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Holding is a corporation duly organized, validly existing and in good standing under the laws of the State of Ohio and has all requisite corporate power and authority to own, lease or operate the properties it purports to own, lease or operate and to carry on its business as it is now being conducted. Holding is duly qualified or licensed as a foreign corporation to do business and is in good standing (or the local law equivalent) in each jurisdiction where the property owned, leased or operated by it or the nature of its activities makes such qualification or</w:t>
      </w:r>
    </w:p>
    <w:p>
      <w:pPr>
        <w:sectPr>
          <w:pgSz w:w="11900" w:h="16838" w:orient="portrait"/>
          <w:cols w:equalWidth="0" w:num="1">
            <w:col w:w="10239"/>
          </w:cols>
          <w:pgMar w:left="220" w:top="449" w:right="1440" w:bottom="1440" w:gutter="0" w:footer="0" w:header="0"/>
        </w:sectPr>
      </w:pPr>
    </w:p>
    <w:bookmarkStart w:id="155" w:name="page156"/>
    <w:bookmarkEnd w:id="155"/>
    <w:p>
      <w:pPr>
        <w:ind w:left="3340"/>
        <w:spacing w:after="0"/>
        <w:rPr>
          <w:sz w:val="20"/>
          <w:szCs w:val="20"/>
          <w:color w:val="auto"/>
        </w:rPr>
      </w:pPr>
      <w:r>
        <w:rPr>
          <w:rFonts w:ascii="Courier New" w:cs="Courier New" w:eastAsia="Courier New" w:hAnsi="Courier New"/>
          <w:sz w:val="15"/>
          <w:szCs w:val="15"/>
          <w:color w:val="auto"/>
        </w:rPr>
        <w:t>-19-</w:t>
      </w:r>
    </w:p>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licensing necessary, except for such failures to be so duly qualified or licensed and in good standing which would not have a material adverse effect on the business, operations or financial condition of Holding.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8.2 Capitalization.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authorized capital stock of Holding consists of Eight Hundred Fifty</w:t>
      </w:r>
    </w:p>
    <w:p>
      <w:pPr>
        <w:spacing w:after="0" w:line="5" w:lineRule="exact"/>
        <w:rPr>
          <w:sz w:val="20"/>
          <w:szCs w:val="20"/>
          <w:color w:val="auto"/>
        </w:rPr>
      </w:pPr>
    </w:p>
    <w:p>
      <w:pPr>
        <w:ind w:right="3239" w:firstLine="10"/>
        <w:spacing w:after="0" w:line="237" w:lineRule="auto"/>
        <w:tabs>
          <w:tab w:leader="none" w:pos="52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no par value, which is the Holding Common Stock, and One Thousand One Hundred Fifty (1,150) shares of preferred stock, no par value per share. As of the date of this Agreement, One Hundred (100) shares of Holding Common Stock were issued and outstanding, all of which were directly held by AFG. No shares of Holding preferred stock are issued and outstanding as of the date of this Agreement. All of the issued and outstanding shares of Holding Common Stock are validly issued, fully paid and non-assessable and are not subject to, nor are they issued in violation of, any preemptive rights. Except as contemplated by this Agreement, there are no outstanding subscriptions, warrants, calls, rights, convertible securities or other agreements or commitments obligating Holding to issue, transfer, sell, presently or in the future, any shares of capital stock.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8.3 Authority Relative to this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Holding has the corporate power and authority to execute and deliver this Agreement and to carry out its obligations hereunder. The execution and delivery of this Agreement by Holding and the consummation by Holding of the transactions contemplated hereby, specifically including the Holding Merger, have been duly and validly authorized by the Board of Directors of Holding and shall be duly and validly authorized by AFG as the sole stockholder of Holding, and no other corporate proceedings on the part of Holding are necessary to authorize this Agreement or to consummate the transactions contemplated hereby.</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8.4 Consents and Approvals; No Violation.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Except in the case of clauses Section 8.4(b) through Section 8.4(d) below, as set forth in Section 8.4 of the Disclosure Schedule previously delivered by Holding to AFG (the "Holding Disclosure Schedule") and for such failure to obtain consents, approvals, authorizations or permits for, or make filings with or notifications to, or violations, conflicts, breaches, defaults, terminations, accelerations and rights of termination, cancellation, amendment or acceleration which, individually or in the aggregate, would not have a material adverse effect on the business, operations or financial condition of Holding, none of the execution and delivery of this Agreement by Holding, the consummation by Holding of the transactions contemplated hereby or compliance by Holding of any the provisions hereof with: (a) conflict with or result in a breach of any provision of the charter or bylaws of Holding; (b) require any consent, approval, authorization or permit of, or filing with or notification to, any governmental or regulatory authority, except (i) pursuant to the Exchange Act, the Securities Act and the securities or "blue sky" laws of certain states, and</w:t>
      </w:r>
    </w:p>
    <w:p>
      <w:pPr>
        <w:spacing w:after="0" w:line="5" w:lineRule="exact"/>
        <w:rPr>
          <w:sz w:val="20"/>
          <w:szCs w:val="20"/>
          <w:color w:val="auto"/>
        </w:rPr>
      </w:pPr>
    </w:p>
    <w:p>
      <w:pPr>
        <w:ind w:left="440" w:hanging="430"/>
        <w:spacing w:after="0"/>
        <w:tabs>
          <w:tab w:leader="none" w:pos="4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filing a certificate of merger under the Ohio General Corporation Law;</w:t>
      </w:r>
    </w:p>
    <w:p>
      <w:pPr>
        <w:spacing w:after="0" w:line="9" w:lineRule="exact"/>
        <w:rPr>
          <w:rFonts w:ascii="Courier New" w:cs="Courier New" w:eastAsia="Courier New" w:hAnsi="Courier New"/>
          <w:sz w:val="14"/>
          <w:szCs w:val="14"/>
          <w:color w:val="auto"/>
        </w:rPr>
      </w:pPr>
    </w:p>
    <w:p>
      <w:pPr>
        <w:ind w:right="3399" w:firstLine="10"/>
        <w:spacing w:after="0" w:line="235" w:lineRule="auto"/>
        <w:tabs>
          <w:tab w:leader="none" w:pos="35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or conflict with any judgment, order, writ, injunction, decree, statute, rule or regulation applicable to Holding or any of its assets; or (d) conflict with, result in the</w:t>
      </w:r>
    </w:p>
    <w:p>
      <w:pPr>
        <w:sectPr>
          <w:pgSz w:w="11900" w:h="16838" w:orient="portrait"/>
          <w:cols w:equalWidth="0" w:num="1">
            <w:col w:w="10239"/>
          </w:cols>
          <w:pgMar w:left="220" w:top="449" w:right="1440" w:bottom="1440" w:gutter="0" w:footer="0" w:header="0"/>
        </w:sectPr>
      </w:pPr>
    </w:p>
    <w:bookmarkStart w:id="156" w:name="page157"/>
    <w:bookmarkEnd w:id="156"/>
    <w:p>
      <w:pPr>
        <w:ind w:left="3340"/>
        <w:spacing w:after="0"/>
        <w:rPr>
          <w:sz w:val="20"/>
          <w:szCs w:val="20"/>
          <w:color w:val="auto"/>
        </w:rPr>
      </w:pPr>
      <w:r>
        <w:rPr>
          <w:rFonts w:ascii="Courier New" w:cs="Courier New" w:eastAsia="Courier New" w:hAnsi="Courier New"/>
          <w:sz w:val="15"/>
          <w:szCs w:val="15"/>
          <w:color w:val="auto"/>
        </w:rPr>
        <w:t>-20-</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breach of any provisions of, constitute a default (or an event which with notice or lapse of time or both would become a default) under, result in a termination of, accelerate the performance required by, give to any third party any right of termination, cancellation, amendment or acceleration under, or result in the creation of a lien, security interest, charge or other encumbrance of any of the assets of Holding pursuant to, any note, bond, mortgage, indenture, license, lease, agreement or other instrument or obligation to which Holding is a party or by which Holding or any of its assets may be bound or affected.</w:t>
      </w:r>
    </w:p>
    <w:p>
      <w:pPr>
        <w:spacing w:after="0" w:line="15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9.</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REPRESENTATIONS AND WARRANTIES OF AFG</w:t>
      </w:r>
    </w:p>
    <w:p>
      <w:pPr>
        <w:jc w:val="center"/>
        <w:ind w:right="3139"/>
        <w:spacing w:after="0" w:line="238" w:lineRule="auto"/>
        <w:rPr>
          <w:sz w:val="20"/>
          <w:szCs w:val="20"/>
          <w:color w:val="auto"/>
        </w:rPr>
      </w:pPr>
      <w:r>
        <w:rPr>
          <w:rFonts w:ascii="Courier New" w:cs="Courier New" w:eastAsia="Courier New" w:hAnsi="Courier New"/>
          <w:sz w:val="15"/>
          <w:szCs w:val="15"/>
          <w:color w:val="auto"/>
        </w:rPr>
        <w:t>IN CONNECTION WITH THE HOLDING MERGER</w:t>
      </w:r>
    </w:p>
    <w:p>
      <w:pPr>
        <w:spacing w:after="0" w:line="16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AFG</w:t>
        <w:tab/>
        <w:t>represents and warrants to Holding as follows: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9.1 Organization and Qualification.</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AFG is a corporation duly organized, validly existing and in good standing under the laws of the State of Ohio and has all requisite corporate power and authority to own, lease or operate the properties that it purports to own, lease or operate and to carry on its business as it is now being conducted. AFG is duly qualified or licensed as a foreign corporation to do business and is in good standing (or the local law equivalent) in each jurisdiction where the property owned, leased or operated by it or the nature of its activities makes such qualification or licensing necessary, except for such failures to be so duly qualified or licensed and in good standing which would not have a material adverse effect on the business, operations or financial condition of AFG and its Subsidiaries, taken as a whole.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9.2 Authority Relative to this Agreement.</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AFG has the corporate power and authority to execute and deliver this Agreement and to carry out its obligations hereunder. The execution and delivery of this Agreement by AFG and the consummation by AFG of the transactions contemplated hereby, specifically including the Holding Merger, have been duly and validly authorized by the Board of Directors of AFG. No other corporate proceedings on the part of AFG are necessary to consummate the transactions contemplated hereby. This Agreement has been duly executed and delivered by AFG and, assuming the due authorization, execution and delivery of this Agreement by each of the other parties hereto, constitutes a legal, valid and binding agreement of AFG, enforceable against AFG in accordance with its terms.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9.3 Consents and Approvals; No Violation.</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Except, in the case of clauses Section 9.3(b) through Section 9.3(d) below, as set forth in Section 9.3 of the AFG Disclosure Schedule, and for such failure to obtain consents, approvals, authorizations or permits for, or make filings with or notifications to, or such violations, conflicts, breaches, defaults, terminations, accelerations and rights of termination, cancellation, amendment or acceleration which, individually or in the aggregate, would not have</w:t>
      </w:r>
    </w:p>
    <w:p>
      <w:pPr>
        <w:sectPr>
          <w:pgSz w:w="11900" w:h="16838" w:orient="portrait"/>
          <w:cols w:equalWidth="0" w:num="1">
            <w:col w:w="10239"/>
          </w:cols>
          <w:pgMar w:left="220" w:top="449" w:right="1440" w:bottom="1440" w:gutter="0" w:footer="0" w:header="0"/>
        </w:sectPr>
      </w:pPr>
    </w:p>
    <w:bookmarkStart w:id="157" w:name="page158"/>
    <w:bookmarkEnd w:id="157"/>
    <w:p>
      <w:pPr>
        <w:ind w:left="3340"/>
        <w:spacing w:after="0"/>
        <w:rPr>
          <w:sz w:val="20"/>
          <w:szCs w:val="20"/>
          <w:color w:val="auto"/>
        </w:rPr>
      </w:pPr>
      <w:r>
        <w:rPr>
          <w:rFonts w:ascii="Courier New" w:cs="Courier New" w:eastAsia="Courier New" w:hAnsi="Courier New"/>
          <w:sz w:val="15"/>
          <w:szCs w:val="15"/>
          <w:color w:val="auto"/>
        </w:rPr>
        <w:t>-21-</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 material adverse effect on the business, operations or financial condition of AFG and its Subsidiaries, taken as a whole, none of the execution and delivery of this Agreement by AFG, the consummation by AFG of the transactions contemplated hereby or compliance by AFG or any of its Subsidiaries with any of the provisions hereof will: (a) conflict with or result in a breach of any provision of the charter or bylaws of AFG or any Subsidiary of AFG; (b) require any consent, approval, authorization or permit of, or filing with or notification to, any governmental or regulatory authority, except (i) pursuant to the Exchange Act, the Securities Act and the securities or "blue sky" laws of certain states, and (ii) for filing a certificate of merger under the Ohio General Corporation Law; (c) violate or conflict with any judgment, order, writ, injunction, decree, statute, rule or regulation applicable to AFG or any of its Subsidiaries or any of their respective assets; or (d) conflict with, result in a breach of any provisions of, constitute a default (or an event which with notice or lapse of time or both would become a default) under, result in a termination of, accelerate the performance required by, give to any third party any right of termination, cancellation, amendment or acceleration under, or result in the creation of a lien, security interest, charge or other encumbrance on any of the assets of AFG or any of its Subsidiaries pursuant to, any note, bond, mortgage, indenture, license, lease, agreement or other instrument or obligation to which AFG or any of its Subsidiaries is a party or by which AFG or any of its Subsidiaries or any of their respective assets may be bound or affected.</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10.</w:t>
      </w:r>
    </w:p>
    <w:p>
      <w:pPr>
        <w:ind w:left="2640"/>
        <w:spacing w:after="0" w:line="237" w:lineRule="auto"/>
        <w:rPr>
          <w:sz w:val="20"/>
          <w:szCs w:val="20"/>
          <w:color w:val="auto"/>
        </w:rPr>
      </w:pPr>
      <w:r>
        <w:rPr>
          <w:rFonts w:ascii="Courier New" w:cs="Courier New" w:eastAsia="Courier New" w:hAnsi="Courier New"/>
          <w:sz w:val="15"/>
          <w:szCs w:val="15"/>
          <w:color w:val="auto"/>
        </w:rPr>
        <w:t>ADDITIONAL AGREEMENTS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10.1 Access to Information.</w:t>
      </w:r>
    </w:p>
    <w:p>
      <w:pPr>
        <w:spacing w:after="0" w:line="173" w:lineRule="exact"/>
        <w:rPr>
          <w:sz w:val="20"/>
          <w:szCs w:val="20"/>
          <w:color w:val="auto"/>
        </w:rPr>
      </w:pPr>
    </w:p>
    <w:p>
      <w:pPr>
        <w:ind w:right="3239" w:firstLine="884"/>
        <w:spacing w:after="0" w:line="236" w:lineRule="auto"/>
        <w:tabs>
          <w:tab w:leader="none" w:pos="122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date of this Agreement, AFC and AFG shall, and shall cause their respective authorized officers, directors, employees, auditors, agents and Subsidiaries, and the authorized officers, directors, employees, auditors and agents of their respective Subsidiaries, to, give to the other party and its authorized officers, employees, counsel, advisors and representatives full access to all authorized officers, employees, agents, properties, offices and other facilities and to all books and records of it and its Subsidiaries and shall furnish the other party with such financial, operating and other data and information as such other party, through its authorized officers, employees, agents or representatives, may from time to time reasonably request.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10.2 Public Announcements.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AFC and AFG shall promptly issue a joint press release to announce the execution and delivery of this Agreement. Thereafter, AFC and AFG shall consult with each other before issuing any press release or otherwise making any public statements with respect to any of the transactions contemplated by this Agreement and shall not issue any such press release or make any such public statement prior to such consultation, except as may be required by law.</w:t>
      </w:r>
    </w:p>
    <w:p>
      <w:pPr>
        <w:sectPr>
          <w:pgSz w:w="11900" w:h="16838" w:orient="portrait"/>
          <w:cols w:equalWidth="0" w:num="1">
            <w:col w:w="10239"/>
          </w:cols>
          <w:pgMar w:left="220" w:top="449" w:right="1440" w:bottom="1440" w:gutter="0" w:footer="0" w:header="0"/>
        </w:sectPr>
      </w:pPr>
    </w:p>
    <w:bookmarkStart w:id="158" w:name="page159"/>
    <w:bookmarkEnd w:id="158"/>
    <w:p>
      <w:pPr>
        <w:ind w:left="3340"/>
        <w:spacing w:after="0"/>
        <w:rPr>
          <w:sz w:val="20"/>
          <w:szCs w:val="20"/>
          <w:color w:val="auto"/>
        </w:rPr>
      </w:pPr>
      <w:r>
        <w:rPr>
          <w:rFonts w:ascii="Courier New" w:cs="Courier New" w:eastAsia="Courier New" w:hAnsi="Courier New"/>
          <w:sz w:val="15"/>
          <w:szCs w:val="15"/>
          <w:color w:val="auto"/>
        </w:rPr>
        <w:t>-22-</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10.3 Best Efforts.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Subject to the terms and conditions herein provided, each of the parties hereto shall use its best efforts to take, or cause to be taken, all action, and to do, or cause to be done, all things necessary, proper or advisable to consummate and make effective as promptly as practicable the transactions contemplated by this Agreement and to obtain in a timely manner all waivers, consents and approvals of, and to make all filings with and notifications to, any third parties as are necessary in order to consummate the transactions contemplated by this Agreement. Each party hereto shall have the right to review and approve in advance all characterizations of it and its Subsidiaries which appear in any filing made in connection with the transactions contemplated by this Agreement with any governmental body. In exercising the foregoing right, the parties hereto shall act as promptly as possible.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10.4 Rule 145.</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AFC will use all reasonable efforts to cause each holder of Series J Preferred who or that is an affiliate of AFC to deliver to AFG prior to the AFC Merger Effective Time a written agreement, substantially in the form of Exhibit 10.4 hereto, that such affiliate will not offer to sell, sell or otherwise dispose of any AFG Common Stock issued to such affiliate in connection with the AFC Merger otherwise than within the limits and in accordance with the provisions of Rule 145 under the Securities Act, as such rule may be amended from time to time, or except in a transaction that, in the opinion of legal counsel reasonably satisfactory to AFG, is exempt from registration under the Securities Act.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10.5 Post Merger Matters.</w:t>
      </w:r>
    </w:p>
    <w:p>
      <w:pPr>
        <w:spacing w:after="0" w:line="17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If at any time after the AFC Merger Effective Time or the Holding Merger Effective Time any further action is necessary or desirable to carry out the purposes of this Agreement, the proper officers and directors of each party to this Agreement shall take all such necessary action.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10.6 Survival of Indemnification for Directors and Officers.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To the fullest extent not prohibited by law, from and after each of the AFC Merger Effective Time and the Holding Merger Effective Time, all rights to indemnification and to advancement of expenses as of the date hereof in favor of the employees, agents, directors or officers of AFC or Holding with respect to their activities as such prior to the AFC Merger Effective Time or the Holding Merger Effective Time, as provided in their respective Articles or Regulations, in effect on the date thereof or otherwise in effect on the date hereof, shall survive the AFC Merger and the Holding Merger, as the case may be, and shall continue in full force and effect for a period of not less than six years from the AFC Merger Effective Time and the Holding Merger Effective Time as the case may be.</w:t>
      </w:r>
    </w:p>
    <w:p>
      <w:pPr>
        <w:sectPr>
          <w:pgSz w:w="11900" w:h="16838" w:orient="portrait"/>
          <w:cols w:equalWidth="0" w:num="1">
            <w:col w:w="10239"/>
          </w:cols>
          <w:pgMar w:left="220" w:top="449" w:right="1440" w:bottom="1440" w:gutter="0" w:footer="0" w:header="0"/>
        </w:sectPr>
      </w:pPr>
    </w:p>
    <w:bookmarkStart w:id="159" w:name="page160"/>
    <w:bookmarkEnd w:id="159"/>
    <w:p>
      <w:pPr>
        <w:ind w:left="3340"/>
        <w:spacing w:after="0"/>
        <w:rPr>
          <w:sz w:val="20"/>
          <w:szCs w:val="20"/>
          <w:color w:val="auto"/>
        </w:rPr>
      </w:pPr>
      <w:r>
        <w:rPr>
          <w:rFonts w:ascii="Courier New" w:cs="Courier New" w:eastAsia="Courier New" w:hAnsi="Courier New"/>
          <w:sz w:val="15"/>
          <w:szCs w:val="15"/>
          <w:color w:val="auto"/>
        </w:rPr>
        <w:t>-23-</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11.</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CONDITIONS TO CONSUMMATION OF THE AFC MERGER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11.1 Conditions to the Obligations of Each Party.</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The respective obligations of AFC and AFG to effect the AFC Merger are subject to the satisfaction, at or prior to the AFC Merger Effective Time, of the following conditions:</w:t>
      </w:r>
    </w:p>
    <w:p>
      <w:pPr>
        <w:spacing w:after="0" w:line="174" w:lineRule="exact"/>
        <w:rPr>
          <w:sz w:val="20"/>
          <w:szCs w:val="20"/>
          <w:color w:val="auto"/>
        </w:rPr>
      </w:pPr>
    </w:p>
    <w:p>
      <w:pPr>
        <w:ind w:right="3239" w:firstLine="884"/>
        <w:spacing w:after="0" w:line="255" w:lineRule="auto"/>
        <w:tabs>
          <w:tab w:leader="none" w:pos="122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in effect: (i) any judgment, injunction, decree or order issued by any federal, state or local court or arbitrator of competent jurisdiction; or (ii) any statute, rule, regulation or order enacted or promulgated by any federal, state or local, legislative, administrative or regulatory body of competent jurisdiction, that in either of cases (i) or (ii) prohibits or restricts the consummation of the transactions contemplated hereby or makes such consummation illegal or restricts in any material respect or prohibits the effective operation of the business of AFC or AFG and its Subsidiaries after the consummation of the AFC Merger;</w:t>
      </w:r>
    </w:p>
    <w:p>
      <w:pPr>
        <w:spacing w:after="0" w:line="165" w:lineRule="exact"/>
        <w:rPr>
          <w:rFonts w:ascii="Courier New" w:cs="Courier New" w:eastAsia="Courier New" w:hAnsi="Courier New"/>
          <w:sz w:val="14"/>
          <w:szCs w:val="14"/>
          <w:color w:val="auto"/>
        </w:rPr>
      </w:pPr>
    </w:p>
    <w:p>
      <w:pPr>
        <w:ind w:right="3399" w:firstLine="884"/>
        <w:spacing w:after="0" w:line="258" w:lineRule="auto"/>
        <w:tabs>
          <w:tab w:leader="none" w:pos="122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shall have been declared effective under the Securities Act and no stop order suspending such effectiveness shall have been issued or proceedings for such purpose shall have been instituted;</w:t>
      </w:r>
    </w:p>
    <w:p>
      <w:pPr>
        <w:spacing w:after="0" w:line="161"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AFC Merger hereby contemplated shall have been adopted and/or approved by the requisite affirmative vote of a majority of the voting power of AFC and, in a separate class vote, by the affirmative vote of the holders of a majority of the shares of Series J Preferred outstanding and by the affirmative vote of the holders of a majority of the Series J Preferred voting on the matter excluding any shares of Series J Preferred beneficially owned by AFG, any director or executive officer of AFG, the spouses and unemancipated children of any such AFG director or executive officer, Carl H. Lindner, Jr., the siblings or children of Carl H. Lindner, Jr. or the spouses and unemancipated children of Carl H. Lindner, Jr. or of any of his siblings or children;</w:t>
      </w:r>
    </w:p>
    <w:p>
      <w:pPr>
        <w:spacing w:after="0" w:line="180" w:lineRule="exact"/>
        <w:rPr>
          <w:rFonts w:ascii="Courier New" w:cs="Courier New" w:eastAsia="Courier New" w:hAnsi="Courier New"/>
          <w:sz w:val="15"/>
          <w:szCs w:val="15"/>
          <w:color w:val="auto"/>
        </w:rPr>
      </w:pPr>
    </w:p>
    <w:p>
      <w:pPr>
        <w:ind w:right="3319" w:firstLine="884"/>
        <w:spacing w:after="0" w:line="255" w:lineRule="auto"/>
        <w:tabs>
          <w:tab w:leader="none" w:pos="122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the consent of the Required Lenders (as defined in the Credit Agreement) shall have been obtained or the Credit Agreement dated as of November 25, 2002 among AFG, AFC Holding and AFC and Fleet National Bank, for itself or as Administrative Agent for the Lenders, Bank of America, N.A., for itself and as syndication agent for the Lenders, Key Bank National Association, for itself and as documentation agent for the Lenders (the "Credit Agreement") shall have been revised, in either case to permit the merger of AFC to AFG;</w:t>
      </w:r>
    </w:p>
    <w:p>
      <w:pPr>
        <w:spacing w:after="0" w:line="159"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Merger shall have been consummated; and,</w:t>
      </w:r>
    </w:p>
    <w:p>
      <w:pPr>
        <w:spacing w:after="0" w:line="172" w:lineRule="exact"/>
        <w:rPr>
          <w:rFonts w:ascii="Courier New" w:cs="Courier New" w:eastAsia="Courier New" w:hAnsi="Courier New"/>
          <w:sz w:val="15"/>
          <w:szCs w:val="15"/>
          <w:color w:val="auto"/>
        </w:rPr>
      </w:pPr>
    </w:p>
    <w:p>
      <w:pPr>
        <w:ind w:right="3319" w:firstLine="884"/>
        <w:spacing w:after="0" w:line="234" w:lineRule="auto"/>
        <w:tabs>
          <w:tab w:leader="none" w:pos="1224"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to AFG and to the Special Committee of the legal opinion of Akin, Gump, Strauss, Hauer &amp; Feld LLP as to tax matters.</w:t>
      </w:r>
    </w:p>
    <w:p>
      <w:pPr>
        <w:sectPr>
          <w:pgSz w:w="11900" w:h="16838" w:orient="portrait"/>
          <w:cols w:equalWidth="0" w:num="1">
            <w:col w:w="10239"/>
          </w:cols>
          <w:pgMar w:left="220" w:top="449" w:right="1440" w:bottom="1440" w:gutter="0" w:footer="0" w:header="0"/>
        </w:sectPr>
      </w:pPr>
    </w:p>
    <w:bookmarkStart w:id="160" w:name="page161"/>
    <w:bookmarkEnd w:id="160"/>
    <w:p>
      <w:pPr>
        <w:ind w:left="3340"/>
        <w:spacing w:after="0"/>
        <w:rPr>
          <w:sz w:val="20"/>
          <w:szCs w:val="20"/>
          <w:color w:val="auto"/>
        </w:rPr>
      </w:pPr>
      <w:r>
        <w:rPr>
          <w:rFonts w:ascii="Courier New" w:cs="Courier New" w:eastAsia="Courier New" w:hAnsi="Courier New"/>
          <w:sz w:val="15"/>
          <w:szCs w:val="15"/>
          <w:color w:val="auto"/>
        </w:rPr>
        <w:t>-24-</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11.2 Additional Conditions to the Obligations of AFC.</w:t>
      </w:r>
    </w:p>
    <w:p>
      <w:pPr>
        <w:spacing w:after="0" w:line="173" w:lineRule="exact"/>
        <w:rPr>
          <w:sz w:val="20"/>
          <w:szCs w:val="20"/>
          <w:color w:val="auto"/>
        </w:rPr>
      </w:pPr>
    </w:p>
    <w:p>
      <w:pPr>
        <w:jc w:val="both"/>
        <w:ind w:right="3319" w:firstLine="875"/>
        <w:spacing w:after="0" w:line="235" w:lineRule="auto"/>
        <w:rPr>
          <w:sz w:val="20"/>
          <w:szCs w:val="20"/>
          <w:color w:val="auto"/>
        </w:rPr>
      </w:pPr>
      <w:r>
        <w:rPr>
          <w:rFonts w:ascii="Courier New" w:cs="Courier New" w:eastAsia="Courier New" w:hAnsi="Courier New"/>
          <w:sz w:val="15"/>
          <w:szCs w:val="15"/>
          <w:color w:val="auto"/>
        </w:rPr>
        <w:t>The obligation of AFC to consummate the AFC Merger is further subject to the satisfaction (or waiver by AFC), at or prior to the AFC Merger Effective Time, of the following conditions:</w:t>
      </w:r>
    </w:p>
    <w:p>
      <w:pPr>
        <w:spacing w:after="0" w:line="174" w:lineRule="exact"/>
        <w:rPr>
          <w:sz w:val="20"/>
          <w:szCs w:val="20"/>
          <w:color w:val="auto"/>
        </w:rPr>
      </w:pPr>
    </w:p>
    <w:p>
      <w:pPr>
        <w:ind w:right="3499" w:firstLine="884"/>
        <w:spacing w:after="0" w:line="235" w:lineRule="auto"/>
        <w:tabs>
          <w:tab w:leader="none" w:pos="122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AFC and AFG shall have performed in all material respects all their respective obligations hereunder required to be performed by them at or prior to the Closing;</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AFG contained in this Agreement and in any certificate or other writing delivered by AFG pursuant hereto which are qualified by the term "material" or "materiality" shall be true and correct in all respects, and all other representations and warranties of AFG contained in this Agreement and in any certificate or other writing delivered by AFG pursuant hereto shall be true and correct in all material respects, at and as of the date of this Agreement and at and as of the Closing as if made at and as of such time (except as to any representation or warranty which specifically relates to an earlier date);</w:t>
      </w:r>
    </w:p>
    <w:p>
      <w:pPr>
        <w:spacing w:after="0" w:line="178" w:lineRule="exact"/>
        <w:rPr>
          <w:rFonts w:ascii="Courier New" w:cs="Courier New" w:eastAsia="Courier New" w:hAnsi="Courier New"/>
          <w:sz w:val="15"/>
          <w:szCs w:val="15"/>
          <w:color w:val="auto"/>
        </w:rPr>
      </w:pPr>
    </w:p>
    <w:p>
      <w:pPr>
        <w:jc w:val="both"/>
        <w:ind w:right="3239" w:firstLine="884"/>
        <w:spacing w:after="0" w:line="235" w:lineRule="auto"/>
        <w:tabs>
          <w:tab w:leader="none" w:pos="122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AFC shall have received the deliveries described in Section 5.2(b) and all agreements included in such deliveries shall have been duly executed and delivered by all parties thereto;</w:t>
      </w:r>
    </w:p>
    <w:p>
      <w:pPr>
        <w:spacing w:after="0" w:line="173"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AFC shall have received all documents it may reasonably request relating to the existence of AFG and its corporate authority for this Agreement, all in form and substance reasonably satisfactory to AFC;</w:t>
      </w:r>
    </w:p>
    <w:p>
      <w:pPr>
        <w:spacing w:after="0" w:line="173" w:lineRule="exact"/>
        <w:rPr>
          <w:rFonts w:ascii="Courier New" w:cs="Courier New" w:eastAsia="Courier New" w:hAnsi="Courier New"/>
          <w:sz w:val="15"/>
          <w:szCs w:val="15"/>
          <w:color w:val="auto"/>
        </w:rPr>
      </w:pPr>
    </w:p>
    <w:p>
      <w:pPr>
        <w:ind w:right="3499" w:firstLine="884"/>
        <w:spacing w:after="0" w:line="235" w:lineRule="auto"/>
        <w:tabs>
          <w:tab w:leader="none" w:pos="122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material permits, consents, waivers, clearances, approvals and authorizations of and filings with all third parties and governmental bodies shall have been obtained which are required to consummate the transactions contemplated hereby;</w:t>
      </w:r>
    </w:p>
    <w:p>
      <w:pPr>
        <w:spacing w:after="0" w:line="175" w:lineRule="exact"/>
        <w:rPr>
          <w:rFonts w:ascii="Courier New" w:cs="Courier New" w:eastAsia="Courier New" w:hAnsi="Courier New"/>
          <w:sz w:val="15"/>
          <w:szCs w:val="15"/>
          <w:color w:val="auto"/>
        </w:rPr>
      </w:pPr>
    </w:p>
    <w:p>
      <w:pPr>
        <w:ind w:right="3399" w:firstLine="884"/>
        <w:spacing w:after="0" w:line="255" w:lineRule="auto"/>
        <w:tabs>
          <w:tab w:leader="none" w:pos="122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AFG shall have caused to be delivered to AFC a "bringdown" certificate executed by any one (1) of its Chief Executive Officers or Co-Presidents or the Chief Financial Officer in their respective corporate capacities and not in their individual capacities, dated the date on which the Registration Statement (or last amendment thereto) shall become effective and dated the date of the AFC Merger Effective Time, and addressed to AFC, in form and substance customary in transactions of the nature contemplated hereby;</w:t>
      </w:r>
    </w:p>
    <w:p>
      <w:pPr>
        <w:spacing w:after="0" w:line="166" w:lineRule="exact"/>
        <w:rPr>
          <w:rFonts w:ascii="Courier New" w:cs="Courier New" w:eastAsia="Courier New" w:hAnsi="Courier New"/>
          <w:sz w:val="14"/>
          <w:szCs w:val="14"/>
          <w:color w:val="auto"/>
        </w:rPr>
      </w:pPr>
    </w:p>
    <w:p>
      <w:pPr>
        <w:ind w:right="3399" w:firstLine="884"/>
        <w:spacing w:after="0" w:line="258" w:lineRule="auto"/>
        <w:tabs>
          <w:tab w:leader="none" w:pos="122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AFC shall have received a favorable "fairness opinion" from an investment banking firm in form and substance customary in transactions of the nature contemplated hereby and acceptable to AFC Special Committee; and,</w:t>
      </w:r>
    </w:p>
    <w:p>
      <w:pPr>
        <w:spacing w:after="0" w:line="161" w:lineRule="exact"/>
        <w:rPr>
          <w:rFonts w:ascii="Courier New" w:cs="Courier New" w:eastAsia="Courier New" w:hAnsi="Courier New"/>
          <w:sz w:val="14"/>
          <w:szCs w:val="14"/>
          <w:color w:val="auto"/>
        </w:rPr>
      </w:pPr>
    </w:p>
    <w:p>
      <w:pPr>
        <w:ind w:right="3839" w:firstLine="884"/>
        <w:spacing w:after="0" w:line="261" w:lineRule="auto"/>
        <w:tabs>
          <w:tab w:leader="none" w:pos="122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AFG Common Stock to be received as AFC Merger Consideration shall have been listed on the New York Stock Exchange.</w:t>
      </w:r>
    </w:p>
    <w:p>
      <w:pPr>
        <w:sectPr>
          <w:pgSz w:w="11900" w:h="16838" w:orient="portrait"/>
          <w:cols w:equalWidth="0" w:num="1">
            <w:col w:w="10239"/>
          </w:cols>
          <w:pgMar w:left="220" w:top="449" w:right="1440" w:bottom="1440" w:gutter="0" w:footer="0" w:header="0"/>
        </w:sectPr>
      </w:pPr>
    </w:p>
    <w:bookmarkStart w:id="161" w:name="page162"/>
    <w:bookmarkEnd w:id="161"/>
    <w:p>
      <w:pPr>
        <w:ind w:left="3340"/>
        <w:spacing w:after="0"/>
        <w:rPr>
          <w:sz w:val="20"/>
          <w:szCs w:val="20"/>
          <w:color w:val="auto"/>
        </w:rPr>
      </w:pPr>
      <w:r>
        <w:rPr>
          <w:rFonts w:ascii="Courier New" w:cs="Courier New" w:eastAsia="Courier New" w:hAnsi="Courier New"/>
          <w:sz w:val="15"/>
          <w:szCs w:val="15"/>
          <w:color w:val="auto"/>
        </w:rPr>
        <w:t>-25-</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11.3 Additional Conditions to the Obligations of AFG.</w:t>
      </w:r>
    </w:p>
    <w:p>
      <w:pPr>
        <w:spacing w:after="0" w:line="173"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The obligation of AFG to consummate the AFC Merger are further subject to the satisfaction (or waiver by AFG), at or prior to the AFC Merger Effective Time, of the following conditions:</w:t>
      </w:r>
    </w:p>
    <w:p>
      <w:pPr>
        <w:spacing w:after="0" w:line="174" w:lineRule="exact"/>
        <w:rPr>
          <w:sz w:val="20"/>
          <w:szCs w:val="20"/>
          <w:color w:val="auto"/>
        </w:rPr>
      </w:pPr>
    </w:p>
    <w:p>
      <w:pPr>
        <w:ind w:right="3239" w:firstLine="884"/>
        <w:spacing w:after="0" w:line="261" w:lineRule="auto"/>
        <w:tabs>
          <w:tab w:leader="none" w:pos="1224"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AFC shall have performed in all material respects all of its obligations hereunder required to be performed by it at or prior to the Closing;</w:t>
      </w:r>
    </w:p>
    <w:p>
      <w:pPr>
        <w:spacing w:after="0" w:line="159"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AFC contained in this Agreement and in any certificate or other writing delivered by AFC pursuant hereto which are qualified by the term "material" or "materiality" shall be true and correct in all respects, and all other representations and warranties of AFC contained in this Agreement and in any certificate or other writing delivered by AFC pursuant hereto shall be true and correct in all material respects, at and as of the date of this Agreement and at and as of the Closing as if made at and as of such time (except as to any representation or warranty which specifically relates to an earlier date);</w:t>
      </w:r>
    </w:p>
    <w:p>
      <w:pPr>
        <w:spacing w:after="0" w:line="178"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AFG shall have received the deliveries described in Section 5.2(a) and all agreements included in such deliveries and in the deliveries described in Section 5.2(b) shall have been duly executed and delivered by all parties thereto;</w:t>
      </w:r>
    </w:p>
    <w:p>
      <w:pPr>
        <w:spacing w:after="0" w:line="175"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AFG shall have received all documents they may reasonably request relating to the existence of AFC and its corporate authority for this Agreement, all in form and substance reasonably satisfactory to AFG;</w:t>
      </w:r>
    </w:p>
    <w:p>
      <w:pPr>
        <w:spacing w:after="0" w:line="173"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material permits, consents, waivers, clearances, approvals and authorizations of and filings with all third parties and governmental bodies shall have been obtained which are required (i) to consummate the transactions contemplated hereby or (ii) to prevent a breach, default or right of termination under any agreement to which AFC is a party or by which it is bound caused by consummation of the transactions contemplated hereby;</w:t>
      </w:r>
    </w:p>
    <w:p>
      <w:pPr>
        <w:spacing w:after="0" w:line="175" w:lineRule="exact"/>
        <w:rPr>
          <w:rFonts w:ascii="Courier New" w:cs="Courier New" w:eastAsia="Courier New" w:hAnsi="Courier New"/>
          <w:sz w:val="15"/>
          <w:szCs w:val="15"/>
          <w:color w:val="auto"/>
        </w:rPr>
      </w:pPr>
    </w:p>
    <w:p>
      <w:pPr>
        <w:ind w:right="3319" w:firstLine="884"/>
        <w:spacing w:after="0" w:line="236" w:lineRule="auto"/>
        <w:tabs>
          <w:tab w:leader="none" w:pos="122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AFC shall have caused to be delivered to AFG a "bringdown" certificate executed by any one (1) of its executive officers in their respective corporate capacities and not in their individual capacities, dated the date on which the Registration Statement (or last amendment thereto) shall become effective and dated the date of the AFC Merger Effective Time, and addressed to AFG, in form and substance customary in transactions of the nature contemplated hereby; and,</w:t>
      </w:r>
    </w:p>
    <w:p>
      <w:pPr>
        <w:spacing w:after="0" w:line="175" w:lineRule="exact"/>
        <w:rPr>
          <w:rFonts w:ascii="Courier New" w:cs="Courier New" w:eastAsia="Courier New" w:hAnsi="Courier New"/>
          <w:sz w:val="15"/>
          <w:szCs w:val="15"/>
          <w:color w:val="auto"/>
        </w:rPr>
      </w:pPr>
    </w:p>
    <w:p>
      <w:pPr>
        <w:ind w:right="3759" w:firstLine="884"/>
        <w:spacing w:after="0" w:line="234" w:lineRule="auto"/>
        <w:tabs>
          <w:tab w:leader="none" w:pos="122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necessary consents or permits from or filings with state securities commissions shall have been obtained or made.</w:t>
      </w:r>
    </w:p>
    <w:p>
      <w:pPr>
        <w:sectPr>
          <w:pgSz w:w="11900" w:h="16838" w:orient="portrait"/>
          <w:cols w:equalWidth="0" w:num="1">
            <w:col w:w="10239"/>
          </w:cols>
          <w:pgMar w:left="220" w:top="449" w:right="1440" w:bottom="1440" w:gutter="0" w:footer="0" w:header="0"/>
        </w:sectPr>
      </w:pPr>
    </w:p>
    <w:bookmarkStart w:id="162" w:name="page163"/>
    <w:bookmarkEnd w:id="162"/>
    <w:p>
      <w:pPr>
        <w:ind w:left="3340"/>
        <w:spacing w:after="0"/>
        <w:rPr>
          <w:sz w:val="20"/>
          <w:szCs w:val="20"/>
          <w:color w:val="auto"/>
        </w:rPr>
      </w:pPr>
      <w:r>
        <w:rPr>
          <w:rFonts w:ascii="Courier New" w:cs="Courier New" w:eastAsia="Courier New" w:hAnsi="Courier New"/>
          <w:sz w:val="15"/>
          <w:szCs w:val="15"/>
          <w:color w:val="auto"/>
        </w:rPr>
        <w:t>-26-</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12.</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CONDITIONS TO CONSUMMATION OF THE HOLDING MERGER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12.1 Conditions to the Obligations of Each Party.</w:t>
      </w:r>
    </w:p>
    <w:p>
      <w:pPr>
        <w:spacing w:after="0" w:line="173"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The respective obligations of AFG and Holding to effect the Holding Merger are subject to the satisfaction, at or prior to the Holding Merger Effective Time, of the following condition:</w:t>
      </w:r>
    </w:p>
    <w:p>
      <w:pPr>
        <w:spacing w:after="0" w:line="174"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There shall not be in effect: (i) any judgment, injunction, decree or order issued by any federal, state or local court or arbitrator of competent jurisdiction; or (ii) any statute, rule, regulation or order enacted or promulgated by any federal, state or local, legislative, administrative or regulatory body of competent jurisdiction, that in either of cases (i) or (ii) prohibits or restricts the consummation of the transactions contemplated hereby or makes such consummation illegal or restricts in any material respect or prohibits the effective operation of the business of AFC or AFG and its Subsidiaries after the consummation of the Holding Merger.</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12.2 Additional Conditions to the Obligations of Holding.</w:t>
      </w:r>
    </w:p>
    <w:p>
      <w:pPr>
        <w:spacing w:after="0" w:line="173" w:lineRule="exact"/>
        <w:rPr>
          <w:sz w:val="20"/>
          <w:szCs w:val="20"/>
          <w:color w:val="auto"/>
        </w:rPr>
      </w:pPr>
    </w:p>
    <w:p>
      <w:pPr>
        <w:jc w:val="both"/>
        <w:ind w:right="3319" w:firstLine="875"/>
        <w:spacing w:after="0" w:line="235" w:lineRule="auto"/>
        <w:rPr>
          <w:sz w:val="20"/>
          <w:szCs w:val="20"/>
          <w:color w:val="auto"/>
        </w:rPr>
      </w:pPr>
      <w:r>
        <w:rPr>
          <w:rFonts w:ascii="Courier New" w:cs="Courier New" w:eastAsia="Courier New" w:hAnsi="Courier New"/>
          <w:sz w:val="15"/>
          <w:szCs w:val="15"/>
          <w:color w:val="auto"/>
        </w:rPr>
        <w:t>The obligation of Holding to consummate the Holding Merger is further subject to the satisfaction (or waiver by Holding), at or prior to the Holding Merger Effective Time, of the following conditions:</w:t>
      </w:r>
    </w:p>
    <w:p>
      <w:pPr>
        <w:spacing w:after="0" w:line="174" w:lineRule="exact"/>
        <w:rPr>
          <w:sz w:val="20"/>
          <w:szCs w:val="20"/>
          <w:color w:val="auto"/>
        </w:rPr>
      </w:pPr>
    </w:p>
    <w:p>
      <w:pPr>
        <w:ind w:right="3399" w:firstLine="884"/>
        <w:spacing w:after="0" w:line="235" w:lineRule="auto"/>
        <w:tabs>
          <w:tab w:leader="none" w:pos="122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AFG shall have performed in all material respects all its respective obligations hereunder required to be performed by it at or prior to the Closing;</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AFG contained in this Agreement and in any certificate or other writing delivered by AFG pursuant hereto which are qualified by the term "material" or "materiality" shall be true and correct in all respects, and all other representations and warranties of AFG contained in this Agreement and in any certificate or other writing delivered by AFG pursuant hereto shall be true and correct in all material respects, at and as of the date of this Agreement and at and as of the Closing as if made at and as of such time (except as to any representation or warranty which specifically relates to an earlier date);</w:t>
      </w:r>
    </w:p>
    <w:p>
      <w:pPr>
        <w:spacing w:after="0" w:line="178" w:lineRule="exact"/>
        <w:rPr>
          <w:rFonts w:ascii="Courier New" w:cs="Courier New" w:eastAsia="Courier New" w:hAnsi="Courier New"/>
          <w:sz w:val="15"/>
          <w:szCs w:val="15"/>
          <w:color w:val="auto"/>
        </w:rPr>
      </w:pPr>
    </w:p>
    <w:p>
      <w:pPr>
        <w:ind w:right="3499" w:firstLine="884"/>
        <w:spacing w:after="0" w:line="235" w:lineRule="auto"/>
        <w:tabs>
          <w:tab w:leader="none" w:pos="122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shall have received the deliveries described in Section 4.2(b) and all agreements included in such deliveries shall have been duly executed and delivered by all parties thereto;</w:t>
      </w:r>
    </w:p>
    <w:p>
      <w:pPr>
        <w:spacing w:after="0" w:line="173" w:lineRule="exact"/>
        <w:rPr>
          <w:rFonts w:ascii="Courier New" w:cs="Courier New" w:eastAsia="Courier New" w:hAnsi="Courier New"/>
          <w:sz w:val="15"/>
          <w:szCs w:val="15"/>
          <w:color w:val="auto"/>
        </w:rPr>
      </w:pPr>
    </w:p>
    <w:p>
      <w:pPr>
        <w:ind w:right="3499" w:firstLine="884"/>
        <w:spacing w:after="0" w:line="258" w:lineRule="auto"/>
        <w:tabs>
          <w:tab w:leader="none" w:pos="122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Holding shall have received all documents it may reasonably request relating to the existence of AFG and its corporate authority for this Agreement, all in form and substance reasonably satisfactory to Holding; and,</w:t>
      </w:r>
    </w:p>
    <w:p>
      <w:pPr>
        <w:spacing w:after="0" w:line="161" w:lineRule="exact"/>
        <w:rPr>
          <w:rFonts w:ascii="Courier New" w:cs="Courier New" w:eastAsia="Courier New" w:hAnsi="Courier New"/>
          <w:sz w:val="14"/>
          <w:szCs w:val="14"/>
          <w:color w:val="auto"/>
        </w:rPr>
      </w:pPr>
    </w:p>
    <w:p>
      <w:pPr>
        <w:ind w:right="3499" w:firstLine="884"/>
        <w:spacing w:after="0" w:line="235" w:lineRule="auto"/>
        <w:tabs>
          <w:tab w:leader="none" w:pos="122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material permits, consents, waivers, clearances, approvals and authorizations of and filings with all third parties and governmental bodies shall have been obtained which are required to consummate the transactions contemplated hereby.</w:t>
      </w:r>
    </w:p>
    <w:p>
      <w:pPr>
        <w:sectPr>
          <w:pgSz w:w="11900" w:h="16838" w:orient="portrait"/>
          <w:cols w:equalWidth="0" w:num="1">
            <w:col w:w="10239"/>
          </w:cols>
          <w:pgMar w:left="220" w:top="449" w:right="1440" w:bottom="1440" w:gutter="0" w:footer="0" w:header="0"/>
        </w:sectPr>
      </w:pPr>
    </w:p>
    <w:bookmarkStart w:id="163" w:name="page164"/>
    <w:bookmarkEnd w:id="163"/>
    <w:p>
      <w:pPr>
        <w:ind w:left="3340"/>
        <w:spacing w:after="0"/>
        <w:rPr>
          <w:sz w:val="20"/>
          <w:szCs w:val="20"/>
          <w:color w:val="auto"/>
        </w:rPr>
      </w:pPr>
      <w:r>
        <w:rPr>
          <w:rFonts w:ascii="Courier New" w:cs="Courier New" w:eastAsia="Courier New" w:hAnsi="Courier New"/>
          <w:sz w:val="15"/>
          <w:szCs w:val="15"/>
          <w:color w:val="auto"/>
        </w:rPr>
        <w:t>-27-</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12.3 Additional Conditions to the Obligations of AFG.</w:t>
      </w:r>
    </w:p>
    <w:p>
      <w:pPr>
        <w:spacing w:after="0" w:line="173" w:lineRule="exact"/>
        <w:rPr>
          <w:sz w:val="20"/>
          <w:szCs w:val="20"/>
          <w:color w:val="auto"/>
        </w:rPr>
      </w:pPr>
    </w:p>
    <w:p>
      <w:pPr>
        <w:jc w:val="both"/>
        <w:ind w:right="3579" w:firstLine="875"/>
        <w:spacing w:after="0" w:line="235" w:lineRule="auto"/>
        <w:rPr>
          <w:sz w:val="20"/>
          <w:szCs w:val="20"/>
          <w:color w:val="auto"/>
        </w:rPr>
      </w:pPr>
      <w:r>
        <w:rPr>
          <w:rFonts w:ascii="Courier New" w:cs="Courier New" w:eastAsia="Courier New" w:hAnsi="Courier New"/>
          <w:sz w:val="15"/>
          <w:szCs w:val="15"/>
          <w:color w:val="auto"/>
        </w:rPr>
        <w:t>The obligation of AFG to consummate the Holding Merger are further subject to the satisfaction (or waiver by AFG), at or prior to the Effective Time, of the following conditions:</w:t>
      </w:r>
    </w:p>
    <w:p>
      <w:pPr>
        <w:spacing w:after="0" w:line="174" w:lineRule="exact"/>
        <w:rPr>
          <w:sz w:val="20"/>
          <w:szCs w:val="20"/>
          <w:color w:val="auto"/>
        </w:rPr>
      </w:pPr>
    </w:p>
    <w:p>
      <w:pPr>
        <w:ind w:right="3239" w:firstLine="884"/>
        <w:spacing w:after="0" w:line="261" w:lineRule="auto"/>
        <w:tabs>
          <w:tab w:leader="none" w:pos="1224"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Holding shall have performed in all material respects all of its obligations hereunder required to be performed by it at or prior to the Closing;</w:t>
      </w:r>
    </w:p>
    <w:p>
      <w:pPr>
        <w:spacing w:after="0" w:line="159" w:lineRule="exact"/>
        <w:rPr>
          <w:rFonts w:ascii="Courier New" w:cs="Courier New" w:eastAsia="Courier New" w:hAnsi="Courier New"/>
          <w:sz w:val="14"/>
          <w:szCs w:val="14"/>
          <w:color w:val="auto"/>
        </w:rPr>
      </w:pPr>
    </w:p>
    <w:p>
      <w:pPr>
        <w:ind w:right="3239" w:firstLine="884"/>
        <w:spacing w:after="0" w:line="236" w:lineRule="auto"/>
        <w:tabs>
          <w:tab w:leader="none" w:pos="122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Holding contained in this Agreement and in any certificate or other writing delivered by Holding pursuant hereto which are qualified by the term "material" or "materiality" shall be true and correct in all respects, and all other representations and warranties of Holding contained in this Agreement and in any certificate or other writing delivered by Holding pursuant hereto shall be true and correct in all material respects, at and as of the date of this Agreement and at and as of the Closing as if made at and as of such time (except as to any representation or warranty which specifically relates to an earlier date);</w:t>
      </w:r>
    </w:p>
    <w:p>
      <w:pPr>
        <w:spacing w:after="0" w:line="178" w:lineRule="exact"/>
        <w:rPr>
          <w:rFonts w:ascii="Courier New" w:cs="Courier New" w:eastAsia="Courier New" w:hAnsi="Courier New"/>
          <w:sz w:val="15"/>
          <w:szCs w:val="15"/>
          <w:color w:val="auto"/>
        </w:rPr>
      </w:pPr>
    </w:p>
    <w:p>
      <w:pPr>
        <w:ind w:right="3239" w:firstLine="884"/>
        <w:spacing w:after="0" w:line="235" w:lineRule="auto"/>
        <w:tabs>
          <w:tab w:leader="none" w:pos="122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AFG shall have received the deliveries described in Section 4.2(a) and all agreements included in such deliveries and in the deliveries described in Section 4.2(b) shall have been duly executed and delivered by all parties thereto;</w:t>
      </w:r>
    </w:p>
    <w:p>
      <w:pPr>
        <w:spacing w:after="0" w:line="175" w:lineRule="exact"/>
        <w:rPr>
          <w:rFonts w:ascii="Courier New" w:cs="Courier New" w:eastAsia="Courier New" w:hAnsi="Courier New"/>
          <w:sz w:val="15"/>
          <w:szCs w:val="15"/>
          <w:color w:val="auto"/>
        </w:rPr>
      </w:pPr>
    </w:p>
    <w:p>
      <w:pPr>
        <w:ind w:right="3499" w:firstLine="884"/>
        <w:spacing w:after="0" w:line="258" w:lineRule="auto"/>
        <w:tabs>
          <w:tab w:leader="none" w:pos="1224"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AFG shall have received all documents it may reasonably request relating to the existence of Holding and its corporate authority for this Agreement, all in form and substance reasonably satisfactory to AFG;</w:t>
      </w:r>
    </w:p>
    <w:p>
      <w:pPr>
        <w:spacing w:after="0" w:line="161" w:lineRule="exact"/>
        <w:rPr>
          <w:rFonts w:ascii="Courier New" w:cs="Courier New" w:eastAsia="Courier New" w:hAnsi="Courier New"/>
          <w:sz w:val="14"/>
          <w:szCs w:val="14"/>
          <w:color w:val="auto"/>
        </w:rPr>
      </w:pPr>
    </w:p>
    <w:p>
      <w:pPr>
        <w:ind w:right="3319" w:firstLine="884"/>
        <w:spacing w:after="0" w:line="236" w:lineRule="auto"/>
        <w:tabs>
          <w:tab w:leader="none" w:pos="122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material permits, consents, waivers, clearances, approvals and authorizations of and filings with all third parties and governmental bodies shall have been obtained which are required (i) to consummate the transactions contemplated hereby or (ii) to prevent a breach, default or right of termination under any agreement to which Holding is a party or by which it is bound caused by consummation of the transactions contemplated hereby.</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13.</w:t>
      </w:r>
    </w:p>
    <w:p>
      <w:pPr>
        <w:ind w:left="2200"/>
        <w:spacing w:after="0" w:line="237" w:lineRule="auto"/>
        <w:rPr>
          <w:sz w:val="20"/>
          <w:szCs w:val="20"/>
          <w:color w:val="auto"/>
        </w:rPr>
      </w:pPr>
      <w:r>
        <w:rPr>
          <w:rFonts w:ascii="Courier New" w:cs="Courier New" w:eastAsia="Courier New" w:hAnsi="Courier New"/>
          <w:sz w:val="15"/>
          <w:szCs w:val="15"/>
          <w:color w:val="auto"/>
        </w:rPr>
        <w:t>TERMINATION; AMENDMENTS; WAIVER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13.1 Termination.</w:t>
      </w:r>
    </w:p>
    <w:p>
      <w:pPr>
        <w:spacing w:after="0" w:line="173" w:lineRule="exact"/>
        <w:rPr>
          <w:sz w:val="20"/>
          <w:szCs w:val="20"/>
          <w:color w:val="auto"/>
        </w:rPr>
      </w:pPr>
    </w:p>
    <w:p>
      <w:pPr>
        <w:ind w:right="3399" w:firstLine="875"/>
        <w:spacing w:after="0" w:line="258" w:lineRule="auto"/>
        <w:rPr>
          <w:sz w:val="20"/>
          <w:szCs w:val="20"/>
          <w:color w:val="auto"/>
        </w:rPr>
      </w:pPr>
      <w:r>
        <w:rPr>
          <w:rFonts w:ascii="Courier New" w:cs="Courier New" w:eastAsia="Courier New" w:hAnsi="Courier New"/>
          <w:sz w:val="14"/>
          <w:szCs w:val="14"/>
          <w:color w:val="auto"/>
        </w:rPr>
        <w:t>This Agreement may be terminated and the transactions contemplated hereby may be abandoned at any time notwithstanding approval hereof by the holders of the Series J Preferred, but prior to the AFC Merger Effective Time:</w:t>
      </w:r>
    </w:p>
    <w:p>
      <w:pPr>
        <w:spacing w:after="0" w:line="161" w:lineRule="exact"/>
        <w:rPr>
          <w:sz w:val="20"/>
          <w:szCs w:val="20"/>
          <w:color w:val="auto"/>
        </w:rPr>
      </w:pPr>
    </w:p>
    <w:p>
      <w:pPr>
        <w:ind w:right="3239" w:firstLine="884"/>
        <w:spacing w:after="0" w:line="234" w:lineRule="auto"/>
        <w:tabs>
          <w:tab w:leader="none" w:pos="1224"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mutual written consent of the Board of Directors of each of AFC (acting through the Special Committee), AFG and Holding; or</w:t>
      </w:r>
    </w:p>
    <w:p>
      <w:pPr>
        <w:sectPr>
          <w:pgSz w:w="11900" w:h="16838" w:orient="portrait"/>
          <w:cols w:equalWidth="0" w:num="1">
            <w:col w:w="10239"/>
          </w:cols>
          <w:pgMar w:left="220" w:top="449" w:right="1440" w:bottom="1440" w:gutter="0" w:footer="0" w:header="0"/>
        </w:sectPr>
      </w:pPr>
    </w:p>
    <w:bookmarkStart w:id="164" w:name="page165"/>
    <w:bookmarkEnd w:id="164"/>
    <w:p>
      <w:pPr>
        <w:ind w:left="3330"/>
        <w:spacing w:after="0"/>
        <w:rPr>
          <w:sz w:val="20"/>
          <w:szCs w:val="20"/>
          <w:color w:val="auto"/>
        </w:rPr>
      </w:pPr>
      <w:r>
        <w:rPr>
          <w:rFonts w:ascii="Courier New" w:cs="Courier New" w:eastAsia="Courier New" w:hAnsi="Courier New"/>
          <w:sz w:val="15"/>
          <w:szCs w:val="15"/>
          <w:color w:val="auto"/>
        </w:rPr>
        <w:t>-28-</w:t>
      </w:r>
    </w:p>
    <w:p>
      <w:pPr>
        <w:spacing w:after="0" w:line="341" w:lineRule="exact"/>
        <w:rPr>
          <w:sz w:val="20"/>
          <w:szCs w:val="20"/>
          <w:color w:val="auto"/>
        </w:rPr>
      </w:pPr>
    </w:p>
    <w:p>
      <w:pPr>
        <w:ind w:left="-10" w:right="3239" w:firstLine="884"/>
        <w:spacing w:after="0" w:line="236" w:lineRule="auto"/>
        <w:tabs>
          <w:tab w:leader="none" w:pos="1215"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AFC (acting through the Special Committee), on the one hand, or AFG, on the other, if the transactions contemplated hereby shall not have been consummated by October 31, 2003; provided, however, that the right to terminate this Agreement under this Section 13.1(b) shall not be available to any party, failure of which to fulfill any obligation under this Agreement has been the cause of, or resulted in, the failure of the AFC Merger Effective Time to occur on or before such date; or</w:t>
      </w:r>
    </w:p>
    <w:p>
      <w:pPr>
        <w:spacing w:after="0" w:line="175" w:lineRule="exact"/>
        <w:rPr>
          <w:rFonts w:ascii="Courier New" w:cs="Courier New" w:eastAsia="Courier New" w:hAnsi="Courier New"/>
          <w:sz w:val="15"/>
          <w:szCs w:val="15"/>
          <w:color w:val="auto"/>
        </w:rPr>
      </w:pPr>
    </w:p>
    <w:p>
      <w:pPr>
        <w:ind w:left="-10" w:right="3239" w:firstLine="884"/>
        <w:spacing w:after="0" w:line="236" w:lineRule="auto"/>
        <w:tabs>
          <w:tab w:leader="none" w:pos="1215"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AFC (acting through the Special Committee), on the one hand, or AFG, on the other, if a court of competent jurisdiction in the United States or any state thereof or other United States governmental, regulatory or administrative body shall have issued an order, decree or ruling or taken any other action (which order, decree, ruling or other action the parties agree to use their best efforts through appeals and otherwise to vacate) permanently restraining, enjoining or otherwise prohibiting the transactions contemplated by this Agreement and such order, decree, ruling or other action shall have become final and nonappealable; or</w:t>
      </w:r>
    </w:p>
    <w:p>
      <w:pPr>
        <w:spacing w:after="0" w:line="178" w:lineRule="exact"/>
        <w:rPr>
          <w:rFonts w:ascii="Courier New" w:cs="Courier New" w:eastAsia="Courier New" w:hAnsi="Courier New"/>
          <w:sz w:val="15"/>
          <w:szCs w:val="15"/>
          <w:color w:val="auto"/>
        </w:rPr>
      </w:pPr>
    </w:p>
    <w:p>
      <w:pPr>
        <w:ind w:left="-10" w:right="3239" w:firstLine="884"/>
        <w:spacing w:after="0" w:line="235" w:lineRule="auto"/>
        <w:tabs>
          <w:tab w:leader="none" w:pos="1215"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AFG or AFC (acting through the Special Committee) if the shareholders of AFC do not approve the transactions contemplated by this Agreement; or</w:t>
      </w:r>
    </w:p>
    <w:p>
      <w:pPr>
        <w:spacing w:after="0" w:line="173" w:lineRule="exact"/>
        <w:rPr>
          <w:rFonts w:ascii="Courier New" w:cs="Courier New" w:eastAsia="Courier New" w:hAnsi="Courier New"/>
          <w:sz w:val="15"/>
          <w:szCs w:val="15"/>
          <w:color w:val="auto"/>
        </w:rPr>
      </w:pPr>
    </w:p>
    <w:p>
      <w:pPr>
        <w:ind w:left="-10" w:right="3239" w:firstLine="884"/>
        <w:spacing w:after="0" w:line="255" w:lineRule="auto"/>
        <w:tabs>
          <w:tab w:leader="none" w:pos="1215"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AFC (acting through the Special Committee) or AFG if, in the case of AFC, AFG materially breaches a warranty, representation or covenant contained herein not cured within fifteen (15) days after notice of such breach is received or suffers a material adverse change to the business, operations or financial condition of AFG and its Subsidiaries, taken as a whole, or, in the case of AFG, AFC materially breaches a warranty, representation or covenant contained herein not cured within fifteen (15) days after notice of such breach is received or suffers a material adverse change to its business, operations or financial condition, taken as a whole; or</w:t>
      </w:r>
    </w:p>
    <w:p>
      <w:pPr>
        <w:spacing w:after="0" w:line="165" w:lineRule="exact"/>
        <w:rPr>
          <w:rFonts w:ascii="Courier New" w:cs="Courier New" w:eastAsia="Courier New" w:hAnsi="Courier New"/>
          <w:sz w:val="14"/>
          <w:szCs w:val="14"/>
          <w:color w:val="auto"/>
        </w:rPr>
      </w:pPr>
    </w:p>
    <w:p>
      <w:pPr>
        <w:ind w:left="-10" w:right="3239" w:firstLine="884"/>
        <w:spacing w:after="0" w:line="255" w:lineRule="auto"/>
        <w:tabs>
          <w:tab w:leader="none" w:pos="1215"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AFC (acting through the Special Committee) if there shall have occurred any events, changes or developments (other than any information specifically provided by AFC (acting through the Special Committee) for inclusion in the Proxy Statement/Prospectus being or becoming false or materially misleading) which, individually or in the aggregate, have materially adversely affected, or are reasonably likely to materially adversely affect, the financial condition of AFG and its Subsidiaries, taken as a whole; or</w:t>
      </w:r>
    </w:p>
    <w:p>
      <w:pPr>
        <w:spacing w:after="0" w:line="166" w:lineRule="exact"/>
        <w:rPr>
          <w:rFonts w:ascii="Courier New" w:cs="Courier New" w:eastAsia="Courier New" w:hAnsi="Courier New"/>
          <w:sz w:val="14"/>
          <w:szCs w:val="14"/>
          <w:color w:val="auto"/>
        </w:rPr>
      </w:pPr>
    </w:p>
    <w:p>
      <w:pPr>
        <w:ind w:left="-10" w:right="3319" w:firstLine="884"/>
        <w:spacing w:after="0" w:line="254" w:lineRule="auto"/>
        <w:tabs>
          <w:tab w:leader="none" w:pos="1215"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AFC if the Special Committee determines, after consultation with and based on the written advice of its legal counsel, that as a result of an event or condition which (i) existed prior to the date of this Agreement and should have been disclosed in the AFG SEC Filings but was not so disclosed or</w:t>
      </w:r>
    </w:p>
    <w:p>
      <w:pPr>
        <w:spacing w:after="0" w:line="1" w:lineRule="exact"/>
        <w:rPr>
          <w:rFonts w:ascii="Courier New" w:cs="Courier New" w:eastAsia="Courier New" w:hAnsi="Courier New"/>
          <w:sz w:val="14"/>
          <w:szCs w:val="14"/>
          <w:color w:val="auto"/>
        </w:rPr>
      </w:pPr>
    </w:p>
    <w:p>
      <w:pPr>
        <w:ind w:left="-10" w:right="3239" w:firstLine="10"/>
        <w:spacing w:after="0" w:line="236" w:lineRule="auto"/>
        <w:tabs>
          <w:tab w:leader="none" w:pos="42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occurs on or after the date of this Agreement (other than any information specifically provided by AFC (acting through the Special Committee) for inclusion in the Proxy Statement/Prospectus being or becoming false or materially misleading), the Special Committee would violate its fiduciary duties in accordance with applicable law if AFC (acting through the Special Committee) did not terminate this Agreement; or</w:t>
      </w:r>
    </w:p>
    <w:p>
      <w:pPr>
        <w:spacing w:after="0" w:line="174" w:lineRule="exact"/>
        <w:rPr>
          <w:rFonts w:ascii="Courier New" w:cs="Courier New" w:eastAsia="Courier New" w:hAnsi="Courier New"/>
          <w:sz w:val="15"/>
          <w:szCs w:val="15"/>
          <w:color w:val="auto"/>
        </w:rPr>
      </w:pPr>
    </w:p>
    <w:p>
      <w:pPr>
        <w:ind w:left="-10" w:right="3319" w:firstLine="884"/>
        <w:spacing w:after="0" w:line="234" w:lineRule="auto"/>
        <w:tabs>
          <w:tab w:leader="none" w:pos="1215"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AFG, if the Average Closing Price of AFG Common Stock shall be less than Nineteen Dollars ($19.00).</w:t>
      </w:r>
    </w:p>
    <w:p>
      <w:pPr>
        <w:sectPr>
          <w:pgSz w:w="11900" w:h="16838" w:orient="portrait"/>
          <w:cols w:equalWidth="0" w:num="1">
            <w:col w:w="10229"/>
          </w:cols>
          <w:pgMar w:left="230" w:top="449" w:right="1440" w:bottom="1440" w:gutter="0" w:footer="0" w:header="0"/>
        </w:sectPr>
      </w:pPr>
    </w:p>
    <w:bookmarkStart w:id="165" w:name="page166"/>
    <w:bookmarkEnd w:id="165"/>
    <w:p>
      <w:pPr>
        <w:ind w:left="3340"/>
        <w:spacing w:after="0"/>
        <w:rPr>
          <w:sz w:val="20"/>
          <w:szCs w:val="20"/>
          <w:color w:val="auto"/>
        </w:rPr>
      </w:pPr>
      <w:r>
        <w:rPr>
          <w:rFonts w:ascii="Courier New" w:cs="Courier New" w:eastAsia="Courier New" w:hAnsi="Courier New"/>
          <w:sz w:val="15"/>
          <w:szCs w:val="15"/>
          <w:color w:val="auto"/>
        </w:rPr>
        <w:t>-29-</w:t>
      </w:r>
    </w:p>
    <w:p>
      <w:pPr>
        <w:spacing w:after="0" w:line="341"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In the event of the termination of this Agreement pursuant to the terms of this Section 13.1, this Agreement shall forthwith become void and have no effect, without any liability on the part of either party hereto, except that: (A) the provisions of this Section 13.1 and Section 14.6 hereof shall survive any such termination and shall continue to be binding on the parties hereto; and (B) nothing contained in this Section 13.1 shall relieve any party from any liability, if any, for any termination of this Agreement under paragraphs (d) and (e) above. Notwithstanding the foregoing, AFG shall not assert any claim or action against AFC (or any of its directors, officers, shareholders or agents) or against any third party, including any action based on tort or other extra-contractual theories of law or equity, that arises from or is based upon any act that interferes or allegedly interferes with this Agreement or that results in the termination of this Agreement pursuant to Section 13.1(g) hereof.</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13.2 Amendment.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This Agreement may be amended by the parties hereto (in the case of AFC, acting through the Special Committee) at any time before or after adoption of this Agreement by the shareholders of AFC but, after any such approval by the shareholders of AFC, no amendment shall be made which adversely affects the rights of the holders of Series J Preferred hereunder without the approval of the holders of Series J Preferred. This Agreement may not be amended, modified or supplemented except by an instrument in writing signed by all the parties hereto that expressly states that it amends, modifies or supplements this Agreement.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13.3 Extension; Waiver.</w:t>
      </w:r>
    </w:p>
    <w:p>
      <w:pPr>
        <w:spacing w:after="0" w:line="173" w:lineRule="exact"/>
        <w:rPr>
          <w:sz w:val="20"/>
          <w:szCs w:val="20"/>
          <w:color w:val="auto"/>
        </w:rPr>
      </w:pPr>
    </w:p>
    <w:p>
      <w:pPr>
        <w:ind w:right="3399" w:firstLine="875"/>
        <w:spacing w:after="0" w:line="254" w:lineRule="auto"/>
        <w:rPr>
          <w:sz w:val="20"/>
          <w:szCs w:val="20"/>
          <w:color w:val="auto"/>
        </w:rPr>
      </w:pPr>
      <w:r>
        <w:rPr>
          <w:rFonts w:ascii="Courier New" w:cs="Courier New" w:eastAsia="Courier New" w:hAnsi="Courier New"/>
          <w:sz w:val="14"/>
          <w:szCs w:val="14"/>
          <w:color w:val="auto"/>
        </w:rPr>
        <w:t>At any time prior to the Closing, any party hereto (in the case of AFC, acting through the Special Committee) may: (i) extend the time for the performance of any of the obligations or other acts of any other party hereto;</w:t>
      </w:r>
    </w:p>
    <w:p>
      <w:pPr>
        <w:spacing w:after="0" w:line="1" w:lineRule="exact"/>
        <w:rPr>
          <w:sz w:val="20"/>
          <w:szCs w:val="20"/>
          <w:color w:val="auto"/>
        </w:rPr>
      </w:pPr>
    </w:p>
    <w:p>
      <w:pPr>
        <w:ind w:right="3239" w:firstLine="10"/>
        <w:spacing w:after="0" w:line="255" w:lineRule="auto"/>
        <w:tabs>
          <w:tab w:leader="none" w:pos="43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any inaccuracies in the representations and warranties contained herein by any other party or in any document or writing delivered pursuant hereto by such other party; or (iii) waive compliance with any of the agreements of any other party or with any conditions to its own obligations. Any agreement on the part of any party hereto to any such extension or waiver shall be valid only if set forth in an instrument in writing signed on behalf of such party.</w:t>
      </w:r>
    </w:p>
    <w:p>
      <w:pPr>
        <w:spacing w:after="0" w:line="32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14.</w:t>
      </w:r>
    </w:p>
    <w:p>
      <w:pPr>
        <w:jc w:val="center"/>
        <w:ind w:right="3139"/>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Section 14.1 Survival of Representations, Warranties, Covenants and Agreements.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Other than any covenant or agreement herein, the nature of which is to be performed after the Closing, and the representations and warranties of AFG set forth in Section 7.5 hereof (which shall survive the AFC Merger Effective Time for a period of twelve (12) months), the representations, warranties, covenants and agreements made in this Agreement or in any certificate or Disclosure Schedule delivered pursuant to the provisions of this Agreement</w:t>
      </w:r>
    </w:p>
    <w:p>
      <w:pPr>
        <w:sectPr>
          <w:pgSz w:w="11900" w:h="16838" w:orient="portrait"/>
          <w:cols w:equalWidth="0" w:num="1">
            <w:col w:w="10239"/>
          </w:cols>
          <w:pgMar w:left="220" w:top="449" w:right="1440" w:bottom="1440" w:gutter="0" w:footer="0" w:header="0"/>
        </w:sectPr>
      </w:pPr>
    </w:p>
    <w:bookmarkStart w:id="166" w:name="page167"/>
    <w:bookmarkEnd w:id="166"/>
    <w:p>
      <w:pPr>
        <w:ind w:left="3340"/>
        <w:spacing w:after="0"/>
        <w:rPr>
          <w:sz w:val="20"/>
          <w:szCs w:val="20"/>
          <w:color w:val="auto"/>
        </w:rPr>
      </w:pPr>
      <w:r>
        <w:rPr>
          <w:rFonts w:ascii="Courier New" w:cs="Courier New" w:eastAsia="Courier New" w:hAnsi="Courier New"/>
          <w:sz w:val="15"/>
          <w:szCs w:val="15"/>
          <w:color w:val="auto"/>
        </w:rPr>
        <w:t>-30-</w:t>
      </w:r>
    </w:p>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shall only survive until the AFC Merger Effective Time or the Holding Merger Effective Time, as applicable.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14.2 Entire Agreement; Assignment.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This Agreement (including the Disclosure Schedules, Exhibits and Annexes hereto) constitutes the entire agreement between the parties hereto with respect to the subject matter hereof and supersedes all other prior agreements and understandings, both written and oral, between the parties with respect to the subject matter hereof. This Agreement may not be assigned, by operation of law or otherwise, by any of the parties hereto without the prior written consent of each of the other parties hereto. Any such purported assignment undertaken or occurring without such consent shall be null and void and of no legal force and effect.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14.3 Validity.</w:t>
      </w:r>
    </w:p>
    <w:p>
      <w:pPr>
        <w:spacing w:after="0" w:line="173" w:lineRule="exact"/>
        <w:rPr>
          <w:sz w:val="20"/>
          <w:szCs w:val="20"/>
          <w:color w:val="auto"/>
        </w:rPr>
      </w:pPr>
    </w:p>
    <w:p>
      <w:pPr>
        <w:jc w:val="both"/>
        <w:ind w:right="3319" w:firstLine="875"/>
        <w:spacing w:after="0" w:line="258" w:lineRule="auto"/>
        <w:rPr>
          <w:sz w:val="20"/>
          <w:szCs w:val="20"/>
          <w:color w:val="auto"/>
        </w:rPr>
      </w:pPr>
      <w:r>
        <w:rPr>
          <w:rFonts w:ascii="Courier New" w:cs="Courier New" w:eastAsia="Courier New" w:hAnsi="Courier New"/>
          <w:sz w:val="14"/>
          <w:szCs w:val="14"/>
          <w:color w:val="auto"/>
        </w:rPr>
        <w:t>The invalidity or unenforceability of any provision of this Agreement shall not affect the validity or enforceability of any of the other provisions of this Agreement, each of which shall remain in full force and effect.</w:t>
      </w:r>
    </w:p>
    <w:p>
      <w:pPr>
        <w:spacing w:after="0" w:line="32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14.4 Notices.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All notices, requests, claims, demands and other communications hereunder shall be in writing and shall be deemed to have been duly given when delivered in person, by cable, telecopy or telex, or by registered or certified mail (postage prepaid, return receipt requested) to the respective parties as follows:</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AFG,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AMERICAN FINANCIAL GROUP, INC.</w:t>
      </w:r>
    </w:p>
    <w:p>
      <w:pPr>
        <w:ind w:left="2380"/>
        <w:spacing w:after="0" w:line="237" w:lineRule="auto"/>
        <w:rPr>
          <w:sz w:val="20"/>
          <w:szCs w:val="20"/>
          <w:color w:val="auto"/>
        </w:rPr>
      </w:pPr>
      <w:r>
        <w:rPr>
          <w:rFonts w:ascii="Courier New" w:cs="Courier New" w:eastAsia="Courier New" w:hAnsi="Courier New"/>
          <w:sz w:val="15"/>
          <w:szCs w:val="15"/>
          <w:color w:val="auto"/>
        </w:rPr>
        <w:t>900 Provident Tower</w:t>
      </w:r>
    </w:p>
    <w:p>
      <w:pPr>
        <w:ind w:left="2380"/>
        <w:spacing w:after="0" w:line="238" w:lineRule="auto"/>
        <w:rPr>
          <w:sz w:val="20"/>
          <w:szCs w:val="20"/>
          <w:color w:val="auto"/>
        </w:rPr>
      </w:pPr>
      <w:r>
        <w:rPr>
          <w:rFonts w:ascii="Courier New" w:cs="Courier New" w:eastAsia="Courier New" w:hAnsi="Courier New"/>
          <w:sz w:val="15"/>
          <w:szCs w:val="15"/>
          <w:color w:val="auto"/>
        </w:rPr>
        <w:t>One East Fourth Street</w:t>
      </w:r>
    </w:p>
    <w:p>
      <w:pPr>
        <w:ind w:left="2380"/>
        <w:spacing w:after="0"/>
        <w:tabs>
          <w:tab w:leader="none" w:pos="392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Attention:</w:t>
        <w:tab/>
        <w:t>Carl H. Lindner</w:t>
      </w:r>
    </w:p>
    <w:p>
      <w:pPr>
        <w:ind w:left="238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Telephone:</w:t>
        <w:tab/>
        <w:t>(513) 579-2121</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Facsimile:</w:t>
        <w:tab/>
        <w:t>(513) 579-2580</w:t>
      </w:r>
    </w:p>
    <w:p>
      <w:pPr>
        <w:sectPr>
          <w:pgSz w:w="11900" w:h="16838" w:orient="portrait"/>
          <w:cols w:equalWidth="0" w:num="1">
            <w:col w:w="10239"/>
          </w:cols>
          <w:pgMar w:left="220" w:top="449" w:right="1440" w:bottom="1440" w:gutter="0" w:footer="0" w:header="0"/>
        </w:sectPr>
      </w:pPr>
    </w:p>
    <w:bookmarkStart w:id="167" w:name="page168"/>
    <w:bookmarkEnd w:id="167"/>
    <w:p>
      <w:pPr>
        <w:ind w:left="2120"/>
        <w:spacing w:after="0"/>
        <w:rPr>
          <w:sz w:val="20"/>
          <w:szCs w:val="20"/>
          <w:color w:val="auto"/>
        </w:rPr>
      </w:pPr>
      <w:r>
        <w:rPr>
          <w:rFonts w:ascii="Courier New" w:cs="Courier New" w:eastAsia="Courier New" w:hAnsi="Courier New"/>
          <w:sz w:val="15"/>
          <w:szCs w:val="15"/>
          <w:color w:val="auto"/>
        </w:rPr>
        <w:t>-31-</w:t>
      </w:r>
    </w:p>
    <w:p>
      <w:pPr>
        <w:spacing w:after="0" w:line="34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with a required copy (which shall not constitute notice) to:</w:t>
      </w:r>
    </w:p>
    <w:p>
      <w:pPr>
        <w:spacing w:after="0" w:line="171"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AMERICAN FINANCIAL GROUP, INC.</w:t>
      </w:r>
    </w:p>
    <w:p>
      <w:pPr>
        <w:ind w:left="1160"/>
        <w:spacing w:after="0" w:line="237" w:lineRule="auto"/>
        <w:rPr>
          <w:sz w:val="20"/>
          <w:szCs w:val="20"/>
          <w:color w:val="auto"/>
        </w:rPr>
      </w:pPr>
      <w:r>
        <w:rPr>
          <w:rFonts w:ascii="Courier New" w:cs="Courier New" w:eastAsia="Courier New" w:hAnsi="Courier New"/>
          <w:sz w:val="15"/>
          <w:szCs w:val="15"/>
          <w:color w:val="auto"/>
        </w:rPr>
        <w:t>900 Provident Tower</w:t>
      </w:r>
    </w:p>
    <w:p>
      <w:pPr>
        <w:ind w:left="1160"/>
        <w:spacing w:after="0" w:line="238" w:lineRule="auto"/>
        <w:rPr>
          <w:sz w:val="20"/>
          <w:szCs w:val="20"/>
          <w:color w:val="auto"/>
        </w:rPr>
      </w:pPr>
      <w:r>
        <w:rPr>
          <w:rFonts w:ascii="Courier New" w:cs="Courier New" w:eastAsia="Courier New" w:hAnsi="Courier New"/>
          <w:sz w:val="15"/>
          <w:szCs w:val="15"/>
          <w:color w:val="auto"/>
        </w:rPr>
        <w:t>One East Fourth Street</w:t>
      </w:r>
    </w:p>
    <w:p>
      <w:pPr>
        <w:ind w:left="1160"/>
        <w:spacing w:after="0"/>
        <w:tabs>
          <w:tab w:leader="none" w:pos="270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ind w:left="1160"/>
        <w:spacing w:after="0" w:line="238" w:lineRule="auto"/>
        <w:tabs>
          <w:tab w:leader="none" w:pos="2180" w:val="left"/>
        </w:tabs>
        <w:rPr>
          <w:sz w:val="20"/>
          <w:szCs w:val="20"/>
          <w:color w:val="auto"/>
        </w:rPr>
      </w:pPr>
      <w:r>
        <w:rPr>
          <w:rFonts w:ascii="Courier New" w:cs="Courier New" w:eastAsia="Courier New" w:hAnsi="Courier New"/>
          <w:sz w:val="15"/>
          <w:szCs w:val="15"/>
          <w:color w:val="auto"/>
        </w:rPr>
        <w:t>Attention:</w:t>
        <w:tab/>
        <w:t>James C. Kennedy, Esq.</w:t>
      </w:r>
    </w:p>
    <w:p>
      <w:pPr>
        <w:ind w:left="1160"/>
        <w:spacing w:after="0" w:line="237" w:lineRule="auto"/>
        <w:tabs>
          <w:tab w:leader="none" w:pos="2180" w:val="left"/>
        </w:tabs>
        <w:rPr>
          <w:sz w:val="20"/>
          <w:szCs w:val="20"/>
          <w:color w:val="auto"/>
        </w:rPr>
      </w:pPr>
      <w:r>
        <w:rPr>
          <w:rFonts w:ascii="Courier New" w:cs="Courier New" w:eastAsia="Courier New" w:hAnsi="Courier New"/>
          <w:sz w:val="15"/>
          <w:szCs w:val="15"/>
          <w:color w:val="auto"/>
        </w:rPr>
        <w:t>Telephone:</w:t>
        <w:tab/>
        <w:t>(513) 579-2538</w:t>
      </w:r>
    </w:p>
    <w:p>
      <w:pPr>
        <w:ind w:left="1160"/>
        <w:spacing w:after="0" w:line="238" w:lineRule="auto"/>
        <w:tabs>
          <w:tab w:leader="none" w:pos="2180" w:val="left"/>
        </w:tabs>
        <w:rPr>
          <w:sz w:val="20"/>
          <w:szCs w:val="20"/>
          <w:color w:val="auto"/>
        </w:rPr>
      </w:pPr>
      <w:r>
        <w:rPr>
          <w:rFonts w:ascii="Courier New" w:cs="Courier New" w:eastAsia="Courier New" w:hAnsi="Courier New"/>
          <w:sz w:val="15"/>
          <w:szCs w:val="15"/>
          <w:color w:val="auto"/>
        </w:rPr>
        <w:t>Facsimile:</w:t>
        <w:tab/>
        <w:t>(513) 579-0108</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 and -</w:t>
      </w:r>
    </w:p>
    <w:p>
      <w:pPr>
        <w:spacing w:after="0" w:line="166"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KEATING, MUETHING &amp; KLEKAMP, PLL</w:t>
      </w:r>
    </w:p>
    <w:p>
      <w:pPr>
        <w:ind w:left="1160"/>
        <w:spacing w:after="0" w:line="237" w:lineRule="auto"/>
        <w:rPr>
          <w:sz w:val="20"/>
          <w:szCs w:val="20"/>
          <w:color w:val="auto"/>
        </w:rPr>
      </w:pPr>
      <w:r>
        <w:rPr>
          <w:rFonts w:ascii="Courier New" w:cs="Courier New" w:eastAsia="Courier New" w:hAnsi="Courier New"/>
          <w:sz w:val="15"/>
          <w:szCs w:val="15"/>
          <w:color w:val="auto"/>
        </w:rPr>
        <w:t>1400 Provident Tower</w:t>
      </w:r>
    </w:p>
    <w:p>
      <w:pPr>
        <w:ind w:left="1160"/>
        <w:spacing w:after="0" w:line="238" w:lineRule="auto"/>
        <w:rPr>
          <w:sz w:val="20"/>
          <w:szCs w:val="20"/>
          <w:color w:val="auto"/>
        </w:rPr>
      </w:pPr>
      <w:r>
        <w:rPr>
          <w:rFonts w:ascii="Courier New" w:cs="Courier New" w:eastAsia="Courier New" w:hAnsi="Courier New"/>
          <w:sz w:val="15"/>
          <w:szCs w:val="15"/>
          <w:color w:val="auto"/>
        </w:rPr>
        <w:t>One East Fourth Street</w:t>
      </w:r>
    </w:p>
    <w:p>
      <w:pPr>
        <w:ind w:left="1160"/>
        <w:spacing w:after="0"/>
        <w:tabs>
          <w:tab w:leader="none" w:pos="270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ind w:left="1160"/>
        <w:spacing w:after="0" w:line="238" w:lineRule="auto"/>
        <w:tabs>
          <w:tab w:leader="none" w:pos="2180" w:val="left"/>
        </w:tabs>
        <w:rPr>
          <w:sz w:val="20"/>
          <w:szCs w:val="20"/>
          <w:color w:val="auto"/>
        </w:rPr>
      </w:pPr>
      <w:r>
        <w:rPr>
          <w:rFonts w:ascii="Courier New" w:cs="Courier New" w:eastAsia="Courier New" w:hAnsi="Courier New"/>
          <w:sz w:val="15"/>
          <w:szCs w:val="15"/>
          <w:color w:val="auto"/>
        </w:rPr>
        <w:t>Attention:</w:t>
        <w:tab/>
        <w:t>Edward E. Steiner, Esq.</w:t>
      </w:r>
    </w:p>
    <w:p>
      <w:pPr>
        <w:ind w:left="1160"/>
        <w:spacing w:after="0" w:line="237" w:lineRule="auto"/>
        <w:tabs>
          <w:tab w:leader="none" w:pos="2180" w:val="left"/>
        </w:tabs>
        <w:rPr>
          <w:sz w:val="20"/>
          <w:szCs w:val="20"/>
          <w:color w:val="auto"/>
        </w:rPr>
      </w:pPr>
      <w:r>
        <w:rPr>
          <w:rFonts w:ascii="Courier New" w:cs="Courier New" w:eastAsia="Courier New" w:hAnsi="Courier New"/>
          <w:sz w:val="15"/>
          <w:szCs w:val="15"/>
          <w:color w:val="auto"/>
        </w:rPr>
        <w:t>Telephone:</w:t>
        <w:tab/>
        <w:t>(513) 579-6468</w:t>
      </w:r>
    </w:p>
    <w:p>
      <w:pPr>
        <w:ind w:left="1160"/>
        <w:spacing w:after="0" w:line="238" w:lineRule="auto"/>
        <w:tabs>
          <w:tab w:leader="none" w:pos="2180" w:val="left"/>
        </w:tabs>
        <w:rPr>
          <w:sz w:val="20"/>
          <w:szCs w:val="20"/>
          <w:color w:val="auto"/>
        </w:rPr>
      </w:pPr>
      <w:r>
        <w:rPr>
          <w:rFonts w:ascii="Courier New" w:cs="Courier New" w:eastAsia="Courier New" w:hAnsi="Courier New"/>
          <w:sz w:val="15"/>
          <w:szCs w:val="15"/>
          <w:color w:val="auto"/>
        </w:rPr>
        <w:t>Facsimile:</w:t>
        <w:tab/>
        <w:t>(513) 579-6578</w:t>
      </w: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If to AFC, to:</w:t>
      </w:r>
    </w:p>
    <w:p>
      <w:pPr>
        <w:spacing w:after="0" w:line="166"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AMERICAN FINANCIAL CORPORATION</w:t>
      </w:r>
    </w:p>
    <w:p>
      <w:pPr>
        <w:ind w:left="1160"/>
        <w:spacing w:after="0" w:line="237" w:lineRule="auto"/>
        <w:rPr>
          <w:sz w:val="20"/>
          <w:szCs w:val="20"/>
          <w:color w:val="auto"/>
        </w:rPr>
      </w:pPr>
      <w:r>
        <w:rPr>
          <w:rFonts w:ascii="Courier New" w:cs="Courier New" w:eastAsia="Courier New" w:hAnsi="Courier New"/>
          <w:sz w:val="15"/>
          <w:szCs w:val="15"/>
          <w:color w:val="auto"/>
        </w:rPr>
        <w:t>900 Provident Tower</w:t>
      </w:r>
    </w:p>
    <w:p>
      <w:pPr>
        <w:ind w:left="1160"/>
        <w:spacing w:after="0" w:line="238" w:lineRule="auto"/>
        <w:rPr>
          <w:sz w:val="20"/>
          <w:szCs w:val="20"/>
          <w:color w:val="auto"/>
        </w:rPr>
      </w:pPr>
      <w:r>
        <w:rPr>
          <w:rFonts w:ascii="Courier New" w:cs="Courier New" w:eastAsia="Courier New" w:hAnsi="Courier New"/>
          <w:sz w:val="15"/>
          <w:szCs w:val="15"/>
          <w:color w:val="auto"/>
        </w:rPr>
        <w:t>One East Fourth Street</w:t>
      </w:r>
    </w:p>
    <w:p>
      <w:pPr>
        <w:ind w:left="1160"/>
        <w:spacing w:after="0"/>
        <w:tabs>
          <w:tab w:leader="none" w:pos="270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ind w:left="1160"/>
        <w:spacing w:after="0" w:line="238" w:lineRule="auto"/>
        <w:tabs>
          <w:tab w:leader="none" w:pos="2180" w:val="left"/>
        </w:tabs>
        <w:rPr>
          <w:sz w:val="20"/>
          <w:szCs w:val="20"/>
          <w:color w:val="auto"/>
        </w:rPr>
      </w:pPr>
      <w:r>
        <w:rPr>
          <w:rFonts w:ascii="Courier New" w:cs="Courier New" w:eastAsia="Courier New" w:hAnsi="Courier New"/>
          <w:sz w:val="15"/>
          <w:szCs w:val="15"/>
          <w:color w:val="auto"/>
        </w:rPr>
        <w:t>Attention:</w:t>
        <w:tab/>
        <w:t>Joseph P. Tomain</w:t>
      </w:r>
    </w:p>
    <w:p>
      <w:pPr>
        <w:ind w:left="1160"/>
        <w:spacing w:after="0" w:line="237" w:lineRule="auto"/>
        <w:tabs>
          <w:tab w:leader="none" w:pos="2180" w:val="left"/>
        </w:tabs>
        <w:rPr>
          <w:sz w:val="20"/>
          <w:szCs w:val="20"/>
          <w:color w:val="auto"/>
        </w:rPr>
      </w:pPr>
      <w:r>
        <w:rPr>
          <w:rFonts w:ascii="Courier New" w:cs="Courier New" w:eastAsia="Courier New" w:hAnsi="Courier New"/>
          <w:sz w:val="15"/>
          <w:szCs w:val="15"/>
          <w:color w:val="auto"/>
        </w:rPr>
        <w:t>Telephone:</w:t>
        <w:tab/>
        <w:t>(513)</w:t>
      </w:r>
    </w:p>
    <w:p>
      <w:pPr>
        <w:ind w:left="1160"/>
        <w:spacing w:after="0" w:line="238" w:lineRule="auto"/>
        <w:tabs>
          <w:tab w:leader="none" w:pos="2180" w:val="left"/>
        </w:tabs>
        <w:rPr>
          <w:sz w:val="20"/>
          <w:szCs w:val="20"/>
          <w:color w:val="auto"/>
        </w:rPr>
      </w:pPr>
      <w:r>
        <w:rPr>
          <w:rFonts w:ascii="Courier New" w:cs="Courier New" w:eastAsia="Courier New" w:hAnsi="Courier New"/>
          <w:sz w:val="15"/>
          <w:szCs w:val="15"/>
          <w:color w:val="auto"/>
        </w:rPr>
        <w:t>Facsimile:</w:t>
        <w:tab/>
        <w:t>(513)</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with a required copy (which shall not constitute notice) to:</w:t>
      </w:r>
    </w:p>
    <w:p>
      <w:pPr>
        <w:spacing w:after="0" w:line="171"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TAFT, STETTINIUS &amp; HOLLISTER LLP</w:t>
      </w:r>
    </w:p>
    <w:p>
      <w:pPr>
        <w:ind w:left="1160"/>
        <w:spacing w:after="0" w:line="237" w:lineRule="auto"/>
        <w:rPr>
          <w:sz w:val="20"/>
          <w:szCs w:val="20"/>
          <w:color w:val="auto"/>
        </w:rPr>
      </w:pPr>
      <w:r>
        <w:rPr>
          <w:rFonts w:ascii="Courier New" w:cs="Courier New" w:eastAsia="Courier New" w:hAnsi="Courier New"/>
          <w:sz w:val="15"/>
          <w:szCs w:val="15"/>
          <w:color w:val="auto"/>
        </w:rPr>
        <w:t>1800 U.S. Bank Tower</w:t>
      </w:r>
    </w:p>
    <w:p>
      <w:pPr>
        <w:ind w:left="1160"/>
        <w:spacing w:after="0" w:line="238" w:lineRule="auto"/>
        <w:rPr>
          <w:sz w:val="20"/>
          <w:szCs w:val="20"/>
          <w:color w:val="auto"/>
        </w:rPr>
      </w:pPr>
      <w:r>
        <w:rPr>
          <w:rFonts w:ascii="Courier New" w:cs="Courier New" w:eastAsia="Courier New" w:hAnsi="Courier New"/>
          <w:sz w:val="15"/>
          <w:szCs w:val="15"/>
          <w:color w:val="auto"/>
        </w:rPr>
        <w:t>425 Walnut Street</w:t>
      </w:r>
    </w:p>
    <w:p>
      <w:pPr>
        <w:ind w:left="1160"/>
        <w:spacing w:after="0" w:line="237" w:lineRule="auto"/>
        <w:rPr>
          <w:sz w:val="20"/>
          <w:szCs w:val="20"/>
          <w:color w:val="auto"/>
        </w:rPr>
      </w:pPr>
      <w:r>
        <w:rPr>
          <w:rFonts w:ascii="Courier New" w:cs="Courier New" w:eastAsia="Courier New" w:hAnsi="Courier New"/>
          <w:sz w:val="15"/>
          <w:szCs w:val="15"/>
          <w:color w:val="auto"/>
        </w:rPr>
        <w:t>Cincinnati, Ohio 45202-3957</w:t>
      </w:r>
    </w:p>
    <w:p>
      <w:pPr>
        <w:ind w:left="1160"/>
        <w:spacing w:after="0" w:line="238" w:lineRule="auto"/>
        <w:tabs>
          <w:tab w:leader="none" w:pos="2180" w:val="left"/>
        </w:tabs>
        <w:rPr>
          <w:sz w:val="20"/>
          <w:szCs w:val="20"/>
          <w:color w:val="auto"/>
        </w:rPr>
      </w:pPr>
      <w:r>
        <w:rPr>
          <w:rFonts w:ascii="Courier New" w:cs="Courier New" w:eastAsia="Courier New" w:hAnsi="Courier New"/>
          <w:sz w:val="15"/>
          <w:szCs w:val="15"/>
          <w:color w:val="auto"/>
        </w:rPr>
        <w:t>Attention:</w:t>
        <w:tab/>
        <w:t>Timothy E. Hoberg, Esq.</w:t>
      </w:r>
    </w:p>
    <w:p>
      <w:pPr>
        <w:ind w:left="1160"/>
        <w:spacing w:after="0" w:line="237" w:lineRule="auto"/>
        <w:tabs>
          <w:tab w:leader="none" w:pos="2180" w:val="left"/>
        </w:tabs>
        <w:rPr>
          <w:sz w:val="20"/>
          <w:szCs w:val="20"/>
          <w:color w:val="auto"/>
        </w:rPr>
      </w:pPr>
      <w:r>
        <w:rPr>
          <w:rFonts w:ascii="Courier New" w:cs="Courier New" w:eastAsia="Courier New" w:hAnsi="Courier New"/>
          <w:sz w:val="15"/>
          <w:szCs w:val="15"/>
          <w:color w:val="auto"/>
        </w:rPr>
        <w:t>Telephone:</w:t>
        <w:tab/>
        <w:t>(513) 381-2838</w:t>
      </w:r>
    </w:p>
    <w:p>
      <w:pPr>
        <w:ind w:left="1160"/>
        <w:spacing w:after="0" w:line="238" w:lineRule="auto"/>
        <w:tabs>
          <w:tab w:leader="none" w:pos="2180" w:val="left"/>
        </w:tabs>
        <w:rPr>
          <w:sz w:val="20"/>
          <w:szCs w:val="20"/>
          <w:color w:val="auto"/>
        </w:rPr>
      </w:pPr>
      <w:r>
        <w:rPr>
          <w:rFonts w:ascii="Courier New" w:cs="Courier New" w:eastAsia="Courier New" w:hAnsi="Courier New"/>
          <w:sz w:val="15"/>
          <w:szCs w:val="15"/>
          <w:color w:val="auto"/>
        </w:rPr>
        <w:t>Facsimile:</w:t>
        <w:tab/>
        <w:t>(513) 381-0205</w:t>
      </w:r>
    </w:p>
    <w:p>
      <w:pPr>
        <w:sectPr>
          <w:pgSz w:w="11900" w:h="16838" w:orient="portrait"/>
          <w:cols w:equalWidth="0" w:num="1">
            <w:col w:w="9019"/>
          </w:cols>
          <w:pgMar w:left="1440" w:top="449" w:right="1440" w:bottom="1440" w:gutter="0" w:footer="0" w:header="0"/>
        </w:sectPr>
      </w:pPr>
    </w:p>
    <w:bookmarkStart w:id="168" w:name="page169"/>
    <w:bookmarkEnd w:id="168"/>
    <w:p>
      <w:pPr>
        <w:ind w:left="3340"/>
        <w:spacing w:after="0"/>
        <w:rPr>
          <w:sz w:val="20"/>
          <w:szCs w:val="20"/>
          <w:color w:val="auto"/>
        </w:rPr>
      </w:pPr>
      <w:r>
        <w:rPr>
          <w:rFonts w:ascii="Courier New" w:cs="Courier New" w:eastAsia="Courier New" w:hAnsi="Courier New"/>
          <w:sz w:val="15"/>
          <w:szCs w:val="15"/>
          <w:color w:val="auto"/>
        </w:rPr>
        <w:t>-32-</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and -</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KEATING, MUETHING &amp; KLEKAMP, PLL</w:t>
      </w:r>
    </w:p>
    <w:p>
      <w:pPr>
        <w:ind w:left="2380"/>
        <w:spacing w:after="0" w:line="237" w:lineRule="auto"/>
        <w:rPr>
          <w:sz w:val="20"/>
          <w:szCs w:val="20"/>
          <w:color w:val="auto"/>
        </w:rPr>
      </w:pPr>
      <w:r>
        <w:rPr>
          <w:rFonts w:ascii="Courier New" w:cs="Courier New" w:eastAsia="Courier New" w:hAnsi="Courier New"/>
          <w:sz w:val="15"/>
          <w:szCs w:val="15"/>
          <w:color w:val="auto"/>
        </w:rPr>
        <w:t>1400 Provident Tower</w:t>
      </w:r>
    </w:p>
    <w:p>
      <w:pPr>
        <w:ind w:left="2380"/>
        <w:spacing w:after="0" w:line="238" w:lineRule="auto"/>
        <w:rPr>
          <w:sz w:val="20"/>
          <w:szCs w:val="20"/>
          <w:color w:val="auto"/>
        </w:rPr>
      </w:pPr>
      <w:r>
        <w:rPr>
          <w:rFonts w:ascii="Courier New" w:cs="Courier New" w:eastAsia="Courier New" w:hAnsi="Courier New"/>
          <w:sz w:val="15"/>
          <w:szCs w:val="15"/>
          <w:color w:val="auto"/>
        </w:rPr>
        <w:t>One East Fourth Street</w:t>
      </w:r>
    </w:p>
    <w:p>
      <w:pPr>
        <w:ind w:left="2380"/>
        <w:spacing w:after="0"/>
        <w:tabs>
          <w:tab w:leader="none" w:pos="392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Attention:</w:t>
        <w:tab/>
        <w:t>Edward E. Steiner, Esq.</w:t>
      </w:r>
    </w:p>
    <w:p>
      <w:pPr>
        <w:ind w:left="238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Telephone:</w:t>
        <w:tab/>
        <w:t>(513) 579-6468</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Facsimile:</w:t>
        <w:tab/>
        <w:t>(513) 579-6578</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Holding,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AFC HOLDING COMPANY</w:t>
      </w:r>
    </w:p>
    <w:p>
      <w:pPr>
        <w:ind w:left="2380"/>
        <w:spacing w:after="0" w:line="237" w:lineRule="auto"/>
        <w:rPr>
          <w:sz w:val="20"/>
          <w:szCs w:val="20"/>
          <w:color w:val="auto"/>
        </w:rPr>
      </w:pPr>
      <w:r>
        <w:rPr>
          <w:rFonts w:ascii="Courier New" w:cs="Courier New" w:eastAsia="Courier New" w:hAnsi="Courier New"/>
          <w:sz w:val="15"/>
          <w:szCs w:val="15"/>
          <w:color w:val="auto"/>
        </w:rPr>
        <w:t>900 Provident Tower</w:t>
      </w:r>
    </w:p>
    <w:p>
      <w:pPr>
        <w:ind w:left="2380"/>
        <w:spacing w:after="0" w:line="238" w:lineRule="auto"/>
        <w:rPr>
          <w:sz w:val="20"/>
          <w:szCs w:val="20"/>
          <w:color w:val="auto"/>
        </w:rPr>
      </w:pPr>
      <w:r>
        <w:rPr>
          <w:rFonts w:ascii="Courier New" w:cs="Courier New" w:eastAsia="Courier New" w:hAnsi="Courier New"/>
          <w:sz w:val="15"/>
          <w:szCs w:val="15"/>
          <w:color w:val="auto"/>
        </w:rPr>
        <w:t>One East Fourth Street</w:t>
      </w:r>
    </w:p>
    <w:p>
      <w:pPr>
        <w:ind w:left="2380"/>
        <w:spacing w:after="0"/>
        <w:tabs>
          <w:tab w:leader="none" w:pos="392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Attention:</w:t>
        <w:tab/>
        <w:t>Carl H. Lindner</w:t>
      </w:r>
    </w:p>
    <w:p>
      <w:pPr>
        <w:ind w:left="238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Telephone:</w:t>
        <w:tab/>
        <w:t>(513) 579-2121</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Facsimile:</w:t>
        <w:tab/>
        <w:t>(513) 579-2580</w:t>
      </w:r>
    </w:p>
    <w:p>
      <w:pPr>
        <w:spacing w:after="0" w:line="167"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with a required copy (which shall not constitute notice)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AMERICAN FINANCIAL GROUP, INC.</w:t>
      </w:r>
    </w:p>
    <w:p>
      <w:pPr>
        <w:ind w:left="2380"/>
        <w:spacing w:after="0" w:line="237" w:lineRule="auto"/>
        <w:rPr>
          <w:sz w:val="20"/>
          <w:szCs w:val="20"/>
          <w:color w:val="auto"/>
        </w:rPr>
      </w:pPr>
      <w:r>
        <w:rPr>
          <w:rFonts w:ascii="Courier New" w:cs="Courier New" w:eastAsia="Courier New" w:hAnsi="Courier New"/>
          <w:sz w:val="15"/>
          <w:szCs w:val="15"/>
          <w:color w:val="auto"/>
        </w:rPr>
        <w:t>900 Provident Tower</w:t>
      </w:r>
    </w:p>
    <w:p>
      <w:pPr>
        <w:ind w:left="2380"/>
        <w:spacing w:after="0" w:line="238" w:lineRule="auto"/>
        <w:rPr>
          <w:sz w:val="20"/>
          <w:szCs w:val="20"/>
          <w:color w:val="auto"/>
        </w:rPr>
      </w:pPr>
      <w:r>
        <w:rPr>
          <w:rFonts w:ascii="Courier New" w:cs="Courier New" w:eastAsia="Courier New" w:hAnsi="Courier New"/>
          <w:sz w:val="15"/>
          <w:szCs w:val="15"/>
          <w:color w:val="auto"/>
        </w:rPr>
        <w:t>One East Fourth Street</w:t>
      </w:r>
    </w:p>
    <w:p>
      <w:pPr>
        <w:ind w:left="2380"/>
        <w:spacing w:after="0"/>
        <w:tabs>
          <w:tab w:leader="none" w:pos="392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Attention:</w:t>
        <w:tab/>
        <w:t>James C. Kennedy, Esq.</w:t>
      </w:r>
    </w:p>
    <w:p>
      <w:pPr>
        <w:ind w:left="238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Telephone:</w:t>
        <w:tab/>
        <w:t>(513) 579-2538</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Facsimile:</w:t>
        <w:tab/>
        <w:t>(513) 579-0108</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and -</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KEATING, MUETHING &amp; KLEKAMP, PLL</w:t>
      </w:r>
    </w:p>
    <w:p>
      <w:pPr>
        <w:ind w:left="2380"/>
        <w:spacing w:after="0" w:line="237" w:lineRule="auto"/>
        <w:rPr>
          <w:sz w:val="20"/>
          <w:szCs w:val="20"/>
          <w:color w:val="auto"/>
        </w:rPr>
      </w:pPr>
      <w:r>
        <w:rPr>
          <w:rFonts w:ascii="Courier New" w:cs="Courier New" w:eastAsia="Courier New" w:hAnsi="Courier New"/>
          <w:sz w:val="15"/>
          <w:szCs w:val="15"/>
          <w:color w:val="auto"/>
        </w:rPr>
        <w:t>1400 Provident Tower</w:t>
      </w:r>
    </w:p>
    <w:p>
      <w:pPr>
        <w:ind w:left="2380"/>
        <w:spacing w:after="0" w:line="238" w:lineRule="auto"/>
        <w:rPr>
          <w:sz w:val="20"/>
          <w:szCs w:val="20"/>
          <w:color w:val="auto"/>
        </w:rPr>
      </w:pPr>
      <w:r>
        <w:rPr>
          <w:rFonts w:ascii="Courier New" w:cs="Courier New" w:eastAsia="Courier New" w:hAnsi="Courier New"/>
          <w:sz w:val="15"/>
          <w:szCs w:val="15"/>
          <w:color w:val="auto"/>
        </w:rPr>
        <w:t>One East Fourth Street</w:t>
      </w:r>
    </w:p>
    <w:p>
      <w:pPr>
        <w:ind w:left="2380"/>
        <w:spacing w:after="0"/>
        <w:tabs>
          <w:tab w:leader="none" w:pos="392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Attention:</w:t>
        <w:tab/>
        <w:t>Edward E. Steiner, Esq.</w:t>
      </w:r>
    </w:p>
    <w:p>
      <w:pPr>
        <w:ind w:left="238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Telephone:</w:t>
        <w:tab/>
        <w:t>(513) 579-6468</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Facsimile:</w:t>
        <w:tab/>
        <w:t>(513) 579-6578</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or to such other address as the person to whom notice is given may have previously furnished to the other in writing in the manner set forth above (provided, that notice of any change of address shall be effective only upon receipt thereof).</w:t>
      </w:r>
    </w:p>
    <w:p>
      <w:pPr>
        <w:sectPr>
          <w:pgSz w:w="11900" w:h="16838" w:orient="portrait"/>
          <w:cols w:equalWidth="0" w:num="1">
            <w:col w:w="10239"/>
          </w:cols>
          <w:pgMar w:left="220" w:top="449" w:right="1440" w:bottom="1440" w:gutter="0" w:footer="0" w:header="0"/>
        </w:sectPr>
      </w:pPr>
    </w:p>
    <w:bookmarkStart w:id="169" w:name="page170"/>
    <w:bookmarkEnd w:id="169"/>
    <w:p>
      <w:pPr>
        <w:ind w:left="3340"/>
        <w:spacing w:after="0"/>
        <w:rPr>
          <w:sz w:val="20"/>
          <w:szCs w:val="20"/>
          <w:color w:val="auto"/>
        </w:rPr>
      </w:pPr>
      <w:r>
        <w:rPr>
          <w:rFonts w:ascii="Courier New" w:cs="Courier New" w:eastAsia="Courier New" w:hAnsi="Courier New"/>
          <w:sz w:val="15"/>
          <w:szCs w:val="15"/>
          <w:color w:val="auto"/>
        </w:rPr>
        <w:t>-33-</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14.5 Governing Law.</w:t>
      </w:r>
    </w:p>
    <w:p>
      <w:pPr>
        <w:spacing w:after="0" w:line="173" w:lineRule="exact"/>
        <w:rPr>
          <w:sz w:val="20"/>
          <w:szCs w:val="20"/>
          <w:color w:val="auto"/>
        </w:rPr>
      </w:pPr>
    </w:p>
    <w:p>
      <w:pPr>
        <w:jc w:val="both"/>
        <w:ind w:right="3239" w:firstLine="875"/>
        <w:spacing w:after="0" w:line="258"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Ohio, regardless of the internal substantive laws that might otherwise govern under applicable principles of conflicts of laws thereof.</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14.6 Expenses.</w:t>
      </w:r>
    </w:p>
    <w:p>
      <w:pPr>
        <w:spacing w:after="0" w:line="17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All expenses incurred by any party hereto in connection with this Agreement and the consummation of the transactions contemplated hereby shall be paid by the party incurring such expenses.</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14.7 Interpretation.</w:t>
      </w:r>
    </w:p>
    <w:p>
      <w:pPr>
        <w:spacing w:after="0" w:line="173" w:lineRule="exact"/>
        <w:rPr>
          <w:sz w:val="20"/>
          <w:szCs w:val="20"/>
          <w:color w:val="auto"/>
        </w:rPr>
      </w:pPr>
    </w:p>
    <w:p>
      <w:pPr>
        <w:ind w:right="3399" w:firstLine="884"/>
        <w:spacing w:after="0" w:line="235" w:lineRule="auto"/>
        <w:tabs>
          <w:tab w:leader="none" w:pos="1224"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descriptive headings herein are inserted for convenience of reference only and are not intended to be part of, or to affect the meaning or interpretation of, this Agreement.</w:t>
      </w:r>
    </w:p>
    <w:p>
      <w:pPr>
        <w:spacing w:after="0" w:line="173" w:lineRule="exact"/>
        <w:rPr>
          <w:rFonts w:ascii="Courier New" w:cs="Courier New" w:eastAsia="Courier New" w:hAnsi="Courier New"/>
          <w:sz w:val="15"/>
          <w:szCs w:val="15"/>
          <w:color w:val="auto"/>
        </w:rPr>
      </w:pPr>
    </w:p>
    <w:p>
      <w:pPr>
        <w:ind w:right="3239" w:firstLine="884"/>
        <w:spacing w:after="0" w:line="254" w:lineRule="auto"/>
        <w:tabs>
          <w:tab w:leader="none" w:pos="1224"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"Subsidiary" when used herein with respect to any person means: (i) any corporation, partnership or other business association or entity in which such person has a majority equity interest; (ii) any other corporation, partnership, limited liability company or other business association or entity which is consolidated with such person for financial reporting purposes; or</w:t>
      </w:r>
    </w:p>
    <w:p>
      <w:pPr>
        <w:spacing w:after="0" w:line="1" w:lineRule="exact"/>
        <w:rPr>
          <w:rFonts w:ascii="Courier New" w:cs="Courier New" w:eastAsia="Courier New" w:hAnsi="Courier New"/>
          <w:sz w:val="14"/>
          <w:szCs w:val="14"/>
          <w:color w:val="auto"/>
        </w:rPr>
      </w:pPr>
    </w:p>
    <w:p>
      <w:pPr>
        <w:ind w:right="3239" w:firstLine="10"/>
        <w:spacing w:after="0" w:line="255" w:lineRule="auto"/>
        <w:tabs>
          <w:tab w:leader="none" w:pos="52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Infinity Property and Casualty Corporation with respect to any period prior to February 18, 2003. For purposes of Section 7.8, the term "Tax Subsidiary" means any Subsidiary of AFG that meets the definition of an affiliated group member as set forth in Section 1504(a) of the Internal Revenue Code (without regard to Section 1504(b)(2) thereof). The term "person" when used herein means any individual, corporation, partnership, joint venture, trust, unincorporated association or other entity of any nature whatsoever. The term "knowledge" when used herein with respect to AFG or AFC means actual knowledge or actually knowing after due inquiry within AFG or AFC, as the case may be, and their respective Subsidiaries (which due inquiry each party undertakes to make).</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14.8 Counterparts.</w:t>
      </w:r>
    </w:p>
    <w:p>
      <w:pPr>
        <w:spacing w:after="0" w:line="173"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This Agreement may be executed in multiple counterparts, each of which shall be deemed to be an original, but all of which shall constitute one and the same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14.9 Parties in Interest.</w:t>
      </w:r>
    </w:p>
    <w:p>
      <w:pPr>
        <w:spacing w:after="0" w:line="17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This Agreement shall be binding upon and inure solely to the benefit of each party hereto, and nothing in this Agreement, express or implied, is intended to confer upon any other person any rights or remedies of any nature whatsoever under or by reason of this Agreement.</w:t>
      </w:r>
    </w:p>
    <w:p>
      <w:pPr>
        <w:spacing w:after="0" w:line="33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THIS SPACE INTENTIONALLY LEFT BLANK</w:t>
      </w:r>
    </w:p>
    <w:p>
      <w:pPr>
        <w:sectPr>
          <w:pgSz w:w="11900" w:h="16838" w:orient="portrait"/>
          <w:cols w:equalWidth="0" w:num="1">
            <w:col w:w="10239"/>
          </w:cols>
          <w:pgMar w:left="220" w:top="449" w:right="1440" w:bottom="1440" w:gutter="0" w:footer="0" w:header="0"/>
        </w:sectPr>
      </w:pPr>
    </w:p>
    <w:bookmarkStart w:id="170" w:name="page171"/>
    <w:bookmarkEnd w:id="170"/>
    <w:p>
      <w:pPr>
        <w:ind w:left="3340"/>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pacing w:after="0" w:line="309"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IN WITNESS WHEREOF, each of the parties has caused this Agreement to be executed on its behalf by its officer thereunto duly authorized as of the day and year first above written.</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AMERICAN FINANCIAL GROUP, INC.</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James C. Kennedy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Vice President, Deputy General Counsel</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&amp; Secretary</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AFC HOLDING COMPANY</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James C. Kennedy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Vice President, Deputy General Counsel</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&amp; Secretary</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AMERICAN FINANCIAL CORPORATION</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Karl J. Grafe</w:t>
      </w:r>
    </w:p>
    <w:p>
      <w:pPr>
        <w:ind w:left="3600"/>
        <w:spacing w:after="0" w:line="237" w:lineRule="auto"/>
        <w:rPr>
          <w:sz w:val="20"/>
          <w:szCs w:val="20"/>
          <w:color w:val="auto"/>
        </w:rPr>
      </w:pPr>
      <w:r>
        <w:rPr>
          <w:rFonts w:ascii="Courier New" w:cs="Courier New" w:eastAsia="Courier New" w:hAnsi="Courier New"/>
          <w:sz w:val="15"/>
          <w:szCs w:val="15"/>
          <w:color w:val="auto"/>
        </w:rPr>
        <w:t>Assistant Secretary</w:t>
      </w:r>
    </w:p>
    <w:p>
      <w:pPr>
        <w:sectPr>
          <w:pgSz w:w="11900" w:h="16838" w:orient="portrait"/>
          <w:cols w:equalWidth="0" w:num="1">
            <w:col w:w="10239"/>
          </w:cols>
          <w:pgMar w:left="220" w:top="449" w:right="1440" w:bottom="1440" w:gutter="0" w:footer="0" w:header="0"/>
        </w:sectPr>
      </w:pPr>
    </w:p>
    <w:bookmarkStart w:id="171" w:name="page172"/>
    <w:bookmarkEnd w:id="171"/>
    <w:p>
      <w:pPr>
        <w:ind w:left="5960"/>
        <w:spacing w:after="0"/>
        <w:rPr>
          <w:sz w:val="20"/>
          <w:szCs w:val="20"/>
          <w:color w:val="auto"/>
        </w:rPr>
      </w:pPr>
      <w:r>
        <w:rPr>
          <w:rFonts w:ascii="Courier New" w:cs="Courier New" w:eastAsia="Courier New" w:hAnsi="Courier New"/>
          <w:sz w:val="15"/>
          <w:szCs w:val="15"/>
          <w:color w:val="auto"/>
        </w:rPr>
        <w:t>Annex B</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[DUFF &amp; PHELPS, LLC LETTERHEAD]</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REVISED DRAFT</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[July</w:t>
        <w:tab/>
        <w:t>,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Committee of the Board of Directors</w:t>
      </w:r>
    </w:p>
    <w:p>
      <w:pPr>
        <w:spacing w:after="0" w:line="237" w:lineRule="auto"/>
        <w:rPr>
          <w:sz w:val="20"/>
          <w:szCs w:val="20"/>
          <w:color w:val="auto"/>
        </w:rPr>
      </w:pPr>
      <w:r>
        <w:rPr>
          <w:rFonts w:ascii="Courier New" w:cs="Courier New" w:eastAsia="Courier New" w:hAnsi="Courier New"/>
          <w:sz w:val="15"/>
          <w:szCs w:val="15"/>
          <w:color w:val="auto"/>
        </w:rPr>
        <w:t>American Financial Corporation</w:t>
      </w:r>
    </w:p>
    <w:p>
      <w:pPr>
        <w:spacing w:after="0" w:line="238" w:lineRule="auto"/>
        <w:rPr>
          <w:sz w:val="20"/>
          <w:szCs w:val="20"/>
          <w:color w:val="auto"/>
        </w:rPr>
      </w:pPr>
      <w:r>
        <w:rPr>
          <w:rFonts w:ascii="Courier New" w:cs="Courier New" w:eastAsia="Courier New" w:hAnsi="Courier New"/>
          <w:sz w:val="15"/>
          <w:szCs w:val="15"/>
          <w:color w:val="auto"/>
        </w:rPr>
        <w:t>c/o Taft, Stettinius &amp; Hollister LLP</w:t>
      </w:r>
    </w:p>
    <w:p>
      <w:pPr>
        <w:spacing w:after="0" w:line="237" w:lineRule="auto"/>
        <w:rPr>
          <w:sz w:val="20"/>
          <w:szCs w:val="20"/>
          <w:color w:val="auto"/>
        </w:rPr>
      </w:pPr>
      <w:r>
        <w:rPr>
          <w:rFonts w:ascii="Courier New" w:cs="Courier New" w:eastAsia="Courier New" w:hAnsi="Courier New"/>
          <w:sz w:val="15"/>
          <w:szCs w:val="15"/>
          <w:color w:val="auto"/>
        </w:rPr>
        <w:t>425 Walnut Street, Suite 1800</w:t>
      </w:r>
    </w:p>
    <w:p>
      <w:pPr>
        <w:spacing w:after="0"/>
        <w:tabs>
          <w:tab w:leader="none" w:pos="1380" w:val="left"/>
        </w:tabs>
        <w:rPr>
          <w:sz w:val="20"/>
          <w:szCs w:val="20"/>
          <w:color w:val="auto"/>
        </w:rPr>
      </w:pPr>
      <w:r>
        <w:rPr>
          <w:rFonts w:ascii="Courier New" w:cs="Courier New" w:eastAsia="Courier New" w:hAnsi="Courier New"/>
          <w:sz w:val="15"/>
          <w:szCs w:val="15"/>
          <w:color w:val="auto"/>
        </w:rPr>
        <w:t>Cincinnati, OH</w:t>
      </w:r>
      <w:r>
        <w:rPr>
          <w:sz w:val="20"/>
          <w:szCs w:val="20"/>
          <w:color w:val="auto"/>
        </w:rPr>
        <w:tab/>
      </w:r>
      <w:r>
        <w:rPr>
          <w:rFonts w:ascii="Courier New" w:cs="Courier New" w:eastAsia="Courier New" w:hAnsi="Courier New"/>
          <w:sz w:val="14"/>
          <w:szCs w:val="14"/>
          <w:color w:val="auto"/>
        </w:rPr>
        <w:t>45202-0205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Members of the Special Committee: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understand that American Financial Group, Inc., an Ohio corporation ("AFG"), AFC Holding Company, an Ohio corporation and wholly owned subsidiary of AFG ("Holding"), and American Financial Corporation, an Ohio corporation and majority owned subsidiary of Holding ("AFC" or the "Company") have proposed a merger of AFC with and into AFG, and immediately prior thereto, a merger of Holding with and into AFG (the "Merger"). Currently, AFG owns 100% of the common stock and 79% of the voting equity securities of AFC. AFC has one series of publicly held voting preferred stock (the "Series J Preferred Stock"), which represents the other 21% of AFC's voting securities.</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further understand, under the Agreement and Plan of Reorganization dated July 2, 2003 (the "Merger Agreement"), and pursuant to the merger of AFC with and into AFG, the Series J Preferred Stockholders will receive $25.00 per share, plus accrued dividends from the last dividend payment date to the date of the Merger, in common stock of AFG ("AFG Common Stock"), calculated based on the average of the mean of the average daily high sales price and daily low sales price of AFG Common Stock for a 20-day period prior to the Merger (the "Transaction Consideration"). Additionally, in the event that the AFG Common Stock trades above $27.00 per share for a specified period prior to the Merger, certain adjustments will be made to the Transaction Consideration.</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Special Committee of the Board of Directors (the "Special Committee") of AFC has engaged Duff &amp; Phelps, LLC ("Duff &amp; Phelps") as its independent financial advisor to advise the Special Committee in connection with the contemplated Transaction Consideration to be received by the holders of shares of Series J Preferred Stock. Specifically, Duff &amp; Phelps has been asked to provide an opinion (the "Opinion") as to whether the Transaction Consideration to be received by the holders of shares of Series J Preferred Stock pursuant to the Merger Agreement is fair to the holders of such shares from a financial point of view.</w:t>
      </w:r>
    </w:p>
    <w:p>
      <w:pPr>
        <w:sectPr>
          <w:pgSz w:w="11900" w:h="16838" w:orient="portrait"/>
          <w:cols w:equalWidth="0" w:num="1">
            <w:col w:w="10239"/>
          </w:cols>
          <w:pgMar w:left="220" w:top="449"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5"/>
          <w:szCs w:val="15"/>
          <w:color w:val="auto"/>
        </w:rPr>
        <w:t>Special Committee of the Board of Directors</w:t>
      </w:r>
    </w:p>
    <w:p>
      <w:pPr>
        <w:spacing w:after="0" w:line="237" w:lineRule="auto"/>
        <w:rPr>
          <w:sz w:val="20"/>
          <w:szCs w:val="20"/>
          <w:color w:val="auto"/>
        </w:rPr>
      </w:pPr>
      <w:r>
        <w:rPr>
          <w:rFonts w:ascii="Courier New" w:cs="Courier New" w:eastAsia="Courier New" w:hAnsi="Courier New"/>
          <w:sz w:val="15"/>
          <w:szCs w:val="15"/>
          <w:color w:val="auto"/>
        </w:rPr>
        <w:t>American Financial Corporation</w:t>
      </w:r>
    </w:p>
    <w:p>
      <w:pPr>
        <w:spacing w:after="0" w:line="238" w:lineRule="auto"/>
        <w:tabs>
          <w:tab w:leader="none" w:pos="600" w:val="left"/>
        </w:tabs>
        <w:rPr>
          <w:sz w:val="20"/>
          <w:szCs w:val="20"/>
          <w:color w:val="auto"/>
        </w:rPr>
      </w:pPr>
      <w:r>
        <w:rPr>
          <w:rFonts w:ascii="Courier New" w:cs="Courier New" w:eastAsia="Courier New" w:hAnsi="Courier New"/>
          <w:sz w:val="15"/>
          <w:szCs w:val="15"/>
          <w:color w:val="auto"/>
        </w:rPr>
        <w:t>[July</w:t>
        <w:tab/>
        <w:t>, 2003]</w:t>
      </w:r>
    </w:p>
    <w:p>
      <w:pPr>
        <w:spacing w:after="0" w:line="237" w:lineRule="auto"/>
        <w:rPr>
          <w:sz w:val="20"/>
          <w:szCs w:val="20"/>
          <w:color w:val="auto"/>
        </w:rPr>
      </w:pPr>
      <w:r>
        <w:rPr>
          <w:rFonts w:ascii="Courier New" w:cs="Courier New" w:eastAsia="Courier New" w:hAnsi="Courier New"/>
          <w:sz w:val="15"/>
          <w:szCs w:val="15"/>
          <w:color w:val="auto"/>
        </w:rPr>
        <w:t>Page 2</w:t>
      </w:r>
    </w:p>
    <w:p>
      <w:pPr>
        <w:spacing w:after="0" w:line="34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2000, Duff &amp; Phelps was engaged to provide certain limited financial advisory services to an affiliate of AFG, for which services we have received compensation.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SCOPE OF ANALYSIS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conducting our analysis and arriving at our Opinion, we met with the senior management of AFC and AFG on May 14, 2003, in Cincinnati, Ohio, to discuss the history, current business operations, financial condition, future prospects, and strategic objectives of AFC, AFG, and their affiliates, as well as the anticipated effects of the Merger. In addition, we reviewed and analyzed, among other things:</w:t>
      </w:r>
    </w:p>
    <w:p>
      <w:pPr>
        <w:spacing w:after="0" w:line="175" w:lineRule="exact"/>
        <w:rPr>
          <w:sz w:val="20"/>
          <w:szCs w:val="20"/>
          <w:color w:val="auto"/>
        </w:rPr>
      </w:pPr>
    </w:p>
    <w:p>
      <w:pPr>
        <w:ind w:left="880" w:right="3319" w:hanging="433"/>
        <w:spacing w:after="0" w:line="236" w:lineRule="auto"/>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AFC's and AFG's historical financial statements and descriptive information, including: audited financial statements on SEC form 10K for the fiscal years ending on or about December 31, 2000 to 2002; unaudited financial statements on SEC form 10Q for the fiscal quarter ended March 31, 2003; and certain other public filings and financial information prepared by AFC and AFG management.</w:t>
      </w:r>
    </w:p>
    <w:p>
      <w:pPr>
        <w:spacing w:after="0" w:line="174" w:lineRule="exact"/>
        <w:rPr>
          <w:rFonts w:ascii="Courier New" w:cs="Courier New" w:eastAsia="Courier New" w:hAnsi="Courier New"/>
          <w:sz w:val="15"/>
          <w:szCs w:val="15"/>
          <w:color w:val="auto"/>
        </w:rPr>
      </w:pPr>
    </w:p>
    <w:p>
      <w:pPr>
        <w:ind w:left="880" w:right="3579" w:hanging="433"/>
        <w:spacing w:after="0" w:line="261" w:lineRule="auto"/>
        <w:tabs>
          <w:tab w:leader="none" w:pos="8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statements prepared by AFC and AFG management reflecting the effect of the Merger on AFG's financial statements.</w:t>
      </w:r>
    </w:p>
    <w:p>
      <w:pPr>
        <w:spacing w:after="0" w:line="153"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Agreement and Plan of Reorganization.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AFC's Amended Articles of Incorporation.</w:t>
      </w:r>
    </w:p>
    <w:p>
      <w:pPr>
        <w:spacing w:after="0" w:line="172"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stock prices and trading volume of the common stock of AFG, Great American Financial Resources, Inc. ("GAFRI"), and Infinity Property and Casualty ("Infinity").</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stock prices and trading volume of the Series J Preferred Stock of AFC.</w:t>
      </w:r>
    </w:p>
    <w:p>
      <w:pPr>
        <w:spacing w:after="0" w:line="173"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financial performance and valuation multiples of public companies deemed comparable to the AFG, GAFRI, and Infinity, respectively.</w:t>
      </w:r>
    </w:p>
    <w:p>
      <w:pPr>
        <w:spacing w:after="0" w:line="173" w:lineRule="exact"/>
        <w:rPr>
          <w:rFonts w:ascii="Courier New" w:cs="Courier New" w:eastAsia="Courier New" w:hAnsi="Courier New"/>
          <w:sz w:val="15"/>
          <w:szCs w:val="15"/>
          <w:color w:val="auto"/>
        </w:rPr>
      </w:pPr>
    </w:p>
    <w:p>
      <w:pPr>
        <w:ind w:left="880" w:right="3499" w:hanging="433"/>
        <w:spacing w:after="0" w:line="258" w:lineRule="auto"/>
        <w:tabs>
          <w:tab w:leader="none" w:pos="8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Trading prices and yields for comparable publicly traded preferred stock securities based on issuer and security attributes, including credit quality, issuance size, and issuer industry.</w:t>
      </w:r>
    </w:p>
    <w:p>
      <w:pPr>
        <w:spacing w:after="0" w:line="161" w:lineRule="exact"/>
        <w:rPr>
          <w:rFonts w:ascii="Courier New" w:cs="Courier New" w:eastAsia="Courier New" w:hAnsi="Courier New"/>
          <w:sz w:val="14"/>
          <w:szCs w:val="14"/>
          <w:color w:val="auto"/>
        </w:rPr>
      </w:pPr>
    </w:p>
    <w:p>
      <w:pPr>
        <w:ind w:left="880" w:right="3239" w:hanging="433"/>
        <w:spacing w:after="0" w:line="236" w:lineRule="auto"/>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Discounted cash flow analyses on the Series J Preferred Stock by discounting, at various discount rates, the anticipated cash flows from the Series J Preferred Stock, including dividends and liquidation preference, based on yield data derived from our selected comparable publicly-traded preferred stock securities.</w:t>
      </w:r>
    </w:p>
    <w:p>
      <w:pPr>
        <w:spacing w:after="0" w:line="173" w:lineRule="exact"/>
        <w:rPr>
          <w:rFonts w:ascii="Courier New" w:cs="Courier New" w:eastAsia="Courier New" w:hAnsi="Courier New"/>
          <w:sz w:val="15"/>
          <w:szCs w:val="15"/>
          <w:color w:val="auto"/>
        </w:rPr>
      </w:pPr>
    </w:p>
    <w:p>
      <w:pPr>
        <w:ind w:left="880" w:right="3239" w:hanging="520"/>
        <w:spacing w:after="0" w:line="234" w:lineRule="auto"/>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other relevant, publicly available information, including economic, industry, and investment information.</w:t>
      </w:r>
    </w:p>
    <w:p>
      <w:pPr>
        <w:sectPr>
          <w:pgSz w:w="11900" w:h="16838" w:orient="portrait"/>
          <w:cols w:equalWidth="0" w:num="1">
            <w:col w:w="10239"/>
          </w:cols>
          <w:pgMar w:left="220" w:top="785"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5"/>
          <w:szCs w:val="15"/>
          <w:color w:val="auto"/>
        </w:rPr>
        <w:t>Special Committee of the Board of Directors</w:t>
      </w:r>
    </w:p>
    <w:p>
      <w:pPr>
        <w:spacing w:after="0" w:line="237" w:lineRule="auto"/>
        <w:rPr>
          <w:sz w:val="20"/>
          <w:szCs w:val="20"/>
          <w:color w:val="auto"/>
        </w:rPr>
      </w:pPr>
      <w:r>
        <w:rPr>
          <w:rFonts w:ascii="Courier New" w:cs="Courier New" w:eastAsia="Courier New" w:hAnsi="Courier New"/>
          <w:sz w:val="15"/>
          <w:szCs w:val="15"/>
          <w:color w:val="auto"/>
        </w:rPr>
        <w:t>American Financial Corporation</w:t>
      </w:r>
    </w:p>
    <w:p>
      <w:pPr>
        <w:spacing w:after="0" w:line="238" w:lineRule="auto"/>
        <w:tabs>
          <w:tab w:leader="none" w:pos="600" w:val="left"/>
        </w:tabs>
        <w:rPr>
          <w:sz w:val="20"/>
          <w:szCs w:val="20"/>
          <w:color w:val="auto"/>
        </w:rPr>
      </w:pPr>
      <w:r>
        <w:rPr>
          <w:rFonts w:ascii="Courier New" w:cs="Courier New" w:eastAsia="Courier New" w:hAnsi="Courier New"/>
          <w:sz w:val="15"/>
          <w:szCs w:val="15"/>
          <w:color w:val="auto"/>
        </w:rPr>
        <w:t>[July</w:t>
        <w:tab/>
        <w:t>, 2003]</w:t>
      </w:r>
    </w:p>
    <w:p>
      <w:pPr>
        <w:spacing w:after="0" w:line="237" w:lineRule="auto"/>
        <w:rPr>
          <w:sz w:val="20"/>
          <w:szCs w:val="20"/>
          <w:color w:val="auto"/>
        </w:rPr>
      </w:pPr>
      <w:r>
        <w:rPr>
          <w:rFonts w:ascii="Courier New" w:cs="Courier New" w:eastAsia="Courier New" w:hAnsi="Courier New"/>
          <w:sz w:val="15"/>
          <w:szCs w:val="15"/>
          <w:color w:val="auto"/>
        </w:rPr>
        <w:t>Page 2</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Duff &amp; Phelps also took into account its assessment of general economic, market, and financial conditions, as well as its experience in securities and business valuation, in general, and with respect to similar transactions, in particular. Duff &amp; Phelps did not make any independent evaluation or appraisal of the properties, assets, liabilities or reserves of AFG or AFC, nor has Duff &amp; Phelps conducted any independent actuarial or physical inspections.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preparing its forecasts, performing its analysis, and rendering its Opinion with respect to the Merger, Duff &amp; Phelps relied upon the accuracy and completeness of all information provided to it, whether obtained from public or private sources, including Company management, and has not assumed responsibility for independent verification of such information. With respect to Company-prepared financial forecasts, we have assumed they have been reasonably prepared in good faith on bases reflecting the best currently available estimates of AFC and AFG management. Duff &amp; Phelps's Opinion further assumes that information supplied and representations made by AFC and AFG management are substantially accurate regarding AFC, AFG, and the terms of the Merger. None of AFC or AFG management, their boards, or the Special Committee placed any limitation upon Duff &amp; Phelps with respect to the procedures followed or factors considered by Duff &amp; Phelps in rendering its Opinion.</w:t>
      </w:r>
    </w:p>
    <w:p>
      <w:pPr>
        <w:spacing w:after="0" w:line="16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Duff &amp; Phelps has prepared this Opinion effective as of [July , 2003], and the Opinion is necessarily based upon market, economic, financial, and other conditions as they exist and can be evaluated as of such date.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It is understood that this Opinion is for the information of the Special Committee. Except as required under the disclosure requirements of the securities laws and applicable law or legal process, without our prior written consent, which consent will not be unreasonably withheld, this letter may not be quoted or referred to, in whole or in part, in any written document, or used for any other purpose.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CONCLUSION</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Based upon and subject to the foregoing, Duff &amp; Phelps is of the opinion that the Transaction Consideration to be received by holders of shares of Series J Preferred Stock pursuant to the Merger Agreement is fair to the holders of such shares from a financial point of view.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Respectfully submitted,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REVISED DRAFT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DUFF &amp; PHELPS, LLC</w:t>
      </w:r>
    </w:p>
    <w:p>
      <w:pPr>
        <w:sectPr>
          <w:pgSz w:w="11900" w:h="16838" w:orient="portrait"/>
          <w:cols w:equalWidth="0" w:num="1">
            <w:col w:w="10239"/>
          </w:cols>
          <w:pgMar w:left="220" w:top="617" w:right="1440" w:bottom="1440" w:gutter="0" w:footer="0" w:header="0"/>
        </w:sectPr>
      </w:pPr>
    </w:p>
    <w:bookmarkStart w:id="174" w:name="page175"/>
    <w:bookmarkEnd w:id="174"/>
    <w:p>
      <w:pPr>
        <w:ind w:left="5700"/>
        <w:spacing w:after="0"/>
        <w:rPr>
          <w:sz w:val="20"/>
          <w:szCs w:val="20"/>
          <w:color w:val="auto"/>
        </w:rPr>
      </w:pPr>
      <w:r>
        <w:rPr>
          <w:rFonts w:ascii="Courier New" w:cs="Courier New" w:eastAsia="Courier New" w:hAnsi="Courier New"/>
          <w:sz w:val="15"/>
          <w:szCs w:val="15"/>
          <w:color w:val="auto"/>
        </w:rPr>
        <w:t>Annex C</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1701.84 Persons entitled to relief as dissenting shareholders.</w:t>
      </w:r>
    </w:p>
    <w:p>
      <w:pPr>
        <w:spacing w:after="0" w:line="173" w:lineRule="exact"/>
        <w:rPr>
          <w:sz w:val="20"/>
          <w:szCs w:val="20"/>
          <w:color w:val="auto"/>
        </w:rPr>
      </w:pPr>
    </w:p>
    <w:p>
      <w:pPr>
        <w:ind w:right="3239" w:firstLine="262"/>
        <w:spacing w:after="0" w:line="234" w:lineRule="auto"/>
        <w:rPr>
          <w:sz w:val="20"/>
          <w:szCs w:val="20"/>
          <w:color w:val="auto"/>
        </w:rPr>
      </w:pPr>
      <w:r>
        <w:rPr>
          <w:rFonts w:ascii="Courier New" w:cs="Courier New" w:eastAsia="Courier New" w:hAnsi="Courier New"/>
          <w:sz w:val="15"/>
          <w:szCs w:val="15"/>
          <w:color w:val="auto"/>
        </w:rPr>
        <w:t>The following are entitled to relief as dissenting shareholders under section 1701.85 of the Revised Code:</w:t>
      </w:r>
    </w:p>
    <w:p>
      <w:pPr>
        <w:spacing w:after="0" w:line="173" w:lineRule="exact"/>
        <w:rPr>
          <w:sz w:val="20"/>
          <w:szCs w:val="20"/>
          <w:color w:val="auto"/>
        </w:rPr>
      </w:pPr>
    </w:p>
    <w:p>
      <w:pPr>
        <w:ind w:right="3499" w:firstLine="272"/>
        <w:spacing w:after="0" w:line="235" w:lineRule="auto"/>
        <w:tabs>
          <w:tab w:leader="none" w:pos="61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of a domestic corporation that is being merged or consolidated into a surviving or new entity, domestic or foreign, pursuant to section 1701.78, 1701.781 [1701.78.1], 1701.79, 1701.791 [1701.79.1], or 1701.801 [1701.80.1] of the Revised Code;</w:t>
      </w:r>
    </w:p>
    <w:p>
      <w:pPr>
        <w:spacing w:after="0" w:line="175" w:lineRule="exact"/>
        <w:rPr>
          <w:rFonts w:ascii="Courier New" w:cs="Courier New" w:eastAsia="Courier New" w:hAnsi="Courier New"/>
          <w:sz w:val="15"/>
          <w:szCs w:val="15"/>
          <w:color w:val="auto"/>
        </w:rPr>
      </w:pPr>
    </w:p>
    <w:p>
      <w:pPr>
        <w:ind w:right="3239" w:firstLine="272"/>
        <w:spacing w:after="0" w:line="235" w:lineRule="auto"/>
        <w:tabs>
          <w:tab w:leader="none" w:pos="61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merger into a domestic corporation, shareholders of the surviving corporation who under section 1701.78 or 1701.781 [1701.78.1] of the Revised Code are entitled to vote on the adoption of an agreement of merger, but only as to the shares so entitling them to vote;</w:t>
      </w:r>
    </w:p>
    <w:p>
      <w:pPr>
        <w:spacing w:after="0" w:line="175" w:lineRule="exact"/>
        <w:rPr>
          <w:rFonts w:ascii="Courier New" w:cs="Courier New" w:eastAsia="Courier New" w:hAnsi="Courier New"/>
          <w:sz w:val="15"/>
          <w:szCs w:val="15"/>
          <w:color w:val="auto"/>
        </w:rPr>
      </w:pPr>
    </w:p>
    <w:p>
      <w:pPr>
        <w:jc w:val="both"/>
        <w:ind w:right="3239" w:firstLine="272"/>
        <w:spacing w:after="0" w:line="235" w:lineRule="auto"/>
        <w:tabs>
          <w:tab w:leader="none" w:pos="61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other than the parent corporation, of a domestic subsidiary corporation that is being merged into the domestic or foreign parent corporation pursuant to section 1701.80 of the Revised Code;</w:t>
      </w:r>
    </w:p>
    <w:p>
      <w:pPr>
        <w:spacing w:after="0" w:line="173" w:lineRule="exact"/>
        <w:rPr>
          <w:rFonts w:ascii="Courier New" w:cs="Courier New" w:eastAsia="Courier New" w:hAnsi="Courier New"/>
          <w:sz w:val="15"/>
          <w:szCs w:val="15"/>
          <w:color w:val="auto"/>
        </w:rPr>
      </w:pPr>
    </w:p>
    <w:p>
      <w:pPr>
        <w:ind w:right="3239" w:firstLine="272"/>
        <w:spacing w:after="0" w:line="235" w:lineRule="auto"/>
        <w:tabs>
          <w:tab w:leader="none" w:pos="61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combination or a majority share acquisition, shareholders of the acquiring corporation who under section 1701.83 of the Revised Code are entitled to vote on such transaction, but only as to the shares so entitling them to vote;</w:t>
      </w:r>
    </w:p>
    <w:p>
      <w:pPr>
        <w:spacing w:after="0" w:line="175" w:lineRule="exact"/>
        <w:rPr>
          <w:rFonts w:ascii="Courier New" w:cs="Courier New" w:eastAsia="Courier New" w:hAnsi="Courier New"/>
          <w:sz w:val="15"/>
          <w:szCs w:val="15"/>
          <w:color w:val="auto"/>
        </w:rPr>
      </w:pPr>
    </w:p>
    <w:p>
      <w:pPr>
        <w:ind w:right="3319" w:firstLine="272"/>
        <w:spacing w:after="0" w:line="235" w:lineRule="auto"/>
        <w:tabs>
          <w:tab w:leader="none" w:pos="61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of a domestic subsidiary corporation into which one or more domestic or foreign corporations are being merged pursuant to section 1701.801 [1701.80.1] of the Revised Code.</w:t>
      </w:r>
    </w:p>
    <w:p>
      <w:pPr>
        <w:sectPr>
          <w:pgSz w:w="11900" w:h="16838" w:orient="portrait"/>
          <w:cols w:equalWidth="0" w:num="1">
            <w:col w:w="10239"/>
          </w:cols>
          <w:pgMar w:left="220" w:top="449"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4"/>
          <w:szCs w:val="14"/>
          <w:color w:val="auto"/>
        </w:rPr>
        <w:t>Section 1701.85 Dissenting shareholder's demand for fair cash value of shares.</w:t>
      </w:r>
    </w:p>
    <w:p>
      <w:pPr>
        <w:spacing w:after="0" w:line="178" w:lineRule="exact"/>
        <w:rPr>
          <w:sz w:val="20"/>
          <w:szCs w:val="20"/>
          <w:color w:val="auto"/>
        </w:rPr>
      </w:pPr>
    </w:p>
    <w:p>
      <w:pPr>
        <w:ind w:right="3579" w:firstLine="262"/>
        <w:spacing w:after="0" w:line="254" w:lineRule="auto"/>
        <w:rPr>
          <w:sz w:val="20"/>
          <w:szCs w:val="20"/>
          <w:color w:val="auto"/>
        </w:rPr>
      </w:pPr>
      <w:r>
        <w:rPr>
          <w:rFonts w:ascii="Courier New" w:cs="Courier New" w:eastAsia="Courier New" w:hAnsi="Courier New"/>
          <w:sz w:val="14"/>
          <w:szCs w:val="14"/>
          <w:color w:val="auto"/>
        </w:rPr>
        <w:t>(A)(1) A shareholder of a domestic corporation is entitled to relief as a dissenting shareholder in respect of the proposals described in sections</w:t>
      </w:r>
    </w:p>
    <w:p>
      <w:pPr>
        <w:spacing w:after="0" w:line="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1701.74, 1701.76, and 1701.84 of the Revised Code, only in compliance with this section.</w:t>
      </w:r>
    </w:p>
    <w:p>
      <w:pPr>
        <w:spacing w:after="0" w:line="173" w:lineRule="exact"/>
        <w:rPr>
          <w:sz w:val="20"/>
          <w:szCs w:val="20"/>
          <w:color w:val="auto"/>
        </w:rPr>
      </w:pPr>
    </w:p>
    <w:p>
      <w:pPr>
        <w:ind w:right="3239" w:firstLine="272"/>
        <w:spacing w:after="0" w:line="255" w:lineRule="auto"/>
        <w:tabs>
          <w:tab w:leader="none" w:pos="612"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proposal must be submitted to the shareholders of the corporation involved, the dissenting shareholder shall be a record holder of the shares of the corporation as to which he seeks relief as of the date fixed for the determination of shareholders entitled to notice of a meeting of the shareholders at which the proposal is to be submitted, and such shares shall not have been voted in favor of the proposal. Not later than ten days after the date on which the vote on the proposal was taken at the meeting of the shareholders, the dissenting shareholder shall deliver to the corporation a written demand for payment to him of the fair cash value of the shares as to which he seeks relief, which demand shall state his address, the number and class of such shares, and the amount claimed by him as the fair cash value of the shares.</w:t>
      </w:r>
    </w:p>
    <w:p>
      <w:pPr>
        <w:spacing w:after="0" w:line="164" w:lineRule="exact"/>
        <w:rPr>
          <w:rFonts w:ascii="Courier New" w:cs="Courier New" w:eastAsia="Courier New" w:hAnsi="Courier New"/>
          <w:sz w:val="14"/>
          <w:szCs w:val="14"/>
          <w:color w:val="auto"/>
        </w:rPr>
      </w:pPr>
    </w:p>
    <w:p>
      <w:pPr>
        <w:ind w:right="3239" w:firstLine="272"/>
        <w:spacing w:after="0" w:line="255" w:lineRule="auto"/>
        <w:tabs>
          <w:tab w:leader="none" w:pos="612"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dissenting shareholder entitled to relief under division (C) of section 1701.84 of the Revised Code in the case of a merger pursuant to section 1701.80 of the Revised Code and a dissenting shareholder entitled to relief under division (E) of section 1701.84 of the Revised Code in the case of a merger pursuant to section 1701.801 [1701.80.1] of the Revised Code shall be a record holder of the shares of the corporation as to which he seeks relief as of the date on which the agreement of merger was adopted by the directors of that corporation. Within twenty days after he has been sent the notice provided in section 1701.80 or 1701.801 [1701.80.1] of the Revised Code, the dissenting shareholder shall deliver to the corporation a written demand for payment with the same information as that provided for in division (A)(2) of this section.</w:t>
      </w:r>
    </w:p>
    <w:p>
      <w:pPr>
        <w:spacing w:after="0" w:line="164" w:lineRule="exact"/>
        <w:rPr>
          <w:rFonts w:ascii="Courier New" w:cs="Courier New" w:eastAsia="Courier New" w:hAnsi="Courier New"/>
          <w:sz w:val="14"/>
          <w:szCs w:val="14"/>
          <w:color w:val="auto"/>
        </w:rPr>
      </w:pPr>
    </w:p>
    <w:p>
      <w:pPr>
        <w:ind w:right="3239" w:firstLine="272"/>
        <w:spacing w:after="0" w:line="235" w:lineRule="auto"/>
        <w:tabs>
          <w:tab w:leader="none" w:pos="61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merger or consolidation, a demand served on the constituent corporation involved constitutes service on the surviving or the new entity, whether the demand is served before, on, or after the effective date of the merger or consolidation.</w:t>
      </w:r>
    </w:p>
    <w:p>
      <w:pPr>
        <w:spacing w:after="0" w:line="175" w:lineRule="exact"/>
        <w:rPr>
          <w:rFonts w:ascii="Courier New" w:cs="Courier New" w:eastAsia="Courier New" w:hAnsi="Courier New"/>
          <w:sz w:val="15"/>
          <w:szCs w:val="15"/>
          <w:color w:val="auto"/>
        </w:rPr>
      </w:pPr>
    </w:p>
    <w:p>
      <w:pPr>
        <w:ind w:right="3239" w:firstLine="272"/>
        <w:spacing w:after="0" w:line="254" w:lineRule="auto"/>
        <w:tabs>
          <w:tab w:leader="none" w:pos="612"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sends to the dissenting shareholder, at the address specified in his demand, a request for the certificates representing the shares as to which he seeks relief, the dissenting shareholder, within fifteen days from the date of the sending of such request, shall deliver to the corporation the certificates requested so that the corporation may forthwith endorse on them a legend to the effect that demand for the fair cash value of such shares has been made. The corporation promptly shall return such endorsed certificates to the dissenting shareholder. A dissenting shareholder's failure to deliver such certificates terminates his rights as a dissenting shareholder, at the option of the corporation, exercised by written notice sent to the dissenting shareholder within twenty days after the lapse of the fifteen-day period, unless a court for good cause shown otherwise directs. If shares represented by a certificate on which such a legend has been endorsed are transferred, each new certificate issued for them shall bear a similar legend, together with the name of the original dissenting holder of such shares. Upon receiving a demand for payment from a dissenting shareholder who is the record holder of uncertificated securities, the corporation shall make an appropriate notation of the demand for payment in its shareholder records. If uncertificated shares for which payment has been demanded are to be transferred, any new certificate issued for the shares shall bear the legend required for certificated securities as provided in this paragraph. A transferee of the shares so endorsed, or of uncertificated securities where such notation has been made, acquires only such rights in the corporation as the original dissenting holder of such shares had immediately after the service of a demand for payment of the fair cash value of the shares. A request under this paragraph by the corporation is not an admission by the corporation that the shareholder is entitled to relief under this section.</w:t>
      </w:r>
    </w:p>
    <w:p>
      <w:pPr>
        <w:spacing w:after="0" w:line="177" w:lineRule="exact"/>
        <w:rPr>
          <w:sz w:val="20"/>
          <w:szCs w:val="20"/>
          <w:color w:val="auto"/>
        </w:rPr>
      </w:pPr>
    </w:p>
    <w:p>
      <w:pPr>
        <w:ind w:right="3239" w:firstLine="272"/>
        <w:spacing w:after="0" w:line="237" w:lineRule="auto"/>
        <w:tabs>
          <w:tab w:leader="none" w:pos="61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corporation and the dissenting shareholder have come to an agreement on the fair cash value per share of the shares as to which the dissenting shareholder seeks relief, the dissenting shareholder or the corporation, which in case of a merger or consolidation may be the surviving or new entity, within three months after the service of the demand by the dissenting shareholder, may file a complaint in the court of common pleas of the county in which the principal office of the corporation that issued the shares is located or was located when the proposal was adopted by the shareholders of the corporation, or, if the proposal was not required to be submitted to the shareholders, was approved by the directors. Other dissenting shareholders, within that three-month period, may join as plaintiffs or may be joined as defendants in any such proceeding, and any two or more such proceedings may be consolidated. The complaint shall contain a brief statement of the facts, including the vote and the facts entitling the dissenting shareholder to the relief</w:t>
      </w:r>
    </w:p>
    <w:p>
      <w:pPr>
        <w:sectPr>
          <w:pgSz w:w="11900" w:h="16838" w:orient="portrait"/>
          <w:cols w:equalWidth="0" w:num="1">
            <w:col w:w="10239"/>
          </w:cols>
          <w:pgMar w:left="220" w:top="792" w:right="1440" w:bottom="1440" w:gutter="0" w:footer="0" w:header="0"/>
        </w:sectPr>
      </w:pPr>
    </w:p>
    <w:bookmarkStart w:id="176" w:name="page177"/>
    <w:bookmarkEnd w:id="176"/>
    <w:p>
      <w:pPr>
        <w:ind w:right="3239"/>
        <w:spacing w:after="0" w:line="254" w:lineRule="auto"/>
        <w:rPr>
          <w:sz w:val="20"/>
          <w:szCs w:val="20"/>
          <w:color w:val="auto"/>
        </w:rPr>
      </w:pPr>
      <w:r>
        <w:rPr>
          <w:rFonts w:ascii="Courier New" w:cs="Courier New" w:eastAsia="Courier New" w:hAnsi="Courier New"/>
          <w:sz w:val="14"/>
          <w:szCs w:val="14"/>
          <w:color w:val="auto"/>
        </w:rPr>
        <w:t>demanded. No answer to such a complaint is required. Upon the filing of such a complaint, the court, on motion of the petitioner, shall enter an order fixing a date for a hearing on the complaint and requiring that a copy of the complaint and a notice of the filing and of the date for hearing be given to the respondent or defendant in the manner in which summons is required to be served or substituted service is required to be made in other cases. On the day fixed for the hearing on the complaint or any adjournment of it, the court shall determine from the complaint and from such evidence as is submitted by either party whether the dissenting shareholder is entitled to be paid the fair cash value of any shares and, if so, the number and class of such shares. If the court finds that the dissenting shareholder is so entitled, the court may appoint one or more persons as appraisers to receive evidence and to recommend a decision on the amount of the fair cash value. The appraisers have such power and authority as is specified in the order of their appointment. The court thereupon shall make a finding as to the fair cash value of a share and shall render judgment against the corporation for the payment of it, with interest at such rate and from such date as the court considers equitable. The costs of the proceeding, including reasonable compensation to the appraisers to be fixed by the court, shall be assessed or apportioned as the court considers equitable. The proceeding is a special proceeding and final orders in it may be vacated, modified, or reversed on appeal pursuant to the Rules of Appellate Procedure and, to the extent not in conflict with those rules, Chapter 2505. of the Revised Code. If, during the pendency of any proceeding instituted under this section, a suit or proceeding is or has been instituted to enjoin or otherwise to prevent the carrying out of the action as to which the shareholder has dissented, the proceeding instituted under this section shall be stayed until the final determination of the other suit or proceeding. Unless any provision in division (D) of this section is applicable, the fair cash value of the shares that is agreed upon by the parties or fixed under this section shall be paid within thirty days after the date of final determination of such value under this division, the effective date of the amendment to the articles, or the consummation of the other action involved, whichever occurs last. Upon the occurrence of the last such event, payment shall be made immediately to a holder of uncertificated securities entitled to such payment. In the case of holders of shares represented by certificates, payment shall be made only upon and simultaneously with the surrender to the corporation of the certificates representing the shares for which the payment is made.</w:t>
      </w:r>
    </w:p>
    <w:p>
      <w:pPr>
        <w:spacing w:after="0" w:line="349" w:lineRule="exact"/>
        <w:rPr>
          <w:sz w:val="20"/>
          <w:szCs w:val="20"/>
          <w:color w:val="auto"/>
        </w:rPr>
      </w:pPr>
    </w:p>
    <w:p>
      <w:pPr>
        <w:ind w:right="3239" w:firstLine="272"/>
        <w:spacing w:after="0" w:line="237" w:lineRule="auto"/>
        <w:tabs>
          <w:tab w:leader="none" w:pos="61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proposal was required to be submitted to the shareholders of the corporation, fair cash value as to those shareholders shall be determined as of the day prior to the day on which the vote by the shareholders was taken and, in the case of a merger pursuant to section 1701.80 or 1701.801 [1701.80.1] of the Revised Code, fair cash value as to shareholders of a constituent subsidiary corporation shall be determined as of the day before the adoption of the agreement of merger by the directors of the particular subsidiary corporation. The fair cash value of a share for the purposes of this section is the amount that a willing seller who is under no compulsion to sell would be willing to accept and that a willing buyer who is under no compulsion to purchase would be willing to pay, but in no event shall the fair cash value of a share exceed the amount specified in the demand of the particular shareholder. In computing such fair cash value, any appreciation or depreciation in market value resulting from the proposal submitted to the directors or to the shareholders shall be excluded.</w:t>
      </w:r>
    </w:p>
    <w:p>
      <w:pPr>
        <w:spacing w:after="0" w:line="174" w:lineRule="exact"/>
        <w:rPr>
          <w:sz w:val="20"/>
          <w:szCs w:val="20"/>
          <w:color w:val="auto"/>
        </w:rPr>
      </w:pPr>
    </w:p>
    <w:p>
      <w:pPr>
        <w:ind w:right="3399" w:firstLine="262"/>
        <w:spacing w:after="0" w:line="256" w:lineRule="auto"/>
        <w:rPr>
          <w:sz w:val="20"/>
          <w:szCs w:val="20"/>
          <w:color w:val="auto"/>
        </w:rPr>
      </w:pPr>
      <w:r>
        <w:rPr>
          <w:rFonts w:ascii="Courier New" w:cs="Courier New" w:eastAsia="Courier New" w:hAnsi="Courier New"/>
          <w:sz w:val="14"/>
          <w:szCs w:val="14"/>
          <w:color w:val="auto"/>
        </w:rPr>
        <w:t>(D)(1) The right and obligation of a dissenting shareholder to receive such fair cash value and to sell such shares as to which he seeks relief, and the right and obligation of the corporation to purchase such shares and to pay the fair cash value of them terminates if any of the following applies:</w:t>
      </w:r>
    </w:p>
    <w:p>
      <w:pPr>
        <w:spacing w:after="0" w:line="164" w:lineRule="exact"/>
        <w:rPr>
          <w:sz w:val="20"/>
          <w:szCs w:val="20"/>
          <w:color w:val="auto"/>
        </w:rPr>
      </w:pPr>
    </w:p>
    <w:p>
      <w:pPr>
        <w:ind w:right="3239" w:firstLine="272"/>
        <w:spacing w:after="0" w:line="234" w:lineRule="auto"/>
        <w:tabs>
          <w:tab w:leader="none" w:pos="61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shareholder has not complied with this section, unless the corporation by its directors waives such failure;</w:t>
      </w:r>
    </w:p>
    <w:p>
      <w:pPr>
        <w:spacing w:after="0" w:line="173" w:lineRule="exact"/>
        <w:rPr>
          <w:rFonts w:ascii="Courier New" w:cs="Courier New" w:eastAsia="Courier New" w:hAnsi="Courier New"/>
          <w:sz w:val="15"/>
          <w:szCs w:val="15"/>
          <w:color w:val="auto"/>
        </w:rPr>
      </w:pPr>
    </w:p>
    <w:p>
      <w:pPr>
        <w:jc w:val="both"/>
        <w:ind w:right="3499" w:firstLine="272"/>
        <w:spacing w:after="0" w:line="235" w:lineRule="auto"/>
        <w:tabs>
          <w:tab w:leader="none" w:pos="61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abandons the action involved or is finally enjoined or prevented from carrying it out, or the shareholders rescind their adoption of the action involved;</w:t>
      </w:r>
    </w:p>
    <w:p>
      <w:pPr>
        <w:spacing w:after="0" w:line="173" w:lineRule="exact"/>
        <w:rPr>
          <w:rFonts w:ascii="Courier New" w:cs="Courier New" w:eastAsia="Courier New" w:hAnsi="Courier New"/>
          <w:sz w:val="15"/>
          <w:szCs w:val="15"/>
          <w:color w:val="auto"/>
        </w:rPr>
      </w:pPr>
    </w:p>
    <w:p>
      <w:pPr>
        <w:ind w:right="3319" w:firstLine="272"/>
        <w:spacing w:after="0" w:line="234" w:lineRule="auto"/>
        <w:tabs>
          <w:tab w:leader="none" w:pos="61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shareholder withdraws his demand, with the consent of the corporation by its directors;</w:t>
      </w:r>
    </w:p>
    <w:p>
      <w:pPr>
        <w:spacing w:after="0" w:line="173" w:lineRule="exact"/>
        <w:rPr>
          <w:rFonts w:ascii="Courier New" w:cs="Courier New" w:eastAsia="Courier New" w:hAnsi="Courier New"/>
          <w:sz w:val="15"/>
          <w:szCs w:val="15"/>
          <w:color w:val="auto"/>
        </w:rPr>
      </w:pPr>
    </w:p>
    <w:p>
      <w:pPr>
        <w:ind w:right="3399" w:firstLine="272"/>
        <w:spacing w:after="0" w:line="235" w:lineRule="auto"/>
        <w:tabs>
          <w:tab w:leader="none" w:pos="61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and the dissenting shareholder have not come to an agreement as to the fair cash value per share, and neither the shareholder nor the corporation has filed or joined in a complaint under division (B) of this section within the period provided in that division.</w:t>
      </w:r>
    </w:p>
    <w:p>
      <w:pPr>
        <w:spacing w:after="0" w:line="175" w:lineRule="exact"/>
        <w:rPr>
          <w:sz w:val="20"/>
          <w:szCs w:val="20"/>
          <w:color w:val="auto"/>
        </w:rPr>
      </w:pPr>
    </w:p>
    <w:p>
      <w:pPr>
        <w:ind w:right="3319" w:firstLine="272"/>
        <w:spacing w:after="0" w:line="236" w:lineRule="auto"/>
        <w:tabs>
          <w:tab w:leader="none" w:pos="61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division (D)(1) of this section, if the merger or consolidation has become effective and the surviving or new entity is not a corporation, action required to be taken by the directors of the corporation shall be taken by the general partners of a surviving or new partnership or the comparable representatives of any other surviving or new entity.</w:t>
      </w:r>
    </w:p>
    <w:p>
      <w:pPr>
        <w:sectPr>
          <w:pgSz w:w="11900" w:h="16838" w:orient="portrait"/>
          <w:cols w:equalWidth="0" w:num="1">
            <w:col w:w="10239"/>
          </w:cols>
          <w:pgMar w:left="220" w:top="624" w:right="1440" w:bottom="1440" w:gutter="0" w:footer="0" w:header="0"/>
        </w:sectPr>
      </w:pPr>
    </w:p>
    <w:bookmarkStart w:id="177" w:name="page178"/>
    <w:bookmarkEnd w:id="177"/>
    <w:p>
      <w:pPr>
        <w:ind w:left="-272" w:right="3239" w:firstLine="272"/>
        <w:spacing w:after="0" w:line="255" w:lineRule="auto"/>
        <w:tabs>
          <w:tab w:leader="none" w:pos="3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time of the dissenting shareholder's giving of the demand until either the termination of the rights and obligations arising from it or the purchase of the shares by the corporation, all other rights accruing from such shares, including voting and dividend or distribution rights, are suspended. If during the suspension, any dividend or distribution is paid in money upon shares of such class or any dividend, distribution, or interest is paid in money upon any securities issued in extinguishment of or in substitution for such shares, an amount equal to the dividend, distribution, or interest which, except for the suspension, would have been payable upon such shares or securities, shall be paid to the holder of record as a credit upon the fair cash value of the shares. If the right to receive fair cash value is terminated other than by the purchase of the shares by the corporation, all rights of the holder shall be restored and all distributions which, except for the suspension, would have been made shall be made to the holder of record of the shares at the time of termination.</w:t>
      </w:r>
    </w:p>
    <w:p>
      <w:pPr>
        <w:sectPr>
          <w:pgSz w:w="11900" w:h="16838" w:orient="portrait"/>
          <w:cols w:equalWidth="0" w:num="1">
            <w:col w:w="9967"/>
          </w:cols>
          <w:pgMar w:left="492" w:top="623" w:right="1440" w:bottom="1440" w:gutter="0" w:footer="0" w:header="0"/>
        </w:sectPr>
      </w:pPr>
    </w:p>
    <w:bookmarkStart w:id="178" w:name="page179"/>
    <w:bookmarkEnd w:id="178"/>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ind w:left="800"/>
        <w:spacing w:after="0"/>
        <w:tabs>
          <w:tab w:leader="none" w:pos="166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Ohio Revised Code, Section 1701.13(E), allows indemnification by the Registrant to any person made or threatened to be made a party to any proceedings, other than a proceeding by or in the right of the Registrant, by reason of the fact that he is or was a director, officer, employee or agent of the Registrant, against expenses, including judgment and fines, if he acted in good faith and in a manner reasonably believed to be in or not opposed to the best interests of the Registrant and, with respect to criminal actions, in which he had no reasonable cause to believe that his conduct was unlawful. Similar provisions apply to actions brought by or in the right of the Registrant, except that no indemnification shall be made in such cases when the person shall have been adjudged to be liable for negligence or misconduct to the Registrant unless deemed otherwise by the court. Indemnification may be authorized by a majority vote of a quorum of disinterested directors or upon the written opinion of independent counsel or by the shareholders or by court order. The Registrant's Code of Regulations extends such indemnification.</w:t>
      </w:r>
    </w:p>
    <w:p>
      <w:pPr>
        <w:spacing w:after="0" w:line="16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Registrant maintains, at its expense, Directors and Officers Liability and Company Reimbursement Liability Insurance. The Directors and Officers Liability portion of such policy covers all directors and officers of the Registrant and of the companies which are, directly or indirectly, more than 50% owned by the Registrant. The policy provides for payment on behalf of the directors and officers, up to the policy limits and after expenditure of a specified deductible, of all Loss (as defined) from claims made against them during the policy period for defined wrongful acts, which include errors, misstatements or misleading statements, acts or omissions and neglect or breach of duty by directors and officers in the discharge of their individual or collective duties as such. The insurance includes the cost of investigations and defenses, appeals and bonds and settlements and judgments, but not fines or penalties imposed by law. The insurance does not cover any claims arising out of acts alleged to have been committed prior to October 24, 1978. The insurer limit of liability under the policy is $175,000,000 in the aggregate for all losses each year subject to certain individual and aggregate deductibles. The policy contains various exclusions and reporting requirements.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ectPr>
          <w:pgSz w:w="11900" w:h="16838" w:orient="portrait"/>
          <w:cols w:equalWidth="0" w:num="1">
            <w:col w:w="10239"/>
          </w:cols>
          <w:pgMar w:left="220" w:top="1122" w:right="1440" w:bottom="349" w:gutter="0" w:footer="0" w:header="0"/>
        </w:sectPr>
      </w:pP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w:t>
      </w:r>
    </w:p>
    <w:p>
      <w:pPr>
        <w:ind w:left="800"/>
        <w:spacing w:after="0" w:line="237" w:lineRule="auto"/>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Document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1760" w:space="440"/>
            <w:col w:w="8039"/>
          </w:cols>
          <w:pgMar w:left="220" w:top="1122" w:right="1440" w:bottom="349" w:gutter="0" w:footer="0" w:header="0"/>
          <w:type w:val="continuous"/>
        </w:sectPr>
      </w:pPr>
    </w:p>
    <w:p>
      <w:pPr>
        <w:ind w:left="2200" w:right="3399" w:hanging="966"/>
        <w:spacing w:after="0" w:line="254" w:lineRule="auto"/>
        <w:tabs>
          <w:tab w:leader="none" w:pos="220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Reorganization and Merger among the Registrant, AFC Holding Company and American Financial Corporation (contained in Annex A to the</w:t>
      </w:r>
    </w:p>
    <w:p>
      <w:pPr>
        <w:ind w:left="2200"/>
        <w:spacing w:after="0" w:line="232" w:lineRule="auto"/>
        <w:rPr>
          <w:sz w:val="20"/>
          <w:szCs w:val="20"/>
          <w:color w:val="auto"/>
        </w:rPr>
      </w:pPr>
      <w:r>
        <w:rPr>
          <w:rFonts w:ascii="Courier New" w:cs="Courier New" w:eastAsia="Courier New" w:hAnsi="Courier New"/>
          <w:sz w:val="15"/>
          <w:szCs w:val="15"/>
          <w:color w:val="auto"/>
        </w:rPr>
        <w:t>proxy statement/prospectus)</w:t>
      </w:r>
    </w:p>
    <w:p>
      <w:pPr>
        <w:ind w:left="2200" w:hanging="966"/>
        <w:spacing w:after="0" w:line="237" w:lineRule="auto"/>
        <w:tabs>
          <w:tab w:leader="none" w:pos="220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Keating, Muething &amp; Klekamp, P.L.L.</w:t>
      </w:r>
    </w:p>
    <w:p>
      <w:pPr>
        <w:spacing w:after="0" w:line="5" w:lineRule="exact"/>
        <w:rPr>
          <w:sz w:val="20"/>
          <w:szCs w:val="20"/>
          <w:color w:val="auto"/>
        </w:rPr>
      </w:pPr>
    </w:p>
    <w:p>
      <w:pPr>
        <w:ind w:left="2200" w:right="3319" w:hanging="959"/>
        <w:spacing w:after="0" w:line="234" w:lineRule="auto"/>
        <w:tabs>
          <w:tab w:leader="none" w:pos="2180"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Opinion of Akin, Gump, Strauss, Hauer &amp; Feld LLP as to tax matters</w:t>
      </w:r>
    </w:p>
    <w:p>
      <w:pPr>
        <w:spacing w:after="0" w:line="5" w:lineRule="exact"/>
        <w:rPr>
          <w:sz w:val="20"/>
          <w:szCs w:val="20"/>
          <w:color w:val="auto"/>
        </w:rPr>
      </w:pPr>
    </w:p>
    <w:p>
      <w:pPr>
        <w:ind w:left="2200" w:right="3579" w:hanging="1053"/>
        <w:spacing w:after="0" w:line="254" w:lineRule="auto"/>
        <w:tabs>
          <w:tab w:leader="none" w:pos="220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ratios of earnings to fixed charges (incorporated by reference to the Registrant's Form</w:t>
      </w:r>
    </w:p>
    <w:tbl>
      <w:tblPr>
        <w:tblLayout w:type="fixed"/>
        <w:tblInd w:w="980" w:type="dxa"/>
        <w:tblCellMar>
          <w:top w:w="0" w:type="dxa"/>
          <w:left w:w="0" w:type="dxa"/>
          <w:bottom w:w="0" w:type="dxa"/>
          <w:right w:w="0" w:type="dxa"/>
        </w:tblCellMar>
      </w:tblPr>
      <w:tr>
        <w:trPr>
          <w:trHeight w:val="164"/>
        </w:trPr>
        <w:tc>
          <w:tcPr>
            <w:tcW w:w="820" w:type="dxa"/>
            <w:vAlign w:val="bottom"/>
          </w:tcPr>
          <w:p>
            <w:pPr>
              <w:spacing w:after="0"/>
              <w:rPr>
                <w:sz w:val="14"/>
                <w:szCs w:val="14"/>
                <w:color w:val="auto"/>
              </w:rPr>
            </w:pPr>
          </w:p>
        </w:tc>
        <w:tc>
          <w:tcPr>
            <w:tcW w:w="5120" w:type="dxa"/>
            <w:vAlign w:val="bottom"/>
            <w:gridSpan w:val="2"/>
          </w:tcPr>
          <w:p>
            <w:pPr>
              <w:ind w:left="400"/>
              <w:spacing w:after="0" w:line="164" w:lineRule="exact"/>
              <w:rPr>
                <w:sz w:val="20"/>
                <w:szCs w:val="20"/>
                <w:color w:val="auto"/>
              </w:rPr>
            </w:pPr>
            <w:r>
              <w:rPr>
                <w:rFonts w:ascii="Courier New" w:cs="Courier New" w:eastAsia="Courier New" w:hAnsi="Courier New"/>
                <w:sz w:val="15"/>
                <w:szCs w:val="15"/>
                <w:color w:val="auto"/>
                <w:w w:val="96"/>
              </w:rPr>
              <w:t>10-K for the year ended December 31, 2002, as amended)</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23.1</w:t>
            </w:r>
          </w:p>
        </w:tc>
        <w:tc>
          <w:tcPr>
            <w:tcW w:w="1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Consent of</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Keating, Muething &amp; Klekamp, P.L.L.</w:t>
            </w:r>
          </w:p>
        </w:tc>
      </w:tr>
      <w:tr>
        <w:trPr>
          <w:trHeight w:val="168"/>
        </w:trPr>
        <w:tc>
          <w:tcPr>
            <w:tcW w:w="820" w:type="dxa"/>
            <w:vAlign w:val="bottom"/>
          </w:tcPr>
          <w:p>
            <w:pPr>
              <w:spacing w:after="0"/>
              <w:rPr>
                <w:sz w:val="14"/>
                <w:szCs w:val="14"/>
                <w:color w:val="auto"/>
              </w:rPr>
            </w:pPr>
          </w:p>
        </w:tc>
        <w:tc>
          <w:tcPr>
            <w:tcW w:w="1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(contained</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Exhibit 5)</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23.2*</w:t>
            </w:r>
          </w:p>
        </w:tc>
        <w:tc>
          <w:tcPr>
            <w:tcW w:w="1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Consent of</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Akin, Gump, Strauss, Hauer and Feld LLP</w:t>
            </w:r>
          </w:p>
        </w:tc>
      </w:tr>
      <w:tr>
        <w:trPr>
          <w:trHeight w:val="168"/>
        </w:trPr>
        <w:tc>
          <w:tcPr>
            <w:tcW w:w="820" w:type="dxa"/>
            <w:vAlign w:val="bottom"/>
          </w:tcPr>
          <w:p>
            <w:pPr>
              <w:spacing w:after="0"/>
              <w:rPr>
                <w:sz w:val="14"/>
                <w:szCs w:val="14"/>
                <w:color w:val="auto"/>
              </w:rPr>
            </w:pPr>
          </w:p>
        </w:tc>
        <w:tc>
          <w:tcPr>
            <w:tcW w:w="1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(contained</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Exhibit 8)</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23.3</w:t>
            </w:r>
          </w:p>
        </w:tc>
        <w:tc>
          <w:tcPr>
            <w:tcW w:w="1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Consent of</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Ernst &amp; Young LLP</w:t>
            </w:r>
          </w:p>
        </w:tc>
      </w:tr>
    </w:tbl>
    <w:p>
      <w:pPr>
        <w:ind w:left="2200" w:hanging="1053"/>
        <w:spacing w:after="0" w:line="237" w:lineRule="auto"/>
        <w:tabs>
          <w:tab w:leader="none" w:pos="220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(contained on the signature page)</w:t>
      </w: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99.1</w:t>
      </w:r>
      <w:r>
        <w:rPr>
          <w:rFonts w:ascii="Courier New" w:cs="Courier New" w:eastAsia="Courier New" w:hAnsi="Courier New"/>
          <w:sz w:val="14"/>
          <w:szCs w:val="14"/>
          <w:color w:val="auto"/>
        </w:rPr>
        <w:t>Opinion of Duff &amp; Phelps (contained in Annex B to the</w:t>
      </w:r>
    </w:p>
    <w:p>
      <w:pPr>
        <w:ind w:left="2200"/>
        <w:spacing w:after="0" w:line="238" w:lineRule="auto"/>
        <w:rPr>
          <w:sz w:val="20"/>
          <w:szCs w:val="20"/>
          <w:color w:val="auto"/>
        </w:rPr>
      </w:pPr>
      <w:r>
        <w:rPr>
          <w:rFonts w:ascii="Courier New" w:cs="Courier New" w:eastAsia="Courier New" w:hAnsi="Courier New"/>
          <w:sz w:val="15"/>
          <w:szCs w:val="15"/>
          <w:color w:val="auto"/>
        </w:rPr>
        <w:t>proxy statement/prospectus)</w:t>
      </w:r>
    </w:p>
    <w:p>
      <w:pPr>
        <w:spacing w:after="0" w:line="5" w:lineRule="exact"/>
        <w:rPr>
          <w:sz w:val="20"/>
          <w:szCs w:val="20"/>
          <w:color w:val="auto"/>
        </w:rPr>
      </w:pPr>
    </w:p>
    <w:p>
      <w:pPr>
        <w:ind w:left="2200" w:right="3239" w:hanging="1223"/>
        <w:spacing w:after="0" w:line="234" w:lineRule="auto"/>
        <w:tabs>
          <w:tab w:leader="none" w:pos="218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Form of proxy for special meeting of American Financial Corporation</w:t>
      </w:r>
    </w:p>
    <w:p>
      <w:pPr>
        <w:spacing w:after="0" w:line="173" w:lineRule="exact"/>
        <w:rPr>
          <w:sz w:val="20"/>
          <w:szCs w:val="20"/>
          <w:color w:val="auto"/>
        </w:rPr>
      </w:pPr>
    </w:p>
    <w:p>
      <w:pPr>
        <w:ind w:right="7159" w:firstLine="797"/>
        <w:spacing w:after="0" w:line="465" w:lineRule="auto"/>
        <w:tabs>
          <w:tab w:leader="none" w:pos="96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Item 22. Undertakings.</w:t>
      </w:r>
    </w:p>
    <w:p>
      <w:pPr>
        <w:spacing w:after="0" w:line="7"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as follows: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sz w:val="20"/>
          <w:szCs w:val="20"/>
          <w:color w:val="auto"/>
        </w:rPr>
      </w:pPr>
    </w:p>
    <w:p>
      <w:pPr>
        <w:ind w:left="800" w:right="3319" w:firstLine="784"/>
        <w:spacing w:after="0" w:line="234" w:lineRule="auto"/>
        <w:tabs>
          <w:tab w:leader="none" w:pos="193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w:t>
      </w:r>
    </w:p>
    <w:p>
      <w:pPr>
        <w:spacing w:after="0" w:line="173" w:lineRule="exact"/>
        <w:rPr>
          <w:rFonts w:ascii="Courier New" w:cs="Courier New" w:eastAsia="Courier New" w:hAnsi="Courier New"/>
          <w:sz w:val="15"/>
          <w:szCs w:val="15"/>
          <w:color w:val="auto"/>
        </w:rPr>
      </w:pPr>
    </w:p>
    <w:p>
      <w:pPr>
        <w:ind w:left="800" w:right="3319" w:firstLine="784"/>
        <w:spacing w:after="0" w:line="236" w:lineRule="auto"/>
        <w:tabs>
          <w:tab w:leader="none" w:pos="2025"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for the most recent post-effective amendment thereof) which, individually or in the aggregate, represent a fundamental change in the information set forth in the Registration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1122" w:right="1440" w:bottom="349" w:gutter="0" w:footer="0" w:header="0"/>
          <w:type w:val="continuous"/>
        </w:sectPr>
      </w:pPr>
    </w:p>
    <w:bookmarkStart w:id="179" w:name="page180"/>
    <w:bookmarkEnd w:id="179"/>
    <w:p>
      <w:pPr>
        <w:ind w:left="800" w:right="3319"/>
        <w:spacing w:after="0" w:line="255" w:lineRule="auto"/>
        <w:rPr>
          <w:sz w:val="20"/>
          <w:szCs w:val="20"/>
          <w:color w:val="auto"/>
        </w:rPr>
      </w:pPr>
      <w:r>
        <w:rPr>
          <w:rFonts w:ascii="Courier New" w:cs="Courier New" w:eastAsia="Courier New" w:hAnsi="Courier New"/>
          <w:sz w:val="14"/>
          <w:szCs w:val="14"/>
          <w:color w:val="auto"/>
        </w:rPr>
        <w:t>Statement. Notwithstanding the foregoing, any increase or decrease in volume of securities offered (if the total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taking the effective registration statement.</w:t>
      </w:r>
    </w:p>
    <w:p>
      <w:pPr>
        <w:spacing w:after="0" w:line="165" w:lineRule="exact"/>
        <w:rPr>
          <w:sz w:val="20"/>
          <w:szCs w:val="20"/>
          <w:color w:val="auto"/>
        </w:rPr>
      </w:pPr>
    </w:p>
    <w:p>
      <w:pPr>
        <w:ind w:left="800" w:right="3319" w:firstLine="784"/>
        <w:spacing w:after="0" w:line="235" w:lineRule="auto"/>
        <w:tabs>
          <w:tab w:leader="none" w:pos="211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To remove from registration by means of post-effective amendment any of the securities being registered which remain unsold in the termination of the offering.</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6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That every prospectus (i) that is filed pursuant to paragraph 7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624" w:right="1440" w:bottom="1440" w:gutter="0" w:footer="0" w:header="0"/>
        </w:sectPr>
      </w:pPr>
    </w:p>
    <w:bookmarkStart w:id="180" w:name="page181"/>
    <w:bookmarkEnd w:id="180"/>
    <w:p>
      <w:pPr>
        <w:ind w:right="3239" w:firstLine="787"/>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provisions described under Item 20 above, or otherwise (other than insurance),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other than indemnification pursuant to court order and not including any coverage under, or agreement to pay premiums for, any policy of insurance,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624" w:right="1440" w:bottom="1440" w:gutter="0" w:footer="0" w:header="0"/>
        </w:sectPr>
      </w:pPr>
    </w:p>
    <w:bookmarkStart w:id="181" w:name="page182"/>
    <w:bookmarkEnd w:id="181"/>
    <w:p>
      <w:pPr>
        <w:jc w:val="center"/>
        <w:ind w:right="70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780"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Cincinnati, State of Ohio, on the 16th day of July, 2003.</w:t>
      </w:r>
    </w:p>
    <w:p>
      <w:pPr>
        <w:spacing w:after="0" w:line="169"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5"/>
          <w:szCs w:val="15"/>
          <w:color w:val="auto"/>
        </w:rPr>
        <w:t>AMERICAN FINANCIAL GROUP, INC.</w:t>
      </w:r>
    </w:p>
    <w:p>
      <w:pPr>
        <w:spacing w:after="0" w:line="200" w:lineRule="exact"/>
        <w:rPr>
          <w:sz w:val="20"/>
          <w:szCs w:val="20"/>
          <w:color w:val="auto"/>
        </w:rPr>
      </w:pPr>
    </w:p>
    <w:p>
      <w:pPr>
        <w:spacing w:after="0" w:line="303" w:lineRule="exact"/>
        <w:rPr>
          <w:sz w:val="20"/>
          <w:szCs w:val="20"/>
          <w:color w:val="auto"/>
        </w:rPr>
      </w:pPr>
    </w:p>
    <w:p>
      <w:pPr>
        <w:ind w:left="2720"/>
        <w:spacing w:after="0"/>
        <w:tabs>
          <w:tab w:leader="none" w:pos="34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Carl H. Lindner</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Carl H. Lindner</w:t>
      </w:r>
    </w:p>
    <w:p>
      <w:pPr>
        <w:ind w:left="3500"/>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173" w:lineRule="exact"/>
        <w:rPr>
          <w:sz w:val="20"/>
          <w:szCs w:val="20"/>
          <w:color w:val="auto"/>
        </w:rPr>
      </w:pPr>
    </w:p>
    <w:p>
      <w:pPr>
        <w:ind w:right="700" w:firstLine="787"/>
        <w:spacing w:after="0" w:line="254" w:lineRule="auto"/>
        <w:rPr>
          <w:sz w:val="20"/>
          <w:szCs w:val="20"/>
          <w:color w:val="auto"/>
        </w:rPr>
      </w:pPr>
      <w:r>
        <w:rPr>
          <w:rFonts w:ascii="Courier New" w:cs="Courier New" w:eastAsia="Courier New" w:hAnsi="Courier New"/>
          <w:sz w:val="14"/>
          <w:szCs w:val="14"/>
          <w:color w:val="auto"/>
        </w:rPr>
        <w:t>KNOW ALL PERSONS BY THESE PRESENTS, that each person whose signature appears below preceded by an "*" hereby constitutes and appoints James C. Kennedy and Karl J. Grafe, and each of them acting individually, his or her true and lawful attorney-in-fact and agent, each with full power of substitution and resubstitution, for him or her and in his or her name, place and stead, in any and all capacities, to sign any and all amendments (including post-effective amendments) to this Registration Statement and to sign any and all registration statements relating to the same offering of securities as this Registration Statement that are filed pursuant to Rule 462(b) promulgated under of the Securities Act of 1933, as amended, and to file the same, with all exhibits thereto, and other documents in connection therewith, with the Securities and Exchange Commission and any other regulatory authority, granting unto said attorney-in-fact and agent, full power and authority to do and perform each and every act and thing requisite and necessary to be done in connection therewith, as fully to all intents and purposes as such person might or could do in person, hereby ratifying and confirming all that said attorney-in-fact and agent, his substitute or substitutes, may lawfully do or cause to be done by virtue hereof.</w:t>
      </w:r>
    </w:p>
    <w:p>
      <w:pPr>
        <w:spacing w:after="0" w:line="174" w:lineRule="exact"/>
        <w:rPr>
          <w:sz w:val="20"/>
          <w:szCs w:val="20"/>
          <w:color w:val="auto"/>
        </w:rPr>
      </w:pPr>
    </w:p>
    <w:p>
      <w:pPr>
        <w:ind w:right="1300"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04" w:lineRule="exact"/>
        <w:rPr>
          <w:sz w:val="20"/>
          <w:szCs w:val="20"/>
          <w:color w:val="auto"/>
        </w:rPr>
      </w:pPr>
    </w:p>
    <w:p>
      <w:pPr>
        <w:ind w:left="1140"/>
        <w:spacing w:after="0"/>
        <w:tabs>
          <w:tab w:leader="none" w:pos="516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CAPACITY</w:t>
      </w:r>
    </w:p>
    <w:p>
      <w:pPr>
        <w:spacing w:after="0"/>
        <w:tabs>
          <w:tab w:leader="none" w:pos="37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Carl H. Lindner</w:t>
      </w:r>
      <w:r>
        <w:rPr>
          <w:sz w:val="20"/>
          <w:szCs w:val="20"/>
          <w:color w:val="auto"/>
        </w:rPr>
        <w:tab/>
      </w:r>
      <w:r>
        <w:rPr>
          <w:rFonts w:ascii="Courier New" w:cs="Courier New" w:eastAsia="Courier New" w:hAnsi="Courier New"/>
          <w:sz w:val="14"/>
          <w:szCs w:val="14"/>
          <w:color w:val="auto"/>
        </w:rPr>
        <w:t>Chairman of the Board of Directors</w:t>
      </w:r>
    </w:p>
    <w:p>
      <w:pPr>
        <w:spacing w:after="0"/>
        <w:tabs>
          <w:tab w:leader="none" w:pos="37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(principal executive officer)</w:t>
      </w:r>
    </w:p>
    <w:p>
      <w:pPr>
        <w:spacing w:after="0" w:line="238" w:lineRule="auto"/>
        <w:rPr>
          <w:sz w:val="20"/>
          <w:szCs w:val="20"/>
          <w:color w:val="auto"/>
        </w:rPr>
      </w:pPr>
      <w:r>
        <w:rPr>
          <w:rFonts w:ascii="Courier New" w:cs="Courier New" w:eastAsia="Courier New" w:hAnsi="Courier New"/>
          <w:sz w:val="15"/>
          <w:szCs w:val="15"/>
          <w:color w:val="auto"/>
        </w:rPr>
        <w:t>*Carl H. Lindner</w:t>
      </w:r>
    </w:p>
    <w:p>
      <w:pPr>
        <w:spacing w:after="0" w:line="200" w:lineRule="exact"/>
        <w:rPr>
          <w:sz w:val="20"/>
          <w:szCs w:val="20"/>
          <w:color w:val="auto"/>
        </w:rPr>
      </w:pPr>
    </w:p>
    <w:p>
      <w:pPr>
        <w:spacing w:after="0" w:line="303"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Carl H. Lindner III</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*Carl H. Lindner III</w:t>
      </w:r>
    </w:p>
    <w:p>
      <w:pPr>
        <w:spacing w:after="0" w:line="200" w:lineRule="exact"/>
        <w:rPr>
          <w:sz w:val="20"/>
          <w:szCs w:val="20"/>
          <w:color w:val="auto"/>
        </w:rPr>
      </w:pPr>
    </w:p>
    <w:p>
      <w:pPr>
        <w:spacing w:after="0" w:line="303"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S. Craig Lindner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 Craig Lindner</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July 16,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July 16,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July 16, 2003</w:t>
      </w:r>
    </w:p>
    <w:p>
      <w:pPr>
        <w:sectPr>
          <w:pgSz w:w="11900" w:h="16838" w:orient="portrait"/>
          <w:cols w:equalWidth="0" w:num="2">
            <w:col w:w="7700" w:space="360"/>
            <w:col w:w="2360"/>
          </w:cols>
          <w:pgMar w:left="220" w:top="785" w:right="125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Theodore H. Emmerich</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July 16, 2003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*Theodore H. Emmerich</w:t>
            </w:r>
          </w:p>
        </w:tc>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3"/>
        </w:trPr>
        <w:tc>
          <w:tcPr>
            <w:tcW w:w="3340" w:type="dxa"/>
            <w:vAlign w:val="bottom"/>
          </w:tcPr>
          <w:p>
            <w:pPr>
              <w:spacing w:after="0"/>
              <w:rPr>
                <w:sz w:val="20"/>
                <w:szCs w:val="20"/>
                <w:color w:val="auto"/>
              </w:rPr>
            </w:pPr>
            <w:r>
              <w:rPr>
                <w:rFonts w:ascii="Courier New" w:cs="Courier New" w:eastAsia="Courier New" w:hAnsi="Courier New"/>
                <w:sz w:val="15"/>
                <w:szCs w:val="15"/>
                <w:color w:val="auto"/>
              </w:rPr>
              <w:t>James E. Evans</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July 16, 2003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E. Evans</w:t>
            </w:r>
          </w:p>
        </w:tc>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3"/>
        </w:trPr>
        <w:tc>
          <w:tcPr>
            <w:tcW w:w="3340" w:type="dxa"/>
            <w:vAlign w:val="bottom"/>
          </w:tcPr>
          <w:p>
            <w:pPr>
              <w:spacing w:after="0"/>
              <w:rPr>
                <w:sz w:val="20"/>
                <w:szCs w:val="20"/>
                <w:color w:val="auto"/>
              </w:rPr>
            </w:pPr>
            <w:r>
              <w:rPr>
                <w:rFonts w:ascii="Courier New" w:cs="Courier New" w:eastAsia="Courier New" w:hAnsi="Courier New"/>
                <w:sz w:val="15"/>
                <w:szCs w:val="15"/>
                <w:color w:val="auto"/>
              </w:rPr>
              <w:t>Terry S. Jacobs</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July 16, 2003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*Terry S. Jacobs</w:t>
            </w:r>
          </w:p>
        </w:tc>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3"/>
        </w:trPr>
        <w:tc>
          <w:tcPr>
            <w:tcW w:w="3340" w:type="dxa"/>
            <w:vAlign w:val="bottom"/>
          </w:tcPr>
          <w:p>
            <w:pPr>
              <w:spacing w:after="0"/>
              <w:rPr>
                <w:sz w:val="20"/>
                <w:szCs w:val="20"/>
                <w:color w:val="auto"/>
              </w:rPr>
            </w:pPr>
            <w:r>
              <w:rPr>
                <w:rFonts w:ascii="Courier New" w:cs="Courier New" w:eastAsia="Courier New" w:hAnsi="Courier New"/>
                <w:sz w:val="15"/>
                <w:szCs w:val="15"/>
                <w:color w:val="auto"/>
              </w:rPr>
              <w:t>William R. Martin</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July 16, 2003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R. Martin</w:t>
            </w:r>
          </w:p>
        </w:tc>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3"/>
        </w:trPr>
        <w:tc>
          <w:tcPr>
            <w:tcW w:w="3340" w:type="dxa"/>
            <w:vAlign w:val="bottom"/>
          </w:tcPr>
          <w:p>
            <w:pPr>
              <w:spacing w:after="0"/>
              <w:rPr>
                <w:sz w:val="20"/>
                <w:szCs w:val="20"/>
                <w:color w:val="auto"/>
              </w:rPr>
            </w:pPr>
            <w:r>
              <w:rPr>
                <w:rFonts w:ascii="Courier New" w:cs="Courier New" w:eastAsia="Courier New" w:hAnsi="Courier New"/>
                <w:sz w:val="15"/>
                <w:szCs w:val="15"/>
                <w:color w:val="auto"/>
              </w:rPr>
              <w:t>William A. Shutzer</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July 16, 2003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A. Shutzer</w:t>
            </w:r>
          </w:p>
        </w:tc>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3"/>
        </w:trPr>
        <w:tc>
          <w:tcPr>
            <w:tcW w:w="3340" w:type="dxa"/>
            <w:vAlign w:val="bottom"/>
          </w:tcPr>
          <w:p>
            <w:pPr>
              <w:spacing w:after="0"/>
              <w:rPr>
                <w:sz w:val="20"/>
                <w:szCs w:val="20"/>
                <w:color w:val="auto"/>
              </w:rPr>
            </w:pPr>
            <w:r>
              <w:rPr>
                <w:rFonts w:ascii="Courier New" w:cs="Courier New" w:eastAsia="Courier New" w:hAnsi="Courier New"/>
                <w:sz w:val="15"/>
                <w:szCs w:val="15"/>
                <w:color w:val="auto"/>
              </w:rPr>
              <w:t>William W. Verity</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July 16, 2003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W. Verity</w:t>
            </w:r>
          </w:p>
        </w:tc>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3"/>
        </w:trPr>
        <w:tc>
          <w:tcPr>
            <w:tcW w:w="3340" w:type="dxa"/>
            <w:vAlign w:val="bottom"/>
          </w:tcPr>
          <w:p>
            <w:pPr>
              <w:spacing w:after="0"/>
              <w:rPr>
                <w:sz w:val="20"/>
                <w:szCs w:val="20"/>
                <w:color w:val="auto"/>
              </w:rPr>
            </w:pPr>
            <w:r>
              <w:rPr>
                <w:rFonts w:ascii="Courier New" w:cs="Courier New" w:eastAsia="Courier New" w:hAnsi="Courier New"/>
                <w:sz w:val="15"/>
                <w:szCs w:val="15"/>
                <w:color w:val="auto"/>
              </w:rPr>
              <w:t>Fred Runk</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Senior Vice President and Treasurer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July 16, 2003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 financial officer and principal</w:t>
            </w:r>
          </w:p>
        </w:tc>
        <w:tc>
          <w:tcPr>
            <w:tcW w:w="16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Fred J. Runk</w:t>
            </w:r>
          </w:p>
        </w:tc>
        <w:tc>
          <w:tcPr>
            <w:tcW w:w="4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accounting officer)</w:t>
            </w:r>
          </w:p>
        </w:tc>
        <w:tc>
          <w:tcPr>
            <w:tcW w:w="16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1122" w:right="1440" w:bottom="1440" w:gutter="0" w:footer="0" w:header="0"/>
        </w:sectPr>
      </w:pPr>
    </w:p>
    <w:bookmarkStart w:id="183" w:name="page184"/>
    <w:bookmarkEnd w:id="183"/>
    <w:p>
      <w:pPr>
        <w:ind w:left="1400"/>
        <w:spacing w:after="0"/>
        <w:rPr>
          <w:sz w:val="20"/>
          <w:szCs w:val="20"/>
          <w:color w:val="auto"/>
        </w:rPr>
      </w:pPr>
      <w:r>
        <w:rPr>
          <w:rFonts w:ascii="Courier New" w:cs="Courier New" w:eastAsia="Courier New" w:hAnsi="Courier New"/>
          <w:sz w:val="15"/>
          <w:szCs w:val="15"/>
          <w:color w:val="auto"/>
        </w:rPr>
        <w:t>[KEATING, MUETHING &amp; KLEKAMP, P.L.L. LETTERHEAD]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A. WEISS</w:t>
      </w:r>
    </w:p>
    <w:p>
      <w:pPr>
        <w:spacing w:after="0" w:line="237" w:lineRule="auto"/>
        <w:rPr>
          <w:sz w:val="20"/>
          <w:szCs w:val="20"/>
          <w:color w:val="auto"/>
        </w:rPr>
      </w:pPr>
      <w:r>
        <w:rPr>
          <w:rFonts w:ascii="Courier New" w:cs="Courier New" w:eastAsia="Courier New" w:hAnsi="Courier New"/>
          <w:sz w:val="15"/>
          <w:szCs w:val="15"/>
          <w:color w:val="auto"/>
        </w:rPr>
        <w:t>DIRECT DIAL: (513) 579-6599</w:t>
      </w:r>
    </w:p>
    <w:p>
      <w:pPr>
        <w:spacing w:after="0" w:line="238" w:lineRule="auto"/>
        <w:rPr>
          <w:sz w:val="20"/>
          <w:szCs w:val="20"/>
          <w:color w:val="auto"/>
        </w:rPr>
      </w:pPr>
      <w:r>
        <w:rPr>
          <w:rFonts w:ascii="Courier New" w:cs="Courier New" w:eastAsia="Courier New" w:hAnsi="Courier New"/>
          <w:sz w:val="15"/>
          <w:szCs w:val="15"/>
          <w:color w:val="auto"/>
        </w:rPr>
        <w:t>FACSIMILE: (513) 579-6457</w:t>
      </w:r>
    </w:p>
    <w:p>
      <w:pPr>
        <w:spacing w:after="0" w:line="237" w:lineRule="auto"/>
        <w:rPr>
          <w:sz w:val="20"/>
          <w:szCs w:val="20"/>
          <w:color w:val="auto"/>
        </w:rPr>
      </w:pPr>
      <w:r>
        <w:rPr>
          <w:rFonts w:ascii="Courier New" w:cs="Courier New" w:eastAsia="Courier New" w:hAnsi="Courier New"/>
          <w:sz w:val="15"/>
          <w:szCs w:val="15"/>
          <w:color w:val="auto"/>
        </w:rPr>
        <w:t>E-MAIL: MWEISS@KMKLAW.COM</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July 16,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Financial Group, Inc.</w:t>
      </w:r>
    </w:p>
    <w:p>
      <w:pPr>
        <w:spacing w:after="0" w:line="237" w:lineRule="auto"/>
        <w:rPr>
          <w:sz w:val="20"/>
          <w:szCs w:val="20"/>
          <w:color w:val="auto"/>
        </w:rPr>
      </w:pPr>
      <w:r>
        <w:rPr>
          <w:rFonts w:ascii="Courier New" w:cs="Courier New" w:eastAsia="Courier New" w:hAnsi="Courier New"/>
          <w:sz w:val="15"/>
          <w:szCs w:val="15"/>
          <w:color w:val="auto"/>
        </w:rPr>
        <w:t>One East Fourth Street</w:t>
      </w:r>
    </w:p>
    <w:p>
      <w:pPr>
        <w:spacing w:after="0"/>
        <w:tabs>
          <w:tab w:leader="none" w:pos="156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have acted as counsel to American Financial Group, Inc., an Ohio corporation (the "Company"), in with respect to a Registration Statement on Form S-4 (the "Registration Statement"), filed with the Securities and Exchange Commission (the "Commission") in connection with the issuance of shares of common stock, no par value, of the Company (the "Common Stock") in exchange for the outstanding Series J Preferred Stock of American Financial Corporation, an Ohio corporation ("AFC"), pursuant to the Agreement and Plan of Reorganization dated as of July 7, 2003 (the "Agreement") among the Company, AFC and AFC Holding Company. In our examination, we have assumed the genuineness of all signatures, the authenticity of all documents submitted to us as originals and the conformity with the original of all documents submitted to us as copies thereof.</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As your legal counsel, we have examined the proceedings taken, and are familiar with the proceedings proposed to be taken, in connection with the issuance of the Common Stock pursuant to the Agreement.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Based solely on the examination detailed above, we are of the opinion that the Company has taken all necessary and required corporate actions in connection with the issuance of Common Stock pursuant to the Agreement, and when issued under the terms set forth in the Agreement, the shares of Common Stock will be validly authorized, legally issued, fully paid and nonassessable shares of Common Stock of the Company free of any preemptive rights.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hereby consent to be named in the Registration Statement and the proxy statement/prospectus part thereof as the attorneys who have passed upon legal matters in connection with the issuance of the Common Stock and to the filing of this opinion as an exhibit to the Registration Statement. In giving such consent, we do not thereby admit that we come</w:t>
      </w:r>
    </w:p>
    <w:p>
      <w:pPr>
        <w:sectPr>
          <w:pgSz w:w="11900" w:h="16838" w:orient="portrait"/>
          <w:cols w:equalWidth="0" w:num="1">
            <w:col w:w="10239"/>
          </w:cols>
          <w:pgMar w:left="220" w:top="640"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5"/>
          <w:szCs w:val="15"/>
          <w:color w:val="auto"/>
        </w:rPr>
        <w:t>American Financial Group, Inc.</w:t>
      </w:r>
    </w:p>
    <w:p>
      <w:pPr>
        <w:spacing w:after="0" w:line="237" w:lineRule="auto"/>
        <w:rPr>
          <w:sz w:val="20"/>
          <w:szCs w:val="20"/>
          <w:color w:val="auto"/>
        </w:rPr>
      </w:pPr>
      <w:r>
        <w:rPr>
          <w:rFonts w:ascii="Courier New" w:cs="Courier New" w:eastAsia="Courier New" w:hAnsi="Courier New"/>
          <w:sz w:val="15"/>
          <w:szCs w:val="15"/>
          <w:color w:val="auto"/>
        </w:rPr>
        <w:t>July 16, 2003</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within the category of persons whose consent is required under Section 7 of the Act or the rules and regulations of the Securities and Exchange Commission thereunder.</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Sincerely yours,</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KEATING, MUETHING &amp; KLEKAMP, P.L.L.</w:t>
      </w:r>
    </w:p>
    <w:p>
      <w:pPr>
        <w:sectPr>
          <w:pgSz w:w="11900" w:h="16838" w:orient="portrait"/>
          <w:cols w:equalWidth="0" w:num="1">
            <w:col w:w="10239"/>
          </w:cols>
          <w:pgMar w:left="220" w:top="954"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Mark A. Weiss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Mark A. Weiss</w:t>
      </w:r>
    </w:p>
    <w:p>
      <w:pPr>
        <w:sectPr>
          <w:pgSz w:w="11900" w:h="16838" w:orient="portrait"/>
          <w:cols w:equalWidth="0" w:num="2">
            <w:col w:w="3420" w:space="0"/>
            <w:col w:w="6819"/>
          </w:cols>
          <w:pgMar w:left="220" w:top="954" w:right="1440" w:bottom="1440" w:gutter="0" w:footer="0" w:header="0"/>
          <w:type w:val="continuous"/>
        </w:sectPr>
      </w:pPr>
    </w:p>
    <w:bookmarkStart w:id="185" w:name="page186"/>
    <w:bookmarkEnd w:id="185"/>
    <w:p>
      <w:pPr>
        <w:jc w:val="right"/>
        <w:ind w:right="3239"/>
        <w:spacing w:after="0"/>
        <w:rPr>
          <w:sz w:val="20"/>
          <w:szCs w:val="20"/>
          <w:color w:val="auto"/>
        </w:rPr>
      </w:pPr>
      <w:r>
        <w:rPr>
          <w:rFonts w:ascii="Courier New" w:cs="Courier New" w:eastAsia="Courier New" w:hAnsi="Courier New"/>
          <w:sz w:val="15"/>
          <w:szCs w:val="15"/>
          <w:color w:val="auto"/>
        </w:rPr>
        <w:t>Exhibit 23.3</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(Form S-4) of American Financial Group, Inc. for the registration of its common stock and to the incorporation by reference therein of our report dated February 19, 2003, with respect to the financial statements and schedules of American Financials Group, Inc. included in its Annual Report (Form 10-K) for the year ended December 31, 2002, filed with the Securities and Exchange Commission.</w:t>
      </w:r>
    </w:p>
    <w:p>
      <w:pPr>
        <w:spacing w:after="0" w:line="33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 Ernst &amp; Young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Cincinnati, Ohio</w:t>
      </w:r>
    </w:p>
    <w:p>
      <w:pPr>
        <w:spacing w:after="0" w:line="237" w:lineRule="auto"/>
        <w:rPr>
          <w:sz w:val="20"/>
          <w:szCs w:val="20"/>
          <w:color w:val="auto"/>
        </w:rPr>
      </w:pPr>
      <w:r>
        <w:rPr>
          <w:rFonts w:ascii="Courier New" w:cs="Courier New" w:eastAsia="Courier New" w:hAnsi="Courier New"/>
          <w:sz w:val="15"/>
          <w:szCs w:val="15"/>
          <w:color w:val="auto"/>
        </w:rPr>
        <w:t>July 15, 2003</w:t>
      </w:r>
    </w:p>
    <w:sectPr>
      <w:pgSz w:w="11900" w:h="16838" w:orient="portrait"/>
      <w:cols w:equalWidth="0" w:num="1">
        <w:col w:w="10239"/>
      </w:cols>
      <w:pgMar w:left="22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E17E33"/>
    <w:multiLevelType w:val="hybridMultilevel"/>
    <w:lvl w:ilvl="0">
      <w:lvlJc w:val="left"/>
      <w:lvlText w:val="(%1)"/>
      <w:numFmt w:val="decimal"/>
      <w:start w:val="1"/>
    </w:lvl>
  </w:abstractNum>
  <w:abstractNum w:abstractNumId="1">
    <w:nsid w:val="3222E7CD"/>
    <w:multiLevelType w:val="hybridMultilevel"/>
    <w:lvl w:ilvl="0">
      <w:lvlJc w:val="left"/>
      <w:lvlText w:val="(%1)"/>
      <w:numFmt w:val="decimal"/>
      <w:start w:val="513"/>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1:"/>
      <w:numFmt w:val="upperLetter"/>
      <w:start w:val="17"/>
    </w:lvl>
  </w:abstractNum>
  <w:abstractNum w:abstractNumId="4">
    <w:nsid w:val="2DF6D648"/>
    <w:multiLevelType w:val="hybridMultilevel"/>
    <w:lvl w:ilvl="0">
      <w:lvlJc w:val="left"/>
      <w:lvlText w:val="%1:"/>
      <w:numFmt w:val="upperLetter"/>
      <w:start w:val="1"/>
    </w:lvl>
  </w:abstractNum>
  <w:abstractNum w:abstractNumId="5">
    <w:nsid w:val="46B7D447"/>
    <w:multiLevelType w:val="hybridMultilevel"/>
    <w:lvl w:ilvl="0">
      <w:lvlJc w:val="left"/>
      <w:lvlText w:val="%1:"/>
      <w:numFmt w:val="upperLetter"/>
      <w:start w:val="17"/>
    </w:lvl>
  </w:abstractNum>
  <w:abstractNum w:abstractNumId="6">
    <w:nsid w:val="4A2AC315"/>
    <w:multiLevelType w:val="hybridMultilevel"/>
    <w:lvl w:ilvl="0">
      <w:lvlJc w:val="left"/>
      <w:lvlText w:val="%1:"/>
      <w:numFmt w:val="upperLetter"/>
      <w:start w:val="1"/>
    </w:lvl>
  </w:abstractNum>
  <w:abstractNum w:abstractNumId="7">
    <w:nsid w:val="39EE015C"/>
    <w:multiLevelType w:val="hybridMultilevel"/>
    <w:lvl w:ilvl="0">
      <w:lvlJc w:val="left"/>
      <w:lvlText w:val="%1:"/>
      <w:numFmt w:val="upperLetter"/>
      <w:start w:val="17"/>
    </w:lvl>
  </w:abstractNum>
  <w:abstractNum w:abstractNumId="8">
    <w:nsid w:val="57FC4FBB"/>
    <w:multiLevelType w:val="hybridMultilevel"/>
    <w:lvl w:ilvl="0">
      <w:lvlJc w:val="left"/>
      <w:lvlText w:val="%1:"/>
      <w:numFmt w:val="upperLetter"/>
      <w:start w:val="1"/>
    </w:lvl>
  </w:abstractNum>
  <w:abstractNum w:abstractNumId="9">
    <w:nsid w:val="CC1016F"/>
    <w:multiLevelType w:val="hybridMultilevel"/>
    <w:lvl w:ilvl="0">
      <w:lvlJc w:val="left"/>
      <w:lvlText w:val="%1:"/>
      <w:numFmt w:val="upperLetter"/>
      <w:start w:val="17"/>
    </w:lvl>
  </w:abstractNum>
  <w:abstractNum w:abstractNumId="10">
    <w:nsid w:val="43F18422"/>
    <w:multiLevelType w:val="hybridMultilevel"/>
    <w:lvl w:ilvl="0">
      <w:lvlJc w:val="left"/>
      <w:lvlText w:val="%1:"/>
      <w:numFmt w:val="upperLetter"/>
      <w:start w:val="1"/>
    </w:lvl>
  </w:abstractNum>
  <w:abstractNum w:abstractNumId="11">
    <w:nsid w:val="60EF0119"/>
    <w:multiLevelType w:val="hybridMultilevel"/>
    <w:lvl w:ilvl="0">
      <w:lvlJc w:val="left"/>
      <w:lvlText w:val="%1:"/>
      <w:numFmt w:val="upperLetter"/>
      <w:start w:val="17"/>
    </w:lvl>
  </w:abstractNum>
  <w:abstractNum w:abstractNumId="12">
    <w:nsid w:val="26F324BA"/>
    <w:multiLevelType w:val="hybridMultilevel"/>
    <w:lvl w:ilvl="0">
      <w:lvlJc w:val="left"/>
      <w:lvlText w:val="%1:"/>
      <w:numFmt w:val="upperLetter"/>
      <w:start w:val="1"/>
    </w:lvl>
  </w:abstractNum>
  <w:abstractNum w:abstractNumId="13">
    <w:nsid w:val="7F01579B"/>
    <w:multiLevelType w:val="hybridMultilevel"/>
    <w:lvl w:ilvl="0">
      <w:lvlJc w:val="left"/>
      <w:lvlText w:val="%1."/>
      <w:numFmt w:val="upperLetter"/>
      <w:start w:val="17"/>
    </w:lvl>
  </w:abstractNum>
  <w:abstractNum w:abstractNumId="14">
    <w:nsid w:val="49DA307D"/>
    <w:multiLevelType w:val="hybridMultilevel"/>
    <w:lvl w:ilvl="0">
      <w:lvlJc w:val="left"/>
      <w:lvlText w:val="%1."/>
      <w:numFmt w:val="upperLetter"/>
      <w:start w:val="1"/>
    </w:lvl>
  </w:abstractNum>
  <w:abstractNum w:abstractNumId="15">
    <w:nsid w:val="7055A5F5"/>
    <w:multiLevelType w:val="hybridMultilevel"/>
    <w:lvl w:ilvl="0">
      <w:lvlJc w:val="left"/>
      <w:lvlText w:val="%1."/>
      <w:numFmt w:val="upperLetter"/>
      <w:start w:val="17"/>
    </w:lvl>
  </w:abstractNum>
  <w:abstractNum w:abstractNumId="16">
    <w:nsid w:val="5FB8370B"/>
    <w:multiLevelType w:val="hybridMultilevel"/>
    <w:lvl w:ilvl="0">
      <w:lvlJc w:val="left"/>
      <w:lvlText w:val="%1."/>
      <w:numFmt w:val="upperLetter"/>
      <w:start w:val="1"/>
    </w:lvl>
  </w:abstractNum>
  <w:abstractNum w:abstractNumId="17">
    <w:nsid w:val="50801EE1"/>
    <w:multiLevelType w:val="hybridMultilevel"/>
    <w:lvl w:ilvl="0">
      <w:lvlJc w:val="left"/>
      <w:lvlText w:val="%1:"/>
      <w:numFmt w:val="upperLetter"/>
      <w:start w:val="17"/>
    </w:lvl>
  </w:abstractNum>
  <w:abstractNum w:abstractNumId="18">
    <w:nsid w:val="488AC1A"/>
    <w:multiLevelType w:val="hybridMultilevel"/>
    <w:lvl w:ilvl="0">
      <w:lvlJc w:val="left"/>
      <w:lvlText w:val="%1:"/>
      <w:numFmt w:val="upperLetter"/>
      <w:start w:val="1"/>
    </w:lvl>
  </w:abstractNum>
  <w:abstractNum w:abstractNumId="19">
    <w:nsid w:val="5FB8011C"/>
    <w:multiLevelType w:val="hybridMultilevel"/>
    <w:lvl w:ilvl="0">
      <w:lvlJc w:val="left"/>
      <w:lvlText w:val="%1:"/>
      <w:numFmt w:val="upperLetter"/>
      <w:start w:val="17"/>
    </w:lvl>
  </w:abstractNum>
  <w:abstractNum w:abstractNumId="20">
    <w:nsid w:val="6AA78F7F"/>
    <w:multiLevelType w:val="hybridMultilevel"/>
    <w:lvl w:ilvl="0">
      <w:lvlJc w:val="left"/>
      <w:lvlText w:val="%1:"/>
      <w:numFmt w:val="upperLetter"/>
      <w:start w:val="1"/>
    </w:lvl>
  </w:abstractNum>
  <w:abstractNum w:abstractNumId="21">
    <w:nsid w:val="7672BD23"/>
    <w:multiLevelType w:val="hybridMultilevel"/>
    <w:lvl w:ilvl="0">
      <w:lvlJc w:val="left"/>
      <w:lvlText w:val="%1:"/>
      <w:numFmt w:val="upperLetter"/>
      <w:start w:val="17"/>
    </w:lvl>
  </w:abstractNum>
  <w:abstractNum w:abstractNumId="22">
    <w:nsid w:val="6FC75AF8"/>
    <w:multiLevelType w:val="hybridMultilevel"/>
    <w:lvl w:ilvl="0">
      <w:lvlJc w:val="left"/>
      <w:lvlText w:val="%1:"/>
      <w:numFmt w:val="upperLetter"/>
      <w:start w:val="1"/>
    </w:lvl>
  </w:abstractNum>
  <w:abstractNum w:abstractNumId="23">
    <w:nsid w:val="6A5F7029"/>
    <w:multiLevelType w:val="hybridMultilevel"/>
    <w:lvl w:ilvl="0">
      <w:lvlJc w:val="left"/>
      <w:lvlText w:val="%1."/>
      <w:numFmt w:val="upperLetter"/>
      <w:start w:val="17"/>
    </w:lvl>
  </w:abstractNum>
  <w:abstractNum w:abstractNumId="24">
    <w:nsid w:val="7D5E18F8"/>
    <w:multiLevelType w:val="hybridMultilevel"/>
    <w:lvl w:ilvl="0">
      <w:lvlJc w:val="left"/>
      <w:lvlText w:val="%1."/>
      <w:numFmt w:val="upperLetter"/>
      <w:start w:val="1"/>
    </w:lvl>
  </w:abstractNum>
  <w:abstractNum w:abstractNumId="25">
    <w:nsid w:val="5F3534A4"/>
    <w:multiLevelType w:val="hybridMultilevel"/>
    <w:lvl w:ilvl="0">
      <w:lvlJc w:val="left"/>
      <w:lvlText w:val="%1."/>
      <w:numFmt w:val="upperLetter"/>
      <w:start w:val="17"/>
    </w:lvl>
  </w:abstractNum>
  <w:abstractNum w:abstractNumId="26">
    <w:nsid w:val="73A1821B"/>
    <w:multiLevelType w:val="hybridMultilevel"/>
    <w:lvl w:ilvl="0">
      <w:lvlJc w:val="left"/>
      <w:lvlText w:val="%1."/>
      <w:numFmt w:val="upperLetter"/>
      <w:start w:val="1"/>
    </w:lvl>
  </w:abstractNum>
  <w:abstractNum w:abstractNumId="27">
    <w:nsid w:val="7DE67713"/>
    <w:multiLevelType w:val="hybridMultilevel"/>
    <w:lvl w:ilvl="0">
      <w:lvlJc w:val="left"/>
      <w:lvlText w:val="%1:"/>
      <w:numFmt w:val="upperLetter"/>
      <w:start w:val="17"/>
    </w:lvl>
  </w:abstractNum>
  <w:abstractNum w:abstractNumId="28">
    <w:nsid w:val="555C55B5"/>
    <w:multiLevelType w:val="hybridMultilevel"/>
    <w:lvl w:ilvl="0">
      <w:lvlJc w:val="left"/>
      <w:lvlText w:val="%1:"/>
      <w:numFmt w:val="upperLetter"/>
      <w:start w:val="1"/>
    </w:lvl>
  </w:abstractNum>
  <w:abstractNum w:abstractNumId="29">
    <w:nsid w:val="3FA62ACA"/>
    <w:multiLevelType w:val="hybridMultilevel"/>
    <w:lvl w:ilvl="0">
      <w:lvlJc w:val="left"/>
      <w:lvlText w:val="%1."/>
      <w:numFmt w:val="upperLetter"/>
      <w:start w:val="17"/>
    </w:lvl>
  </w:abstractNum>
  <w:abstractNum w:abstractNumId="30">
    <w:nsid w:val="14FCE74E"/>
    <w:multiLevelType w:val="hybridMultilevel"/>
    <w:lvl w:ilvl="0">
      <w:lvlJc w:val="left"/>
      <w:lvlText w:val="%1."/>
      <w:numFmt w:val="upperLetter"/>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
      <w:numFmt w:val="bullet"/>
      <w:start w:val="1"/>
    </w:lvl>
  </w:abstractNum>
  <w:abstractNum w:abstractNumId="33">
    <w:nsid w:val="9DAF632"/>
    <w:multiLevelType w:val="hybridMultilevel"/>
    <w:lvl w:ilvl="0">
      <w:lvlJc w:val="left"/>
      <w:lvlText w:val="-"/>
      <w:numFmt w:val="bullet"/>
      <w:start w:val="1"/>
    </w:lvl>
  </w:abstractNum>
  <w:abstractNum w:abstractNumId="34">
    <w:nsid w:val="53299938"/>
    <w:multiLevelType w:val="hybridMultilevel"/>
    <w:lvl w:ilvl="0">
      <w:lvlJc w:val="left"/>
      <w:lvlText w:val="-"/>
      <w:numFmt w:val="bullet"/>
      <w:start w:val="1"/>
    </w:lvl>
  </w:abstractNum>
  <w:abstractNum w:abstractNumId="35">
    <w:nsid w:val="1FBFE8E0"/>
    <w:multiLevelType w:val="hybridMultilevel"/>
    <w:lvl w:ilvl="0">
      <w:lvlJc w:val="left"/>
      <w:lvlText w:val="-"/>
      <w:numFmt w:val="bullet"/>
      <w:start w:val="1"/>
    </w:lvl>
  </w:abstractNum>
  <w:abstractNum w:abstractNumId="36">
    <w:nsid w:val="5092CA79"/>
    <w:multiLevelType w:val="hybridMultilevel"/>
    <w:lvl w:ilvl="0">
      <w:lvlJc w:val="left"/>
      <w:lvlText w:val="-"/>
      <w:numFmt w:val="bullet"/>
      <w:start w:val="1"/>
    </w:lvl>
  </w:abstractNum>
  <w:abstractNum w:abstractNumId="37">
    <w:nsid w:val="1D545C4D"/>
    <w:multiLevelType w:val="hybridMultilevel"/>
    <w:lvl w:ilvl="0">
      <w:lvlJc w:val="left"/>
      <w:lvlText w:val="-"/>
      <w:numFmt w:val="bullet"/>
      <w:start w:val="1"/>
    </w:lvl>
  </w:abstractNum>
  <w:abstractNum w:abstractNumId="38">
    <w:nsid w:val="59ADEA3D"/>
    <w:multiLevelType w:val="hybridMultilevel"/>
    <w:lvl w:ilvl="0">
      <w:lvlJc w:val="left"/>
      <w:lvlText w:val="-"/>
      <w:numFmt w:val="bullet"/>
      <w:start w:val="1"/>
    </w:lvl>
  </w:abstractNum>
  <w:abstractNum w:abstractNumId="39">
    <w:nsid w:val="288F1A34"/>
    <w:multiLevelType w:val="hybridMultilevel"/>
    <w:lvl w:ilvl="0">
      <w:lvlJc w:val="left"/>
      <w:lvlText w:val="-"/>
      <w:numFmt w:val="bullet"/>
      <w:start w:val="1"/>
    </w:lvl>
  </w:abstractNum>
  <w:abstractNum w:abstractNumId="40">
    <w:nsid w:val="2A155DBC"/>
    <w:multiLevelType w:val="hybridMultilevel"/>
    <w:lvl w:ilvl="0">
      <w:lvlJc w:val="left"/>
      <w:lvlText w:val="(%1)"/>
      <w:numFmt w:val="lowerLetter"/>
      <w:start w:val="1"/>
    </w:lvl>
  </w:abstractNum>
  <w:abstractNum w:abstractNumId="41">
    <w:nsid w:val="1D9F6E5F"/>
    <w:multiLevelType w:val="hybridMultilevel"/>
    <w:lvl w:ilvl="0">
      <w:lvlJc w:val="left"/>
      <w:lvlText w:val="(%1)"/>
      <w:numFmt w:val="lowerLetter"/>
      <w:start w:val="1"/>
    </w:lvl>
  </w:abstractNum>
  <w:abstractNum w:abstractNumId="42">
    <w:nsid w:val="97E1B4E"/>
    <w:multiLevelType w:val="hybridMultilevel"/>
    <w:lvl w:ilvl="0">
      <w:lvlJc w:val="left"/>
      <w:lvlText w:val="(%1)"/>
      <w:numFmt w:val="lowerLetter"/>
      <w:start w:val="2"/>
    </w:lvl>
  </w:abstractNum>
  <w:abstractNum w:abstractNumId="43">
    <w:nsid w:val="51088277"/>
    <w:multiLevelType w:val="hybridMultilevel"/>
    <w:lvl w:ilvl="0">
      <w:lvlJc w:val="left"/>
      <w:lvlText w:val="(%1)"/>
      <w:numFmt w:val="lowerRoman"/>
      <w:start w:val="1"/>
    </w:lvl>
  </w:abstractNum>
  <w:abstractNum w:abstractNumId="44">
    <w:nsid w:val="1CA0C5FA"/>
    <w:multiLevelType w:val="hybridMultilevel"/>
    <w:lvl w:ilvl="0">
      <w:lvlJc w:val="left"/>
      <w:lvlText w:val="(%1)"/>
      <w:numFmt w:val="decimal"/>
      <w:start w:val="1"/>
    </w:lvl>
  </w:abstractNum>
  <w:abstractNum w:abstractNumId="45">
    <w:nsid w:val="53584BCB"/>
    <w:multiLevelType w:val="hybridMultilevel"/>
    <w:lvl w:ilvl="0">
      <w:lvlJc w:val="left"/>
      <w:lvlText w:val="(%1)"/>
      <w:numFmt w:val="decimal"/>
      <w:start w:val="6"/>
    </w:lvl>
  </w:abstractNum>
  <w:abstractNum w:abstractNumId="46">
    <w:nsid w:val="415E286C"/>
    <w:multiLevelType w:val="hybridMultilevel"/>
    <w:lvl w:ilvl="0">
      <w:lvlJc w:val="left"/>
      <w:lvlText w:val="(*)"/>
      <w:numFmt w:val="bullet"/>
      <w:start w:val="1"/>
    </w:lvl>
  </w:abstractNum>
  <w:abstractNum w:abstractNumId="47">
    <w:nsid w:val="7C58FD05"/>
    <w:multiLevelType w:val="hybridMultilevel"/>
    <w:lvl w:ilvl="0">
      <w:lvlJc w:val="left"/>
      <w:lvlText w:val="-"/>
      <w:numFmt w:val="bullet"/>
      <w:start w:val="1"/>
    </w:lvl>
  </w:abstractNum>
  <w:abstractNum w:abstractNumId="48">
    <w:nsid w:val="23D86AAC"/>
    <w:multiLevelType w:val="hybridMultilevel"/>
    <w:lvl w:ilvl="0">
      <w:lvlJc w:val="left"/>
      <w:lvlText w:val="(%1)"/>
      <w:numFmt w:val="decimal"/>
      <w:start w:val="1"/>
    </w:lvl>
  </w:abstractNum>
  <w:abstractNum w:abstractNumId="49">
    <w:nsid w:val="45E6D486"/>
    <w:multiLevelType w:val="hybridMultilevel"/>
    <w:lvl w:ilvl="0">
      <w:lvlJc w:val="left"/>
      <w:lvlText w:val="-"/>
      <w:numFmt w:val="bullet"/>
      <w:start w:val="1"/>
    </w:lvl>
  </w:abstractNum>
  <w:abstractNum w:abstractNumId="50">
    <w:nsid w:val="5C10FE21"/>
    <w:multiLevelType w:val="hybridMultilevel"/>
    <w:lvl w:ilvl="0">
      <w:lvlJc w:val="left"/>
      <w:lvlText w:val="-"/>
      <w:numFmt w:val="bullet"/>
      <w:start w:val="1"/>
    </w:lvl>
  </w:abstractNum>
  <w:abstractNum w:abstractNumId="51">
    <w:nsid w:val="E7FFA2B"/>
    <w:multiLevelType w:val="hybridMultilevel"/>
    <w:lvl w:ilvl="0">
      <w:lvlJc w:val="left"/>
      <w:lvlText w:val="&amp;"/>
      <w:numFmt w:val="bullet"/>
      <w:start w:val="1"/>
    </w:lvl>
  </w:abstractNum>
  <w:abstractNum w:abstractNumId="52">
    <w:nsid w:val="3C5991AA"/>
    <w:multiLevelType w:val="hybridMultilevel"/>
    <w:lvl w:ilvl="0">
      <w:lvlJc w:val="left"/>
      <w:lvlText w:val="&amp;"/>
      <w:numFmt w:val="bullet"/>
      <w:start w:val="1"/>
    </w:lvl>
  </w:abstractNum>
  <w:abstractNum w:abstractNumId="53">
    <w:nsid w:val="4BD8591A"/>
    <w:multiLevelType w:val="hybridMultilevel"/>
    <w:lvl w:ilvl="0">
      <w:lvlJc w:val="left"/>
      <w:lvlText w:val="-"/>
      <w:numFmt w:val="bullet"/>
      <w:start w:val="1"/>
    </w:lvl>
  </w:abstractNum>
  <w:abstractNum w:abstractNumId="54">
    <w:nsid w:val="78DF6A55"/>
    <w:multiLevelType w:val="hybridMultilevel"/>
    <w:lvl w:ilvl="0">
      <w:lvlJc w:val="left"/>
      <w:lvlText w:val="-"/>
      <w:numFmt w:val="bullet"/>
      <w:start w:val="1"/>
    </w:lvl>
  </w:abstractNum>
  <w:abstractNum w:abstractNumId="55">
    <w:nsid w:val="39B7AAA2"/>
    <w:multiLevelType w:val="hybridMultilevel"/>
    <w:lvl w:ilvl="0">
      <w:lvlJc w:val="left"/>
      <w:lvlText w:val="-"/>
      <w:numFmt w:val="bullet"/>
      <w:start w:val="1"/>
    </w:lvl>
  </w:abstractNum>
  <w:abstractNum w:abstractNumId="56">
    <w:nsid w:val="2B0D8DBE"/>
    <w:multiLevelType w:val="hybridMultilevel"/>
    <w:lvl w:ilvl="0">
      <w:lvlJc w:val="left"/>
      <w:lvlText w:val="(%1)"/>
      <w:numFmt w:val="lowerRoman"/>
      <w:start w:val="1"/>
    </w:lvl>
  </w:abstractNum>
  <w:abstractNum w:abstractNumId="57">
    <w:nsid w:val="6C80EC70"/>
    <w:multiLevelType w:val="hybridMultilevel"/>
    <w:lvl w:ilvl="0">
      <w:lvlJc w:val="left"/>
      <w:lvlText w:val="-"/>
      <w:numFmt w:val="bullet"/>
      <w:start w:val="1"/>
    </w:lvl>
  </w:abstractNum>
  <w:abstractNum w:abstractNumId="58">
    <w:nsid w:val="379E21B5"/>
    <w:multiLevelType w:val="hybridMultilevel"/>
    <w:lvl w:ilvl="0">
      <w:lvlJc w:val="left"/>
      <w:lvlText w:val="-"/>
      <w:numFmt w:val="bullet"/>
      <w:start w:val="1"/>
    </w:lvl>
  </w:abstractNum>
  <w:abstractNum w:abstractNumId="59">
    <w:nsid w:val="69E373"/>
    <w:multiLevelType w:val="hybridMultilevel"/>
    <w:lvl w:ilvl="0">
      <w:lvlJc w:val="left"/>
      <w:lvlText w:val="-"/>
      <w:numFmt w:val="bullet"/>
      <w:start w:val="1"/>
    </w:lvl>
  </w:abstractNum>
  <w:abstractNum w:abstractNumId="60">
    <w:nsid w:val="2C27173B"/>
    <w:multiLevelType w:val="hybridMultilevel"/>
    <w:lvl w:ilvl="0">
      <w:lvlJc w:val="left"/>
      <w:lvlText w:val="-"/>
      <w:numFmt w:val="bullet"/>
      <w:start w:val="1"/>
    </w:lvl>
  </w:abstractNum>
  <w:abstractNum w:abstractNumId="61">
    <w:nsid w:val="4C9B0904"/>
    <w:multiLevelType w:val="hybridMultilevel"/>
    <w:lvl w:ilvl="0">
      <w:lvlJc w:val="left"/>
      <w:lvlText w:val="-"/>
      <w:numFmt w:val="bullet"/>
      <w:start w:val="1"/>
    </w:lvl>
  </w:abstractNum>
  <w:abstractNum w:abstractNumId="62">
    <w:nsid w:val="6AA7B75C"/>
    <w:multiLevelType w:val="hybridMultilevel"/>
    <w:lvl w:ilvl="0">
      <w:lvlJc w:val="left"/>
      <w:lvlText w:val="-"/>
      <w:numFmt w:val="bullet"/>
      <w:start w:val="1"/>
    </w:lvl>
  </w:abstractNum>
  <w:abstractNum w:abstractNumId="63">
    <w:nsid w:val="1DF029D3"/>
    <w:multiLevelType w:val="hybridMultilevel"/>
    <w:lvl w:ilvl="0">
      <w:lvlJc w:val="left"/>
      <w:lvlText w:val="-"/>
      <w:numFmt w:val="bullet"/>
      <w:start w:val="1"/>
    </w:lvl>
  </w:abstractNum>
  <w:abstractNum w:abstractNumId="64">
    <w:nsid w:val="5675FF36"/>
    <w:multiLevelType w:val="hybridMultilevel"/>
    <w:lvl w:ilvl="0">
      <w:lvlJc w:val="left"/>
      <w:lvlText w:val="-"/>
      <w:numFmt w:val="bullet"/>
      <w:start w:val="1"/>
    </w:lvl>
  </w:abstractNum>
  <w:abstractNum w:abstractNumId="65">
    <w:nsid w:val="3DD15094"/>
    <w:multiLevelType w:val="hybridMultilevel"/>
    <w:lvl w:ilvl="0">
      <w:lvlJc w:val="left"/>
      <w:lvlText w:val="-"/>
      <w:numFmt w:val="bullet"/>
      <w:start w:val="1"/>
    </w:lvl>
  </w:abstractNum>
  <w:abstractNum w:abstractNumId="66">
    <w:nsid w:val="3DB012B3"/>
    <w:multiLevelType w:val="hybridMultilevel"/>
    <w:lvl w:ilvl="0">
      <w:lvlJc w:val="left"/>
      <w:lvlText w:val="-"/>
      <w:numFmt w:val="bullet"/>
      <w:start w:val="1"/>
    </w:lvl>
  </w:abstractNum>
  <w:abstractNum w:abstractNumId="67">
    <w:nsid w:val="2708C9AF"/>
    <w:multiLevelType w:val="hybridMultilevel"/>
    <w:lvl w:ilvl="0">
      <w:lvlJc w:val="left"/>
      <w:lvlText w:val="-"/>
      <w:numFmt w:val="bullet"/>
      <w:start w:val="1"/>
    </w:lvl>
  </w:abstractNum>
  <w:abstractNum w:abstractNumId="68">
    <w:nsid w:val="5B25ACE2"/>
    <w:multiLevelType w:val="hybridMultilevel"/>
    <w:lvl w:ilvl="0">
      <w:lvlJc w:val="left"/>
      <w:lvlText w:val="-"/>
      <w:numFmt w:val="bullet"/>
      <w:start w:val="1"/>
    </w:lvl>
  </w:abstractNum>
  <w:abstractNum w:abstractNumId="69">
    <w:nsid w:val="175DFCF0"/>
    <w:multiLevelType w:val="hybridMultilevel"/>
    <w:lvl w:ilvl="0">
      <w:lvlJc w:val="left"/>
      <w:lvlText w:val="-"/>
      <w:numFmt w:val="bullet"/>
      <w:start w:val="1"/>
    </w:lvl>
  </w:abstractNum>
  <w:abstractNum w:abstractNumId="70">
    <w:nsid w:val="4F97E3E4"/>
    <w:multiLevelType w:val="hybridMultilevel"/>
    <w:lvl w:ilvl="0">
      <w:lvlJc w:val="left"/>
      <w:lvlText w:val="-"/>
      <w:numFmt w:val="bullet"/>
      <w:start w:val="1"/>
    </w:lvl>
  </w:abstractNum>
  <w:abstractNum w:abstractNumId="71">
    <w:nsid w:val="53B0A9E"/>
    <w:multiLevelType w:val="hybridMultilevel"/>
    <w:lvl w:ilvl="0">
      <w:lvlJc w:val="left"/>
      <w:lvlText w:val="-"/>
      <w:numFmt w:val="bullet"/>
      <w:start w:val="1"/>
    </w:lvl>
  </w:abstractNum>
  <w:abstractNum w:abstractNumId="72">
    <w:nsid w:val="34FD6B4F"/>
    <w:multiLevelType w:val="hybridMultilevel"/>
    <w:lvl w:ilvl="0">
      <w:lvlJc w:val="left"/>
      <w:lvlText w:val="-"/>
      <w:numFmt w:val="bullet"/>
      <w:start w:val="1"/>
    </w:lvl>
  </w:abstractNum>
  <w:abstractNum w:abstractNumId="73">
    <w:nsid w:val="5915FF32"/>
    <w:multiLevelType w:val="hybridMultilevel"/>
    <w:lvl w:ilvl="0">
      <w:lvlJc w:val="left"/>
      <w:lvlText w:val="-"/>
      <w:numFmt w:val="bullet"/>
      <w:start w:val="1"/>
    </w:lvl>
  </w:abstractNum>
  <w:abstractNum w:abstractNumId="74">
    <w:nsid w:val="56438D15"/>
    <w:multiLevelType w:val="hybridMultilevel"/>
    <w:lvl w:ilvl="0">
      <w:lvlJc w:val="left"/>
      <w:lvlText w:val="-"/>
      <w:numFmt w:val="bullet"/>
      <w:start w:val="1"/>
    </w:lvl>
  </w:abstractNum>
  <w:abstractNum w:abstractNumId="75">
    <w:nsid w:val="519E3149"/>
    <w:multiLevelType w:val="hybridMultilevel"/>
    <w:lvl w:ilvl="0">
      <w:lvlJc w:val="left"/>
      <w:lvlText w:val="(%1)"/>
      <w:numFmt w:val="decimal"/>
      <w:start w:val="513"/>
    </w:lvl>
  </w:abstractNum>
  <w:abstractNum w:abstractNumId="76">
    <w:nsid w:val="2C6E4AFD"/>
    <w:multiLevelType w:val="hybridMultilevel"/>
    <w:lvl w:ilvl="0">
      <w:lvlJc w:val="left"/>
      <w:lvlText w:val="-"/>
      <w:numFmt w:val="bullet"/>
      <w:start w:val="1"/>
    </w:lvl>
  </w:abstractNum>
  <w:abstractNum w:abstractNumId="77">
    <w:nsid w:val="17A1B582"/>
    <w:multiLevelType w:val="hybridMultilevel"/>
    <w:lvl w:ilvl="0">
      <w:lvlJc w:val="left"/>
      <w:lvlText w:val="(%1)"/>
      <w:numFmt w:val="lowerLetter"/>
      <w:start w:val="1"/>
    </w:lvl>
  </w:abstractNum>
  <w:abstractNum w:abstractNumId="78">
    <w:nsid w:val="4DF72E4E"/>
    <w:multiLevelType w:val="hybridMultilevel"/>
    <w:lvl w:ilvl="0">
      <w:lvlJc w:val="left"/>
      <w:lvlText w:val="(%1)"/>
      <w:numFmt w:val="decimal"/>
      <w:start w:val="1"/>
    </w:lvl>
  </w:abstractNum>
  <w:abstractNum w:abstractNumId="79">
    <w:nsid w:val="5046B5A9"/>
    <w:multiLevelType w:val="hybridMultilevel"/>
    <w:lvl w:ilvl="0">
      <w:lvlJc w:val="left"/>
      <w:lvlText w:val="(%1)"/>
      <w:numFmt w:val="decimal"/>
      <w:start w:val="2"/>
    </w:lvl>
  </w:abstractNum>
  <w:abstractNum w:abstractNumId="80">
    <w:nsid w:val="5D888A08"/>
    <w:multiLevelType w:val="hybridMultilevel"/>
    <w:lvl w:ilvl="0">
      <w:lvlJc w:val="left"/>
      <w:lvlText w:val="-"/>
      <w:numFmt w:val="bullet"/>
      <w:start w:val="1"/>
    </w:lvl>
  </w:abstractNum>
  <w:abstractNum w:abstractNumId="81">
    <w:nsid w:val="2A082C70"/>
    <w:multiLevelType w:val="hybridMultilevel"/>
    <w:lvl w:ilvl="0">
      <w:lvlJc w:val="left"/>
      <w:lvlText w:val="-"/>
      <w:numFmt w:val="bullet"/>
      <w:start w:val="1"/>
    </w:lvl>
  </w:abstractNum>
  <w:abstractNum w:abstractNumId="82">
    <w:nsid w:val="5EC6AFD4"/>
    <w:multiLevelType w:val="hybridMultilevel"/>
    <w:lvl w:ilvl="0">
      <w:lvlJc w:val="left"/>
      <w:lvlText w:val="-"/>
      <w:numFmt w:val="bullet"/>
      <w:start w:val="1"/>
    </w:lvl>
  </w:abstractNum>
  <w:abstractNum w:abstractNumId="83">
    <w:nsid w:val="19E21BB2"/>
    <w:multiLevelType w:val="hybridMultilevel"/>
    <w:lvl w:ilvl="0">
      <w:lvlJc w:val="left"/>
      <w:lvlText w:val="(%1)"/>
      <w:numFmt w:val="lowerLetter"/>
      <w:start w:val="1"/>
    </w:lvl>
  </w:abstractNum>
  <w:abstractNum w:abstractNumId="84">
    <w:nsid w:val="75E0858A"/>
    <w:multiLevelType w:val="hybridMultilevel"/>
    <w:lvl w:ilvl="0">
      <w:lvlJc w:val="left"/>
      <w:lvlText w:val="(%1)"/>
      <w:numFmt w:val="lowerLetter"/>
      <w:start w:val="1"/>
    </w:lvl>
  </w:abstractNum>
  <w:abstractNum w:abstractNumId="85">
    <w:nsid w:val="57A61A29"/>
    <w:multiLevelType w:val="hybridMultilevel"/>
    <w:lvl w:ilvl="0">
      <w:lvlJc w:val="left"/>
      <w:lvlText w:val="-"/>
      <w:numFmt w:val="bullet"/>
      <w:start w:val="1"/>
    </w:lvl>
  </w:abstractNum>
  <w:abstractNum w:abstractNumId="86">
    <w:nsid w:val="5399C654"/>
    <w:multiLevelType w:val="hybridMultilevel"/>
    <w:lvl w:ilvl="0">
      <w:lvlJc w:val="left"/>
      <w:lvlText w:val="-"/>
      <w:numFmt w:val="bullet"/>
      <w:start w:val="1"/>
    </w:lvl>
  </w:abstractNum>
  <w:abstractNum w:abstractNumId="87">
    <w:nsid w:val="20EE1348"/>
    <w:multiLevelType w:val="hybridMultilevel"/>
    <w:lvl w:ilvl="0">
      <w:lvlJc w:val="left"/>
      <w:lvlText w:val="%1."/>
      <w:numFmt w:val="upperLetter"/>
      <w:start w:val="1"/>
    </w:lvl>
    <w:lvl w:ilvl="1">
      <w:lvlJc w:val="left"/>
      <w:lvlText w:val="(%2)"/>
      <w:numFmt w:val="lowerRoman"/>
      <w:start w:val="1"/>
    </w:lvl>
  </w:abstractNum>
  <w:abstractNum w:abstractNumId="88">
    <w:nsid w:val="4427069A"/>
    <w:multiLevelType w:val="hybridMultilevel"/>
    <w:lvl w:ilvl="0">
      <w:lvlJc w:val="left"/>
      <w:lvlText w:val="(%1)"/>
      <w:numFmt w:val="lowerLetter"/>
      <w:start w:val="3"/>
    </w:lvl>
  </w:abstractNum>
  <w:abstractNum w:abstractNumId="89">
    <w:nsid w:val="B37E80A"/>
    <w:multiLevelType w:val="hybridMultilevel"/>
    <w:lvl w:ilvl="0">
      <w:lvlJc w:val="left"/>
      <w:lvlText w:val="(%1)"/>
      <w:numFmt w:val="lowerLetter"/>
      <w:start w:val="5"/>
    </w:lvl>
  </w:abstractNum>
  <w:abstractNum w:abstractNumId="90">
    <w:nsid w:val="2157F6BC"/>
    <w:multiLevelType w:val="hybridMultilevel"/>
    <w:lvl w:ilvl="0">
      <w:lvlJc w:val="left"/>
      <w:lvlText w:val="(%1)"/>
      <w:numFmt w:val="lowerRoman"/>
      <w:start w:val="1"/>
    </w:lvl>
  </w:abstractNum>
  <w:abstractNum w:abstractNumId="91">
    <w:nsid w:val="704E1DD5"/>
    <w:multiLevelType w:val="hybridMultilevel"/>
    <w:lvl w:ilvl="0">
      <w:lvlJc w:val="left"/>
      <w:lvlText w:val="%1."/>
      <w:numFmt w:val="upperLetter"/>
      <w:start w:val="2"/>
    </w:lvl>
  </w:abstractNum>
  <w:abstractNum w:abstractNumId="92">
    <w:nsid w:val="57D2F10E"/>
    <w:multiLevelType w:val="hybridMultilevel"/>
    <w:lvl w:ilvl="0">
      <w:lvlJc w:val="left"/>
      <w:lvlText w:val="%1."/>
      <w:numFmt w:val="upperLetter"/>
      <w:start w:val="3"/>
    </w:lvl>
  </w:abstractNum>
  <w:abstractNum w:abstractNumId="93">
    <w:nsid w:val="BFFAE18"/>
    <w:multiLevelType w:val="hybridMultilevel"/>
    <w:lvl w:ilvl="0">
      <w:lvlJc w:val="left"/>
      <w:lvlText w:val="%1."/>
      <w:numFmt w:val="upperLetter"/>
      <w:start w:val="4"/>
    </w:lvl>
  </w:abstractNum>
  <w:abstractNum w:abstractNumId="94">
    <w:nsid w:val="E3E47A8"/>
    <w:multiLevelType w:val="hybridMultilevel"/>
    <w:lvl w:ilvl="0">
      <w:lvlJc w:val="left"/>
      <w:lvlText w:val="%1."/>
      <w:numFmt w:val="upperLetter"/>
      <w:start w:val="5"/>
    </w:lvl>
  </w:abstractNum>
  <w:abstractNum w:abstractNumId="95">
    <w:nsid w:val="2E48F044"/>
    <w:multiLevelType w:val="hybridMultilevel"/>
    <w:lvl w:ilvl="0">
      <w:lvlJc w:val="left"/>
      <w:lvlText w:val="%1."/>
      <w:numFmt w:val="upperLetter"/>
      <w:start w:val="6"/>
    </w:lvl>
  </w:abstractNum>
  <w:abstractNum w:abstractNumId="96">
    <w:nsid w:val="49D0FEAC"/>
    <w:multiLevelType w:val="hybridMultilevel"/>
    <w:lvl w:ilvl="0">
      <w:lvlJc w:val="left"/>
      <w:lvlText w:val="%1."/>
      <w:numFmt w:val="upperLetter"/>
      <w:start w:val="8"/>
    </w:lvl>
  </w:abstractNum>
  <w:abstractNum w:abstractNumId="97">
    <w:nsid w:val="4BEE5A5B"/>
    <w:multiLevelType w:val="hybridMultilevel"/>
    <w:lvl w:ilvl="0">
      <w:lvlJc w:val="left"/>
      <w:lvlText w:val="$"/>
      <w:numFmt w:val="bullet"/>
      <w:start w:val="1"/>
    </w:lvl>
  </w:abstractNum>
  <w:abstractNum w:abstractNumId="98">
    <w:nsid w:val="5551B9F3"/>
    <w:multiLevelType w:val="hybridMultilevel"/>
    <w:lvl w:ilvl="0">
      <w:lvlJc w:val="left"/>
      <w:lvlText w:val="%1."/>
      <w:numFmt w:val="upperLetter"/>
      <w:start w:val="10"/>
    </w:lvl>
  </w:abstractNum>
  <w:abstractNum w:abstractNumId="99">
    <w:nsid w:val="24F6AB8E"/>
    <w:multiLevelType w:val="hybridMultilevel"/>
    <w:lvl w:ilvl="0">
      <w:lvlJc w:val="left"/>
      <w:lvlText w:val="%1)"/>
      <w:numFmt w:val="lowerLetter"/>
      <w:start w:val="1"/>
    </w:lvl>
  </w:abstractNum>
  <w:abstractNum w:abstractNumId="100">
    <w:nsid w:val="634C574C"/>
    <w:multiLevelType w:val="hybridMultilevel"/>
    <w:lvl w:ilvl="0">
      <w:lvlJc w:val="left"/>
      <w:lvlText w:val="(%1)"/>
      <w:numFmt w:val="lowerRoman"/>
      <w:start w:val="1"/>
    </w:lvl>
  </w:abstractNum>
  <w:abstractNum w:abstractNumId="101">
    <w:nsid w:val="24E99DD7"/>
    <w:multiLevelType w:val="hybridMultilevel"/>
    <w:lvl w:ilvl="0">
      <w:lvlJc w:val="left"/>
      <w:lvlText w:val="(%1)"/>
      <w:numFmt w:val="lowerLetter"/>
      <w:start w:val="1"/>
    </w:lvl>
  </w:abstractNum>
  <w:abstractNum w:abstractNumId="102">
    <w:nsid w:val="2A31B62D"/>
    <w:multiLevelType w:val="hybridMultilevel"/>
    <w:lvl w:ilvl="0">
      <w:lvlJc w:val="left"/>
      <w:lvlText w:val="(%1)"/>
      <w:numFmt w:val="lowerLetter"/>
      <w:start w:val="1"/>
    </w:lvl>
  </w:abstractNum>
  <w:abstractNum w:abstractNumId="103">
    <w:nsid w:val="1849C29B"/>
    <w:multiLevelType w:val="hybridMultilevel"/>
    <w:lvl w:ilvl="0">
      <w:lvlJc w:val="left"/>
      <w:lvlText w:val="(*)"/>
      <w:numFmt w:val="bullet"/>
      <w:start w:val="1"/>
    </w:lvl>
  </w:abstractNum>
  <w:abstractNum w:abstractNumId="104">
    <w:nsid w:val="7DFF9D09"/>
    <w:multiLevelType w:val="hybridMultilevel"/>
    <w:lvl w:ilvl="0">
      <w:lvlJc w:val="left"/>
      <w:lvlText w:val="%1."/>
      <w:numFmt w:val="upperLetter"/>
      <w:start w:val="8"/>
    </w:lvl>
  </w:abstractNum>
  <w:abstractNum w:abstractNumId="105">
    <w:nsid w:val="754342"/>
    <w:multiLevelType w:val="hybridMultilevel"/>
    <w:lvl w:ilvl="0">
      <w:lvlJc w:val="left"/>
      <w:lvlText w:val="%1."/>
      <w:numFmt w:val="upperLetter"/>
      <w:start w:val="1"/>
    </w:lvl>
  </w:abstractNum>
  <w:abstractNum w:abstractNumId="106">
    <w:nsid w:val="69E7F3E5"/>
    <w:multiLevelType w:val="hybridMultilevel"/>
    <w:lvl w:ilvl="0">
      <w:lvlJc w:val="left"/>
      <w:lvlText w:val="(%1)"/>
      <w:numFmt w:val="lowerRoman"/>
      <w:start w:val="1"/>
    </w:lvl>
  </w:abstractNum>
  <w:abstractNum w:abstractNumId="107">
    <w:nsid w:val="2A6DE806"/>
    <w:multiLevelType w:val="hybridMultilevel"/>
    <w:lvl w:ilvl="0">
      <w:lvlJc w:val="left"/>
      <w:lvlText w:val="%1."/>
      <w:numFmt w:val="upperLetter"/>
      <w:start w:val="2"/>
    </w:lvl>
  </w:abstractNum>
  <w:abstractNum w:abstractNumId="108">
    <w:nsid w:val="1816F8C4"/>
    <w:multiLevelType w:val="hybridMultilevel"/>
    <w:lvl w:ilvl="0">
      <w:lvlJc w:val="left"/>
      <w:lvlText w:val="%1."/>
      <w:numFmt w:val="upperLetter"/>
      <w:start w:val="3"/>
    </w:lvl>
  </w:abstractNum>
  <w:abstractNum w:abstractNumId="109">
    <w:nsid w:val="37DF2233"/>
    <w:multiLevelType w:val="hybridMultilevel"/>
    <w:lvl w:ilvl="0">
      <w:lvlJc w:val="left"/>
      <w:lvlText w:val="(%1)"/>
      <w:numFmt w:val="lowerLetter"/>
      <w:start w:val="1"/>
    </w:lvl>
  </w:abstractNum>
  <w:abstractNum w:abstractNumId="110">
    <w:nsid w:val="7AB49DAF"/>
    <w:multiLevelType w:val="hybridMultilevel"/>
    <w:lvl w:ilvl="0">
      <w:lvlJc w:val="left"/>
      <w:lvlText w:val="%1."/>
      <w:numFmt w:val="upperLetter"/>
      <w:start w:val="4"/>
    </w:lvl>
  </w:abstractNum>
  <w:abstractNum w:abstractNumId="111">
    <w:nsid w:val="759F82CD"/>
    <w:multiLevelType w:val="hybridMultilevel"/>
    <w:lvl w:ilvl="0">
      <w:lvlJc w:val="left"/>
      <w:lvlText w:val="%1."/>
      <w:numFmt w:val="upperLetter"/>
      <w:start w:val="5"/>
    </w:lvl>
  </w:abstractNum>
  <w:abstractNum w:abstractNumId="112">
    <w:nsid w:val="61E74EA3"/>
    <w:multiLevelType w:val="hybridMultilevel"/>
    <w:lvl w:ilvl="0">
      <w:lvlJc w:val="left"/>
      <w:lvlText w:val="%1."/>
      <w:numFmt w:val="upperLetter"/>
      <w:start w:val="6"/>
    </w:lvl>
  </w:abstractNum>
  <w:abstractNum w:abstractNumId="113">
    <w:nsid w:val="597B4D84"/>
    <w:multiLevelType w:val="hybridMultilevel"/>
    <w:lvl w:ilvl="0">
      <w:lvlJc w:val="left"/>
      <w:lvlText w:val="%1."/>
      <w:numFmt w:val="upperLetter"/>
      <w:start w:val="7"/>
    </w:lvl>
  </w:abstractNum>
  <w:abstractNum w:abstractNumId="114">
    <w:nsid w:val="F819E7F"/>
    <w:multiLevelType w:val="hybridMultilevel"/>
    <w:lvl w:ilvl="0">
      <w:lvlJc w:val="left"/>
      <w:lvlText w:val="%1."/>
      <w:numFmt w:val="upperLetter"/>
      <w:start w:val="8"/>
    </w:lvl>
  </w:abstractNum>
  <w:abstractNum w:abstractNumId="115">
    <w:nsid w:val="57C7D42D"/>
    <w:multiLevelType w:val="hybridMultilevel"/>
    <w:lvl w:ilvl="0">
      <w:lvlJc w:val="left"/>
      <w:lvlText w:val="%1."/>
      <w:numFmt w:val="upperLetter"/>
      <w:start w:val="9"/>
    </w:lvl>
  </w:abstractNum>
  <w:abstractNum w:abstractNumId="116">
    <w:nsid w:val="312167AD"/>
    <w:multiLevelType w:val="hybridMultilevel"/>
    <w:lvl w:ilvl="0">
      <w:lvlJc w:val="left"/>
      <w:lvlText w:val="%1."/>
      <w:numFmt w:val="upperLetter"/>
      <w:start w:val="10"/>
    </w:lvl>
  </w:abstractNum>
  <w:abstractNum w:abstractNumId="117">
    <w:nsid w:val="631B64D4"/>
    <w:multiLevelType w:val="hybridMultilevel"/>
    <w:lvl w:ilvl="0">
      <w:lvlJc w:val="left"/>
      <w:lvlText w:val="%1."/>
      <w:numFmt w:val="upperLetter"/>
      <w:start w:val="11"/>
    </w:lvl>
  </w:abstractNum>
  <w:abstractNum w:abstractNumId="118">
    <w:nsid w:val="78B5E776"/>
    <w:multiLevelType w:val="hybridMultilevel"/>
    <w:lvl w:ilvl="0">
      <w:lvlJc w:val="left"/>
      <w:lvlText w:val="%1."/>
      <w:numFmt w:val="upperLetter"/>
      <w:start w:val="13"/>
    </w:lvl>
  </w:abstractNum>
  <w:abstractNum w:abstractNumId="119">
    <w:nsid w:val="75486E47"/>
    <w:multiLevelType w:val="hybridMultilevel"/>
    <w:lvl w:ilvl="0">
      <w:lvlJc w:val="left"/>
      <w:lvlText w:val="%1."/>
      <w:numFmt w:val="upperLetter"/>
      <w:start w:val="14"/>
    </w:lvl>
  </w:abstractNum>
  <w:abstractNum w:abstractNumId="120">
    <w:nsid w:val="6E534CDE"/>
    <w:multiLevelType w:val="hybridMultilevel"/>
    <w:lvl w:ilvl="0">
      <w:lvlJc w:val="left"/>
      <w:lvlText w:val="(*)"/>
      <w:numFmt w:val="bullet"/>
      <w:start w:val="1"/>
    </w:lvl>
  </w:abstractNum>
  <w:abstractNum w:abstractNumId="121">
    <w:nsid w:val="1A0DDE32"/>
    <w:multiLevelType w:val="hybridMultilevel"/>
    <w:lvl w:ilvl="0">
      <w:lvlJc w:val="left"/>
      <w:lvlText w:val="(*)"/>
      <w:numFmt w:val="bullet"/>
      <w:start w:val="1"/>
    </w:lvl>
  </w:abstractNum>
  <w:abstractNum w:abstractNumId="122">
    <w:nsid w:val="65968C1C"/>
    <w:multiLevelType w:val="hybridMultilevel"/>
    <w:lvl w:ilvl="0">
      <w:lvlJc w:val="left"/>
      <w:lvlText w:val="%1."/>
      <w:numFmt w:val="upperLetter"/>
      <w:start w:val="14"/>
    </w:lvl>
    <w:lvl w:ilvl="1">
      <w:lvlJc w:val="left"/>
      <w:lvlText w:val="(*)"/>
      <w:numFmt w:val="bullet"/>
      <w:start w:val="1"/>
    </w:lvl>
  </w:abstractNum>
  <w:abstractNum w:abstractNumId="123">
    <w:nsid w:val="46263DEC"/>
    <w:multiLevelType w:val="hybridMultilevel"/>
    <w:lvl w:ilvl="0">
      <w:lvlJc w:val="left"/>
      <w:lvlText w:val="%1."/>
      <w:numFmt w:val="upperLetter"/>
      <w:start w:val="16"/>
    </w:lvl>
  </w:abstractNum>
  <w:abstractNum w:abstractNumId="124">
    <w:nsid w:val="260D8C4A"/>
    <w:multiLevelType w:val="hybridMultilevel"/>
    <w:lvl w:ilvl="0">
      <w:lvlJc w:val="left"/>
      <w:lvlText w:val="(%1)"/>
      <w:numFmt w:val="lowerLetter"/>
      <w:start w:val="1"/>
    </w:lvl>
    <w:lvl w:ilvl="1">
      <w:lvlJc w:val="left"/>
      <w:lvlText w:val="(%2)"/>
      <w:numFmt w:val="lowerLetter"/>
      <w:start w:val="9"/>
    </w:lvl>
  </w:abstractNum>
  <w:abstractNum w:abstractNumId="125">
    <w:nsid w:val="73D4D3C4"/>
    <w:multiLevelType w:val="hybridMultilevel"/>
    <w:lvl w:ilvl="0">
      <w:lvlJc w:val="left"/>
      <w:lvlText w:val="%1"/>
      <w:numFmt w:val="lowerLetter"/>
      <w:start w:val="1"/>
    </w:lvl>
    <w:lvl w:ilvl="1">
      <w:lvlJc w:val="left"/>
      <w:lvlText w:val="(%2)"/>
      <w:numFmt w:val="lowerLetter"/>
      <w:start w:val="35"/>
    </w:lvl>
  </w:abstractNum>
  <w:abstractNum w:abstractNumId="126">
    <w:nsid w:val="746F2E30"/>
    <w:multiLevelType w:val="hybridMultilevel"/>
    <w:lvl w:ilvl="0">
      <w:lvlJc w:val="left"/>
      <w:lvlText w:val="(%1)"/>
      <w:numFmt w:val="lowerLetter"/>
      <w:start w:val="3"/>
    </w:lvl>
    <w:lvl w:ilvl="1">
      <w:lvlJc w:val="left"/>
      <w:lvlText w:val="%2"/>
      <w:numFmt w:val="lowerLetter"/>
      <w:start w:val="1"/>
    </w:lvl>
  </w:abstractNum>
  <w:abstractNum w:abstractNumId="127">
    <w:nsid w:val="6FDE8AF6"/>
    <w:multiLevelType w:val="hybridMultilevel"/>
    <w:lvl w:ilvl="0">
      <w:lvlJc w:val="left"/>
      <w:lvlText w:val="(%1)"/>
      <w:numFmt w:val="lowerLetter"/>
      <w:start w:val="1"/>
    </w:lvl>
  </w:abstractNum>
  <w:abstractNum w:abstractNumId="128">
    <w:nsid w:val="3FC32E20"/>
    <w:multiLevelType w:val="hybridMultilevel"/>
    <w:lvl w:ilvl="0">
      <w:lvlJc w:val="left"/>
      <w:lvlText w:val="(%1)"/>
      <w:numFmt w:val="lowerLetter"/>
      <w:start w:val="2"/>
    </w:lvl>
    <w:lvl w:ilvl="1">
      <w:lvlJc w:val="left"/>
      <w:lvlText w:val="(%2)"/>
      <w:numFmt w:val="lowerRoman"/>
      <w:start w:val="1"/>
    </w:lvl>
  </w:abstractNum>
  <w:abstractNum w:abstractNumId="129">
    <w:nsid w:val="49C0E823"/>
    <w:multiLevelType w:val="hybridMultilevel"/>
    <w:lvl w:ilvl="0">
      <w:lvlJc w:val="left"/>
      <w:lvlText w:val="(%1)"/>
      <w:numFmt w:val="lowerLetter"/>
      <w:start w:val="3"/>
    </w:lvl>
  </w:abstractNum>
  <w:abstractNum w:abstractNumId="130">
    <w:nsid w:val="14D53685"/>
    <w:multiLevelType w:val="hybridMultilevel"/>
    <w:lvl w:ilvl="0">
      <w:lvlJc w:val="left"/>
      <w:lvlText w:val="(%1)"/>
      <w:numFmt w:val="lowerRoman"/>
      <w:start w:val="2"/>
    </w:lvl>
  </w:abstractNum>
  <w:abstractNum w:abstractNumId="131">
    <w:nsid w:val="230F856C"/>
    <w:multiLevelType w:val="hybridMultilevel"/>
    <w:lvl w:ilvl="0">
      <w:lvlJc w:val="left"/>
      <w:lvlText w:val="(%1)"/>
      <w:numFmt w:val="lowerLetter"/>
      <w:start w:val="1"/>
    </w:lvl>
    <w:lvl w:ilvl="1">
      <w:lvlJc w:val="left"/>
      <w:lvlText w:val="(%2)"/>
      <w:numFmt w:val="lowerRoman"/>
      <w:start w:val="1"/>
    </w:lvl>
  </w:abstractNum>
  <w:abstractNum w:abstractNumId="132">
    <w:nsid w:val="6EAA85FB"/>
    <w:multiLevelType w:val="hybridMultilevel"/>
    <w:lvl w:ilvl="0">
      <w:lvlJc w:val="left"/>
      <w:lvlText w:val="(%1)"/>
      <w:numFmt w:val="lowerRoman"/>
      <w:start w:val="3"/>
    </w:lvl>
  </w:abstractNum>
  <w:abstractNum w:abstractNumId="133">
    <w:nsid w:val="3F06ECB2"/>
    <w:multiLevelType w:val="hybridMultilevel"/>
    <w:lvl w:ilvl="0">
      <w:lvlJc w:val="left"/>
      <w:lvlText w:val="%1"/>
      <w:numFmt w:val="lowerLetter"/>
      <w:start w:val="1"/>
    </w:lvl>
    <w:lvl w:ilvl="1">
      <w:lvlJc w:val="left"/>
      <w:lvlText w:val="(%2)"/>
      <w:numFmt w:val="lowerRoman"/>
      <w:start w:val="1"/>
    </w:lvl>
  </w:abstractNum>
  <w:abstractNum w:abstractNumId="134">
    <w:nsid w:val="3B594807"/>
    <w:multiLevelType w:val="hybridMultilevel"/>
    <w:lvl w:ilvl="0">
      <w:lvlJc w:val="left"/>
      <w:lvlText w:val="(%1)"/>
      <w:numFmt w:val="lowerLetter"/>
      <w:start w:val="2"/>
    </w:lvl>
    <w:lvl w:ilvl="1">
      <w:lvlJc w:val="left"/>
      <w:lvlText w:val="(%2)"/>
      <w:numFmt w:val="lowerRoman"/>
      <w:start w:val="1"/>
    </w:lvl>
  </w:abstractNum>
  <w:abstractNum w:abstractNumId="135">
    <w:nsid w:val="6CAA2304"/>
    <w:multiLevelType w:val="hybridMultilevel"/>
    <w:lvl w:ilvl="0">
      <w:lvlJc w:val="left"/>
      <w:lvlText w:val="%1"/>
      <w:numFmt w:val="lowerLetter"/>
      <w:start w:val="1"/>
    </w:lvl>
    <w:lvl w:ilvl="1">
      <w:lvlJc w:val="left"/>
      <w:lvlText w:val="(%2)"/>
      <w:numFmt w:val="lowerRoman"/>
      <w:start w:val="1"/>
    </w:lvl>
  </w:abstractNum>
  <w:abstractNum w:abstractNumId="136">
    <w:nsid w:val="3F7C2FF4"/>
    <w:multiLevelType w:val="hybridMultilevel"/>
    <w:lvl w:ilvl="0">
      <w:lvlJc w:val="left"/>
      <w:lvlText w:val="(%1)"/>
      <w:numFmt w:val="lowerLetter"/>
      <w:start w:val="2"/>
    </w:lvl>
    <w:lvl w:ilvl="1">
      <w:lvlJc w:val="left"/>
      <w:lvlText w:val="(%2)"/>
      <w:numFmt w:val="lowerRoman"/>
      <w:start w:val="1"/>
    </w:lvl>
  </w:abstractNum>
  <w:abstractNum w:abstractNumId="137">
    <w:nsid w:val="25413BEC"/>
    <w:multiLevelType w:val="hybridMultilevel"/>
    <w:lvl w:ilvl="0">
      <w:lvlJc w:val="left"/>
      <w:lvlText w:val="(%1)"/>
      <w:numFmt w:val="lowerRoman"/>
      <w:start w:val="2"/>
    </w:lvl>
  </w:abstractNum>
  <w:abstractNum w:abstractNumId="138">
    <w:nsid w:val="17180B0B"/>
    <w:multiLevelType w:val="hybridMultilevel"/>
    <w:lvl w:ilvl="0">
      <w:lvlJc w:val="left"/>
      <w:lvlText w:val="(%1)"/>
      <w:numFmt w:val="lowerRoman"/>
      <w:start w:val="1"/>
    </w:lvl>
  </w:abstractNum>
  <w:abstractNum w:abstractNumId="139">
    <w:nsid w:val="579328B9"/>
    <w:multiLevelType w:val="hybridMultilevel"/>
    <w:lvl w:ilvl="0">
      <w:lvlJc w:val="left"/>
      <w:lvlText w:val="%1"/>
      <w:numFmt w:val="lowerLetter"/>
      <w:start w:val="1"/>
    </w:lvl>
    <w:lvl w:ilvl="1">
      <w:lvlJc w:val="left"/>
      <w:lvlText w:val="(%2)"/>
      <w:numFmt w:val="lowerLetter"/>
      <w:start w:val="1"/>
    </w:lvl>
  </w:abstractNum>
  <w:abstractNum w:abstractNumId="140">
    <w:nsid w:val="5D205E20"/>
    <w:multiLevelType w:val="hybridMultilevel"/>
    <w:lvl w:ilvl="0">
      <w:lvlJc w:val="left"/>
      <w:lvlText w:val="(%1)"/>
      <w:numFmt w:val="lowerLetter"/>
      <w:start w:val="9"/>
    </w:lvl>
    <w:lvl w:ilvl="1">
      <w:lvlJc w:val="left"/>
      <w:lvlText w:val="(%2)"/>
      <w:numFmt w:val="lowerLetter"/>
      <w:start w:val="3"/>
    </w:lvl>
  </w:abstractNum>
  <w:abstractNum w:abstractNumId="141">
    <w:nsid w:val="11CCA8BA"/>
    <w:multiLevelType w:val="hybridMultilevel"/>
    <w:lvl w:ilvl="0">
      <w:lvlJc w:val="left"/>
      <w:lvlText w:val="(%1)"/>
      <w:numFmt w:val="lowerLetter"/>
      <w:start w:val="5"/>
    </w:lvl>
  </w:abstractNum>
  <w:abstractNum w:abstractNumId="142">
    <w:nsid w:val="4D32AB86"/>
    <w:multiLevelType w:val="hybridMultilevel"/>
    <w:lvl w:ilvl="0">
      <w:lvlJc w:val="left"/>
      <w:lvlText w:val="(%1)"/>
      <w:numFmt w:val="lowerLetter"/>
      <w:start w:val="1"/>
    </w:lvl>
    <w:lvl w:ilvl="1">
      <w:lvlJc w:val="left"/>
      <w:lvlText w:val="(%2)"/>
      <w:numFmt w:val="lowerRoman"/>
      <w:start w:val="1"/>
    </w:lvl>
  </w:abstractNum>
  <w:abstractNum w:abstractNumId="143">
    <w:nsid w:val="3F07ACC3"/>
    <w:multiLevelType w:val="hybridMultilevel"/>
    <w:lvl w:ilvl="0">
      <w:lvlJc w:val="left"/>
      <w:lvlText w:val="(%1)"/>
      <w:numFmt w:val="lowerLetter"/>
      <w:start w:val="3"/>
    </w:lvl>
  </w:abstractNum>
  <w:abstractNum w:abstractNumId="144">
    <w:nsid w:val="6B47F63E"/>
    <w:multiLevelType w:val="hybridMultilevel"/>
    <w:lvl w:ilvl="0">
      <w:lvlJc w:val="left"/>
      <w:lvlText w:val="(%1)"/>
      <w:numFmt w:val="decimal"/>
      <w:start w:val="850"/>
    </w:lvl>
  </w:abstractNum>
  <w:abstractNum w:abstractNumId="145">
    <w:nsid w:val="5CB44A05"/>
    <w:multiLevelType w:val="hybridMultilevel"/>
    <w:lvl w:ilvl="0">
      <w:lvlJc w:val="left"/>
      <w:lvlText w:val="(%1)"/>
      <w:numFmt w:val="lowerLetter"/>
      <w:start w:val="35"/>
    </w:lvl>
  </w:abstractNum>
  <w:abstractNum w:abstractNumId="146">
    <w:nsid w:val="16CF80F1"/>
    <w:multiLevelType w:val="hybridMultilevel"/>
    <w:lvl w:ilvl="0">
      <w:lvlJc w:val="left"/>
      <w:lvlText w:val="(%1)"/>
      <w:numFmt w:val="lowerLetter"/>
      <w:start w:val="3"/>
    </w:lvl>
  </w:abstractNum>
  <w:abstractNum w:abstractNumId="147">
    <w:nsid w:val="1C695DEC"/>
    <w:multiLevelType w:val="hybridMultilevel"/>
    <w:lvl w:ilvl="0">
      <w:lvlJc w:val="left"/>
      <w:lvlText w:val="(%1)"/>
      <w:numFmt w:val="lowerLetter"/>
      <w:start w:val="1"/>
    </w:lvl>
  </w:abstractNum>
  <w:abstractNum w:abstractNumId="148">
    <w:nsid w:val="3FCFAED9"/>
    <w:multiLevelType w:val="hybridMultilevel"/>
    <w:lvl w:ilvl="0">
      <w:lvlJc w:val="left"/>
      <w:lvlText w:val="(%1)"/>
      <w:numFmt w:val="lowerLetter"/>
      <w:start w:val="1"/>
    </w:lvl>
  </w:abstractNum>
  <w:abstractNum w:abstractNumId="149">
    <w:nsid w:val="F856867"/>
    <w:multiLevelType w:val="hybridMultilevel"/>
    <w:lvl w:ilvl="0">
      <w:lvlJc w:val="left"/>
      <w:lvlText w:val="(%1)"/>
      <w:numFmt w:val="lowerLetter"/>
      <w:start w:val="1"/>
    </w:lvl>
  </w:abstractNum>
  <w:abstractNum w:abstractNumId="150">
    <w:nsid w:val="11B1CC33"/>
    <w:multiLevelType w:val="hybridMultilevel"/>
    <w:lvl w:ilvl="0">
      <w:lvlJc w:val="left"/>
      <w:lvlText w:val="(%1)"/>
      <w:numFmt w:val="lowerLetter"/>
      <w:start w:val="1"/>
    </w:lvl>
  </w:abstractNum>
  <w:abstractNum w:abstractNumId="151">
    <w:nsid w:val="2E22FBB7"/>
    <w:multiLevelType w:val="hybridMultilevel"/>
    <w:lvl w:ilvl="0">
      <w:lvlJc w:val="left"/>
      <w:lvlText w:val="(%1)"/>
      <w:numFmt w:val="lowerLetter"/>
      <w:start w:val="1"/>
    </w:lvl>
  </w:abstractNum>
  <w:abstractNum w:abstractNumId="152">
    <w:nsid w:val="29934699"/>
    <w:multiLevelType w:val="hybridMultilevel"/>
    <w:lvl w:ilvl="0">
      <w:lvlJc w:val="left"/>
      <w:lvlText w:val="(%1)"/>
      <w:numFmt w:val="lowerLetter"/>
      <w:start w:val="1"/>
    </w:lvl>
  </w:abstractNum>
  <w:abstractNum w:abstractNumId="153">
    <w:nsid w:val="77485850"/>
    <w:multiLevelType w:val="hybridMultilevel"/>
    <w:lvl w:ilvl="0">
      <w:lvlJc w:val="left"/>
      <w:lvlText w:val="(%1)"/>
      <w:numFmt w:val="lowerLetter"/>
      <w:start w:val="1"/>
    </w:lvl>
  </w:abstractNum>
  <w:abstractNum w:abstractNumId="154">
    <w:nsid w:val="744939A3"/>
    <w:multiLevelType w:val="hybridMultilevel"/>
    <w:lvl w:ilvl="0">
      <w:lvlJc w:val="left"/>
      <w:lvlText w:val="%1"/>
      <w:numFmt w:val="lowerLetter"/>
      <w:start w:val="1"/>
    </w:lvl>
    <w:lvl w:ilvl="1">
      <w:lvlJc w:val="left"/>
      <w:lvlText w:val="(%2)"/>
      <w:numFmt w:val="lowerLetter"/>
      <w:start w:val="2"/>
    </w:lvl>
  </w:abstractNum>
  <w:abstractNum w:abstractNumId="155">
    <w:nsid w:val="4FA0D2E3"/>
    <w:multiLevelType w:val="hybridMultilevel"/>
    <w:lvl w:ilvl="0">
      <w:lvlJc w:val="left"/>
      <w:lvlText w:val="(%1)"/>
      <w:numFmt w:val="lowerLetter"/>
      <w:start w:val="35"/>
    </w:lvl>
    <w:lvl w:ilvl="1">
      <w:lvlJc w:val="left"/>
      <w:lvlText w:val="(%2)"/>
      <w:numFmt w:val="lowerLetter"/>
      <w:start w:val="8"/>
    </w:lvl>
  </w:abstractNum>
  <w:abstractNum w:abstractNumId="156">
    <w:nsid w:val="6B1D2C14"/>
    <w:multiLevelType w:val="hybridMultilevel"/>
    <w:lvl w:ilvl="0">
      <w:lvlJc w:val="left"/>
      <w:lvlText w:val="(%1)"/>
      <w:numFmt w:val="lowerRoman"/>
      <w:start w:val="2"/>
    </w:lvl>
  </w:abstractNum>
  <w:abstractNum w:abstractNumId="157">
    <w:nsid w:val="68B867D3"/>
    <w:multiLevelType w:val="hybridMultilevel"/>
    <w:lvl w:ilvl="0">
      <w:lvlJc w:val="left"/>
      <w:lvlText w:val="%1"/>
      <w:numFmt w:val="lowerLetter"/>
      <w:start w:val="1"/>
    </w:lvl>
    <w:lvl w:ilvl="1">
      <w:lvlJc w:val="left"/>
      <w:lvlText w:val="(%2)"/>
      <w:numFmt w:val="lowerLetter"/>
      <w:start w:val="1"/>
    </w:lvl>
  </w:abstractNum>
  <w:abstractNum w:abstractNumId="158">
    <w:nsid w:val="3F7F5DD9"/>
    <w:multiLevelType w:val="hybridMultilevel"/>
    <w:lvl w:ilvl="0">
      <w:lvlJc w:val="left"/>
      <w:lvlText w:val="(%1)"/>
      <w:numFmt w:val="lowerLetter"/>
      <w:start w:val="61"/>
    </w:lvl>
    <w:lvl w:ilvl="1">
      <w:lvlJc w:val="left"/>
      <w:lvlText w:val="%2"/>
      <w:numFmt w:val="lowerLetter"/>
      <w:start w:val="1"/>
    </w:lvl>
  </w:abstractNum>
  <w:abstractNum w:abstractNumId="159">
    <w:nsid w:val="2AE05A34"/>
    <w:multiLevelType w:val="hybridMultilevel"/>
    <w:lvl w:ilvl="0">
      <w:lvlJc w:val="left"/>
      <w:lvlText w:val="%1."/>
      <w:numFmt w:val="decimal"/>
      <w:start w:val="1"/>
    </w:lvl>
  </w:abstractNum>
  <w:abstractNum w:abstractNumId="160">
    <w:nsid w:val="32794FF7"/>
    <w:multiLevelType w:val="hybridMultilevel"/>
    <w:lvl w:ilvl="0">
      <w:lvlJc w:val="left"/>
      <w:lvlText w:val="(%1)"/>
      <w:numFmt w:val="upperLetter"/>
      <w:start w:val="1"/>
    </w:lvl>
  </w:abstractNum>
  <w:abstractNum w:abstractNumId="161">
    <w:nsid w:val="5454945E"/>
    <w:multiLevelType w:val="hybridMultilevel"/>
    <w:lvl w:ilvl="0">
      <w:lvlJc w:val="left"/>
      <w:lvlText w:val="(%1)"/>
      <w:numFmt w:val="decimal"/>
      <w:start w:val="2"/>
    </w:lvl>
  </w:abstractNum>
  <w:abstractNum w:abstractNumId="162">
    <w:nsid w:val="4DEFDFA0"/>
    <w:multiLevelType w:val="hybridMultilevel"/>
    <w:lvl w:ilvl="0">
      <w:lvlJc w:val="left"/>
      <w:lvlText w:val="(%1)"/>
      <w:numFmt w:val="upperLetter"/>
      <w:start w:val="2"/>
    </w:lvl>
  </w:abstractNum>
  <w:abstractNum w:abstractNumId="163">
    <w:nsid w:val="2123D5F2"/>
    <w:multiLevelType w:val="hybridMultilevel"/>
    <w:lvl w:ilvl="0">
      <w:lvlJc w:val="left"/>
      <w:lvlText w:val="(%1)"/>
      <w:numFmt w:val="upperLetter"/>
      <w:start w:val="3"/>
    </w:lvl>
  </w:abstractNum>
  <w:abstractNum w:abstractNumId="164">
    <w:nsid w:val="135B8110"/>
    <w:multiLevelType w:val="hybridMultilevel"/>
    <w:lvl w:ilvl="0">
      <w:lvlJc w:val="left"/>
      <w:lvlText w:val="(%1)"/>
      <w:numFmt w:val="lowerLetter"/>
      <w:start w:val="1"/>
    </w:lvl>
  </w:abstractNum>
  <w:abstractNum w:abstractNumId="165">
    <w:nsid w:val="94927A8"/>
    <w:multiLevelType w:val="hybridMultilevel"/>
    <w:lvl w:ilvl="0">
      <w:lvlJc w:val="left"/>
      <w:lvlText w:val="(%1)"/>
      <w:numFmt w:val="decimal"/>
      <w:start w:val="2"/>
    </w:lvl>
  </w:abstractNum>
  <w:abstractNum w:abstractNumId="166">
    <w:nsid w:val="DCDF8F6"/>
    <w:multiLevelType w:val="hybridMultilevel"/>
    <w:lvl w:ilvl="0">
      <w:lvlJc w:val="left"/>
      <w:lvlText w:val="(%1)"/>
      <w:numFmt w:val="upperLetter"/>
      <w:start w:val="5"/>
    </w:lvl>
  </w:abstractNum>
  <w:abstractNum w:abstractNumId="167">
    <w:nsid w:val="52D7B105"/>
    <w:multiLevelType w:val="hybridMultilevel"/>
    <w:lvl w:ilvl="0">
      <w:lvlJc w:val="left"/>
      <w:lvlText w:val="2"/>
      <w:numFmt w:val="bullet"/>
      <w:start w:val="1"/>
    </w:lvl>
  </w:abstractNum>
  <w:abstractNum w:abstractNumId="168">
    <w:nsid w:val="2E8A6394"/>
    <w:multiLevelType w:val="hybridMultilevel"/>
    <w:lvl w:ilvl="0">
      <w:lvlJc w:val="left"/>
      <w:lvlText w:val="5"/>
      <w:numFmt w:val="bullet"/>
      <w:start w:val="1"/>
    </w:lvl>
  </w:abstractNum>
  <w:abstractNum w:abstractNumId="169">
    <w:nsid w:val="24E60401"/>
    <w:multiLevelType w:val="hybridMultilevel"/>
    <w:lvl w:ilvl="0">
      <w:lvlJc w:val="left"/>
      <w:lvlText w:val="%1"/>
      <w:numFmt w:val="decimal"/>
      <w:start w:val="12"/>
    </w:lvl>
  </w:abstractNum>
  <w:abstractNum w:abstractNumId="170">
    <w:nsid w:val="2A6AD9BE"/>
    <w:multiLevelType w:val="hybridMultilevel"/>
    <w:lvl w:ilvl="0">
      <w:lvlJc w:val="left"/>
      <w:lvlText w:val="%1"/>
      <w:numFmt w:val="decimal"/>
      <w:start w:val="24"/>
    </w:lvl>
  </w:abstractNum>
  <w:abstractNum w:abstractNumId="171">
    <w:nsid w:val="BAAC1B4"/>
    <w:multiLevelType w:val="hybridMultilevel"/>
    <w:lvl w:ilvl="0">
      <w:lvlJc w:val="left"/>
      <w:lvlText w:val="*"/>
      <w:numFmt w:val="bullet"/>
      <w:start w:val="1"/>
    </w:lvl>
  </w:abstractNum>
  <w:abstractNum w:abstractNumId="172">
    <w:nsid w:val="36B2ACBC"/>
    <w:multiLevelType w:val="hybridMultilevel"/>
    <w:lvl w:ilvl="0">
      <w:lvlJc w:val="left"/>
      <w:lvlText w:val="(%1)"/>
      <w:numFmt w:val="lowerRoman"/>
      <w:start w:val="1"/>
    </w:lvl>
  </w:abstractNum>
  <w:abstractNum w:abstractNumId="173">
    <w:nsid w:val="779D8544"/>
    <w:multiLevelType w:val="hybridMultilevel"/>
    <w:lvl w:ilvl="0">
      <w:lvlJc w:val="left"/>
      <w:lvlText w:val="(%1)"/>
      <w:numFmt w:val="lowerRoman"/>
      <w:start w:val="3"/>
    </w:lvl>
  </w:abstractNum>
  <w:abstractNum w:abstractNumId="174">
    <w:nsid w:val="4AB26E78"/>
    <w:multiLevelType w:val="hybridMultilevel"/>
    <w:lvl w:ilvl="0">
      <w:lvlJc w:val="left"/>
      <w:lvlText w:val="-"/>
      <w:numFmt w:val="bullet"/>
      <w:start w:val="1"/>
    </w:lvl>
  </w:abstractNum>
  <w:abstractNum w:abstractNumId="175">
    <w:nsid w:val="21FAA2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2019-12-14T17:43:26Z</dcterms:created>
  <dcterms:modified xsi:type="dcterms:W3CDTF">2019-12-14T17:43:26Z</dcterms:modified>
</cp:coreProperties>
</file>