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33"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Washington, D.C. 20549</w:t>
      </w:r>
    </w:p>
    <w:p>
      <w:pPr>
        <w:spacing w:after="0" w:line="161"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SCHEDULE 14A</w:t>
      </w:r>
    </w:p>
    <w:p>
      <w:pPr>
        <w:spacing w:after="0" w:line="2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Proxy Statement Pursuant to Section 14(a)</w:t>
      </w:r>
    </w:p>
    <w:p>
      <w:pPr>
        <w:jc w:val="center"/>
        <w:ind w:right="-300"/>
        <w:spacing w:after="0" w:line="234" w:lineRule="auto"/>
        <w:rPr>
          <w:sz w:val="20"/>
          <w:szCs w:val="20"/>
          <w:color w:val="auto"/>
        </w:rPr>
      </w:pPr>
      <w:r>
        <w:rPr>
          <w:rFonts w:ascii="Arial" w:cs="Arial" w:eastAsia="Arial" w:hAnsi="Arial"/>
          <w:sz w:val="18"/>
          <w:szCs w:val="18"/>
          <w:b w:val="1"/>
          <w:bCs w:val="1"/>
          <w:color w:val="auto"/>
        </w:rPr>
        <w:t>of the Securities Exchange Act of 1934</w:t>
      </w:r>
    </w:p>
    <w:p>
      <w:pPr>
        <w:spacing w:after="0" w:line="1"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3479165</wp:posOffset>
            </wp:positionH>
            <wp:positionV relativeFrom="paragraph">
              <wp:posOffset>-19050</wp:posOffset>
            </wp:positionV>
            <wp:extent cx="127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0" cy="8890"/>
                    </a:xfrm>
                    <a:prstGeom prst="rect">
                      <a:avLst/>
                    </a:prstGeom>
                    <a:noFill/>
                  </pic:spPr>
                </pic:pic>
              </a:graphicData>
            </a:graphic>
          </wp:anchor>
        </w:drawing>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Filed by a Party other than the Registrant  </w:t>
      </w:r>
      <w:r>
        <w:rPr>
          <w:rFonts w:ascii="MS PGothic" w:cs="MS PGothic" w:eastAsia="MS PGothic" w:hAnsi="MS PGothic"/>
          <w:sz w:val="18"/>
          <w:szCs w:val="18"/>
          <w:color w:val="auto"/>
        </w:rPr>
        <w:t>☐</w:t>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Check the appropriate box:     </w:t>
      </w:r>
    </w:p>
    <w:p>
      <w:pPr>
        <w:spacing w:after="0" w:line="12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Preliminary Proxy Statement    </w:t>
      </w:r>
    </w:p>
    <w:p>
      <w:pPr>
        <w:spacing w:after="0" w:line="19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Confidential, for Use of the Commission Only (as permitted by Rule 14a-6(e)(2))</w:t>
      </w:r>
    </w:p>
    <w:p>
      <w:pPr>
        <w:spacing w:after="0" w:line="19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Statement    </w:t>
      </w:r>
    </w:p>
    <w:p>
      <w:pPr>
        <w:spacing w:after="0" w:line="18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Additional Materials     </w:t>
      </w:r>
    </w:p>
    <w:p>
      <w:pPr>
        <w:spacing w:after="0" w:line="19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Soliciting Material Pursuant to Section 240.14a-12</w:t>
      </w:r>
    </w:p>
    <w:p>
      <w:pPr>
        <w:spacing w:after="0" w:line="375" w:lineRule="exact"/>
        <w:rPr>
          <w:sz w:val="24"/>
          <w:szCs w:val="24"/>
          <w:color w:val="auto"/>
        </w:rPr>
      </w:pPr>
    </w:p>
    <w:p>
      <w:pPr>
        <w:ind w:left="2000"/>
        <w:spacing w:after="0"/>
        <w:rPr>
          <w:sz w:val="20"/>
          <w:szCs w:val="20"/>
          <w:color w:val="auto"/>
        </w:rPr>
      </w:pPr>
      <w:r>
        <w:rPr>
          <w:rFonts w:ascii="Arial" w:cs="Arial" w:eastAsia="Arial" w:hAnsi="Arial"/>
          <w:sz w:val="32"/>
          <w:szCs w:val="32"/>
          <w:b w:val="1"/>
          <w:bCs w:val="1"/>
          <w:u w:val="single" w:color="auto"/>
          <w:color w:val="auto"/>
        </w:rPr>
        <w:t>AMERICAN FINANCIAL GROUP, INC.</w:t>
      </w:r>
    </w:p>
    <w:p>
      <w:pPr>
        <w:spacing w:after="0" w:line="24" w:lineRule="exact"/>
        <w:rPr>
          <w:sz w:val="24"/>
          <w:szCs w:val="24"/>
          <w:color w:val="auto"/>
        </w:rPr>
      </w:pPr>
    </w:p>
    <w:p>
      <w:pPr>
        <w:jc w:val="center"/>
        <w:ind w:right="-360"/>
        <w:spacing w:after="0"/>
        <w:rPr>
          <w:sz w:val="20"/>
          <w:szCs w:val="20"/>
          <w:color w:val="auto"/>
        </w:rPr>
      </w:pPr>
      <w:r>
        <w:rPr>
          <w:rFonts w:ascii="Arial" w:cs="Arial" w:eastAsia="Arial" w:hAnsi="Arial"/>
          <w:sz w:val="22"/>
          <w:szCs w:val="22"/>
          <w:color w:val="auto"/>
        </w:rPr>
        <w:t>(Name of Registrant as Specified In Its Charter)</w:t>
      </w:r>
    </w:p>
    <w:p>
      <w:pPr>
        <w:jc w:val="center"/>
        <w:ind w:right="-240"/>
        <w:spacing w:after="0" w:line="230" w:lineRule="auto"/>
        <w:rPr>
          <w:sz w:val="20"/>
          <w:szCs w:val="20"/>
          <w:color w:val="auto"/>
        </w:rPr>
      </w:pPr>
      <w:r>
        <w:rPr>
          <w:rFonts w:ascii="Arial" w:cs="Arial" w:eastAsia="Arial" w:hAnsi="Arial"/>
          <w:sz w:val="22"/>
          <w:szCs w:val="22"/>
          <w:color w:val="auto"/>
        </w:rPr>
        <w:t> </w:t>
      </w:r>
    </w:p>
    <w:p>
      <w:pPr>
        <w:spacing w:after="0" w:line="1" w:lineRule="exact"/>
        <w:rPr>
          <w:sz w:val="24"/>
          <w:szCs w:val="24"/>
          <w:color w:val="auto"/>
        </w:rPr>
      </w:pPr>
    </w:p>
    <w:p>
      <w:pPr>
        <w:jc w:val="center"/>
        <w:ind w:right="-300"/>
        <w:spacing w:after="0"/>
        <w:rPr>
          <w:sz w:val="20"/>
          <w:szCs w:val="20"/>
          <w:color w:val="auto"/>
        </w:rPr>
      </w:pPr>
      <w:r>
        <w:rPr>
          <w:rFonts w:ascii="Arial" w:cs="Arial" w:eastAsia="Arial" w:hAnsi="Arial"/>
          <w:sz w:val="21"/>
          <w:szCs w:val="21"/>
          <w:color w:val="auto"/>
        </w:rPr>
        <w:t>(Name of Person(s) Filing Proxy Statement if other than the Registrant)</w:t>
      </w:r>
    </w:p>
    <w:p>
      <w:pPr>
        <w:spacing w:after="0" w:line="32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4" w:lineRule="exact"/>
        <w:rPr>
          <w:sz w:val="24"/>
          <w:szCs w:val="24"/>
          <w:color w:val="auto"/>
        </w:rPr>
      </w:pPr>
    </w:p>
    <w:p>
      <w:pPr>
        <w:ind w:left="660" w:hanging="413"/>
        <w:spacing w:after="0"/>
        <w:tabs>
          <w:tab w:leader="none" w:pos="660" w:val="left"/>
        </w:tabs>
        <w:numPr>
          <w:ilvl w:val="0"/>
          <w:numId w:val="1"/>
        </w:numPr>
        <w:rPr>
          <w:rFonts w:ascii="MS PGothic" w:cs="MS PGothic" w:eastAsia="MS PGothic" w:hAnsi="MS PGothic"/>
          <w:sz w:val="14"/>
          <w:szCs w:val="14"/>
          <w:color w:val="54565B"/>
        </w:rPr>
      </w:pPr>
      <w:r>
        <w:rPr>
          <w:rFonts w:ascii="Arial" w:cs="Arial" w:eastAsia="Arial" w:hAnsi="Arial"/>
          <w:sz w:val="14"/>
          <w:szCs w:val="14"/>
          <w:color w:val="54565B"/>
        </w:rPr>
        <w:t>No fee required.</w:t>
      </w:r>
    </w:p>
    <w:p>
      <w:pPr>
        <w:spacing w:after="0" w:line="122" w:lineRule="exact"/>
        <w:rPr>
          <w:rFonts w:ascii="MS PGothic" w:cs="MS PGothic" w:eastAsia="MS PGothic" w:hAnsi="MS PGothic"/>
          <w:sz w:val="14"/>
          <w:szCs w:val="14"/>
          <w:color w:val="54565B"/>
        </w:rPr>
      </w:pPr>
    </w:p>
    <w:p>
      <w:pPr>
        <w:ind w:left="660" w:hanging="409"/>
        <w:spacing w:after="0"/>
        <w:tabs>
          <w:tab w:leader="none" w:pos="660" w:val="left"/>
        </w:tabs>
        <w:numPr>
          <w:ilvl w:val="1"/>
          <w:numId w:val="1"/>
        </w:numPr>
        <w:rPr>
          <w:rFonts w:ascii="MS PGothic" w:cs="MS PGothic" w:eastAsia="MS PGothic" w:hAnsi="MS PGothic"/>
          <w:sz w:val="14"/>
          <w:szCs w:val="14"/>
          <w:color w:val="54565B"/>
        </w:rPr>
      </w:pPr>
      <w:r>
        <w:rPr>
          <w:rFonts w:ascii="Arial" w:cs="Arial" w:eastAsia="Arial" w:hAnsi="Arial"/>
          <w:sz w:val="14"/>
          <w:szCs w:val="14"/>
          <w:color w:val="54565B"/>
        </w:rPr>
        <w:t>Fee computed on table in exhibit required by Item 25(b) per Exchange Act Rules 14a-6(i)(4) and 0-11.</w:t>
      </w:r>
    </w:p>
    <w:p>
      <w:pPr>
        <w:spacing w:after="0" w:line="122" w:lineRule="exact"/>
        <w:rPr>
          <w:rFonts w:ascii="MS PGothic" w:cs="MS PGothic" w:eastAsia="MS PGothic" w:hAnsi="MS PGothic"/>
          <w:sz w:val="14"/>
          <w:szCs w:val="14"/>
          <w:color w:val="54565B"/>
        </w:rPr>
      </w:pPr>
    </w:p>
    <w:p>
      <w:pPr>
        <w:ind w:left="660" w:hanging="409"/>
        <w:spacing w:after="0"/>
        <w:tabs>
          <w:tab w:leader="none" w:pos="660" w:val="left"/>
        </w:tabs>
        <w:numPr>
          <w:ilvl w:val="1"/>
          <w:numId w:val="1"/>
        </w:numPr>
        <w:rPr>
          <w:rFonts w:ascii="MS PGothic" w:cs="MS PGothic" w:eastAsia="MS PGothic" w:hAnsi="MS PGothic"/>
          <w:sz w:val="14"/>
          <w:szCs w:val="14"/>
          <w:color w:val="54565B"/>
        </w:rPr>
      </w:pPr>
      <w:r>
        <w:rPr>
          <w:rFonts w:ascii="Arial" w:cs="Arial" w:eastAsia="Arial" w:hAnsi="Arial"/>
          <w:sz w:val="14"/>
          <w:szCs w:val="14"/>
          <w:color w:val="54565B"/>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392430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229235</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54565B"/>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317500</wp:posOffset>
            </wp:positionV>
            <wp:extent cx="39090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090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581"/>
        </w:trPr>
        <w:tc>
          <w:tcPr>
            <w:tcW w:w="5920" w:type="dxa"/>
            <w:vAlign w:val="bottom"/>
          </w:tcPr>
          <w:p>
            <w:pPr>
              <w:spacing w:after="0"/>
              <w:rPr>
                <w:sz w:val="20"/>
                <w:szCs w:val="20"/>
                <w:color w:val="auto"/>
              </w:rPr>
            </w:pPr>
            <w:r>
              <w:rPr>
                <w:rFonts w:ascii="Arial" w:cs="Arial" w:eastAsia="Arial" w:hAnsi="Arial"/>
                <w:sz w:val="50"/>
                <w:szCs w:val="50"/>
                <w:color w:val="0B3C61"/>
              </w:rPr>
              <w:t>Notice of 2026 Annual</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920" w:type="dxa"/>
            <w:vAlign w:val="bottom"/>
          </w:tcPr>
          <w:p>
            <w:pPr>
              <w:spacing w:after="0" w:line="330" w:lineRule="exact"/>
              <w:rPr>
                <w:sz w:val="20"/>
                <w:szCs w:val="20"/>
                <w:color w:val="auto"/>
              </w:rPr>
            </w:pPr>
            <w:r>
              <w:rPr>
                <w:rFonts w:ascii="Arial" w:cs="Arial" w:eastAsia="Arial" w:hAnsi="Arial"/>
                <w:sz w:val="38"/>
                <w:szCs w:val="38"/>
                <w:color w:val="0B3C61"/>
              </w:rPr>
              <w:t>Meeting of Shareholders</w:t>
            </w:r>
          </w:p>
        </w:tc>
        <w:tc>
          <w:tcPr>
            <w:tcW w:w="460" w:type="dxa"/>
            <w:vAlign w:val="bottom"/>
            <w:vMerge w:val="restart"/>
          </w:tcPr>
          <w:p>
            <w:pPr>
              <w:ind w:left="420"/>
              <w:spacing w:after="0"/>
              <w:rPr>
                <w:sz w:val="20"/>
                <w:szCs w:val="20"/>
                <w:color w:val="auto"/>
              </w:rPr>
            </w:pPr>
            <w:r>
              <w:rPr>
                <w:rFonts w:ascii="Arial" w:cs="Arial" w:eastAsia="Arial" w:hAnsi="Arial"/>
                <w:sz w:val="13"/>
                <w:szCs w:val="13"/>
                <w:color w:val="54565B"/>
                <w:w w:val="75"/>
              </w:rPr>
              <w:t> </w:t>
            </w:r>
          </w:p>
        </w:tc>
        <w:tc>
          <w:tcPr>
            <w:tcW w:w="0" w:type="dxa"/>
            <w:vAlign w:val="bottom"/>
          </w:tcPr>
          <w:p>
            <w:pPr>
              <w:spacing w:after="0"/>
              <w:rPr>
                <w:sz w:val="1"/>
                <w:szCs w:val="1"/>
                <w:color w:val="auto"/>
              </w:rPr>
            </w:pPr>
          </w:p>
        </w:tc>
      </w:tr>
      <w:tr>
        <w:trPr>
          <w:trHeight w:val="52"/>
        </w:trPr>
        <w:tc>
          <w:tcPr>
            <w:tcW w:w="592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4"/>
        </w:trPr>
        <w:tc>
          <w:tcPr>
            <w:tcW w:w="5920" w:type="dxa"/>
            <w:vAlign w:val="bottom"/>
          </w:tcPr>
          <w:p>
            <w:pPr>
              <w:spacing w:after="0"/>
              <w:rPr>
                <w:sz w:val="20"/>
                <w:szCs w:val="20"/>
                <w:color w:val="auto"/>
              </w:rPr>
            </w:pPr>
            <w:r>
              <w:rPr>
                <w:rFonts w:ascii="Arial" w:cs="Arial" w:eastAsia="Arial" w:hAnsi="Arial"/>
                <w:sz w:val="22"/>
                <w:szCs w:val="22"/>
                <w:color w:val="0B3C61"/>
              </w:rPr>
              <w:t>DEAR SHAREHOLDER:</w:t>
            </w:r>
          </w:p>
        </w:tc>
        <w:tc>
          <w:tcPr>
            <w:tcW w:w="460" w:type="dxa"/>
            <w:vAlign w:val="bottom"/>
            <w:vMerge w:val="restart"/>
          </w:tcPr>
          <w:p>
            <w:pPr>
              <w:ind w:left="420"/>
              <w:spacing w:after="0"/>
              <w:rPr>
                <w:sz w:val="20"/>
                <w:szCs w:val="20"/>
                <w:color w:val="auto"/>
              </w:rPr>
            </w:pPr>
            <w:r>
              <w:rPr>
                <w:rFonts w:ascii="Arial" w:cs="Arial" w:eastAsia="Arial" w:hAnsi="Arial"/>
                <w:sz w:val="2"/>
                <w:szCs w:val="2"/>
                <w:color w:val="54565B"/>
                <w:w w:val="97"/>
              </w:rPr>
              <w:t> </w:t>
            </w:r>
          </w:p>
        </w:tc>
        <w:tc>
          <w:tcPr>
            <w:tcW w:w="0" w:type="dxa"/>
            <w:vAlign w:val="bottom"/>
          </w:tcPr>
          <w:p>
            <w:pPr>
              <w:spacing w:after="0"/>
              <w:rPr>
                <w:sz w:val="1"/>
                <w:szCs w:val="1"/>
                <w:color w:val="auto"/>
              </w:rPr>
            </w:pPr>
          </w:p>
        </w:tc>
      </w:tr>
      <w:tr>
        <w:trPr>
          <w:trHeight w:val="119"/>
        </w:trPr>
        <w:tc>
          <w:tcPr>
            <w:tcW w:w="5920" w:type="dxa"/>
            <w:vAlign w:val="bottom"/>
            <w:vMerge w:val="restart"/>
          </w:tcPr>
          <w:p>
            <w:pPr>
              <w:spacing w:after="0"/>
              <w:rPr>
                <w:sz w:val="20"/>
                <w:szCs w:val="20"/>
                <w:color w:val="auto"/>
              </w:rPr>
            </w:pPr>
            <w:r>
              <w:rPr>
                <w:rFonts w:ascii="Arial" w:cs="Arial" w:eastAsia="Arial" w:hAnsi="Arial"/>
                <w:sz w:val="16"/>
                <w:szCs w:val="16"/>
                <w:color w:val="54565B"/>
              </w:rPr>
              <w:t>Our annual meeting of shareholders will be held by live audio webcast on</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59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5920" w:type="dxa"/>
            <w:vAlign w:val="bottom"/>
          </w:tcPr>
          <w:p>
            <w:pPr>
              <w:spacing w:after="0"/>
              <w:rPr>
                <w:sz w:val="20"/>
                <w:szCs w:val="20"/>
                <w:color w:val="auto"/>
              </w:rPr>
            </w:pPr>
            <w:r>
              <w:rPr>
                <w:rFonts w:ascii="Arial" w:cs="Arial" w:eastAsia="Arial" w:hAnsi="Arial"/>
                <w:sz w:val="16"/>
                <w:szCs w:val="16"/>
                <w:color w:val="54565B"/>
              </w:rPr>
              <w:t>Wednesday, May 20, 2026, for the following purposes: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390906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09060" cy="308610"/>
                    </a:xfrm>
                    <a:prstGeom prst="rect">
                      <a:avLst/>
                    </a:prstGeom>
                    <a:noFill/>
                  </pic:spPr>
                </pic:pic>
              </a:graphicData>
            </a:graphic>
          </wp:anchor>
        </w:drawing>
      </w:r>
    </w:p>
    <w:p>
      <w:pPr>
        <w:spacing w:after="0" w:line="310" w:lineRule="exact"/>
        <w:rPr>
          <w:sz w:val="20"/>
          <w:szCs w:val="20"/>
          <w:color w:val="auto"/>
        </w:rPr>
      </w:pPr>
    </w:p>
    <w:p>
      <w:pPr>
        <w:ind w:left="240"/>
        <w:spacing w:after="0"/>
        <w:rPr>
          <w:sz w:val="20"/>
          <w:szCs w:val="20"/>
          <w:color w:val="auto"/>
        </w:rPr>
      </w:pPr>
      <w:r>
        <w:rPr>
          <w:rFonts w:ascii="Arial" w:cs="Arial" w:eastAsia="Arial" w:hAnsi="Arial"/>
          <w:sz w:val="14"/>
          <w:szCs w:val="14"/>
          <w:color w:val="FFFFFF"/>
        </w:rPr>
        <w:t>Items</w:t>
      </w:r>
    </w:p>
    <w:p>
      <w:pPr>
        <w:spacing w:after="0" w:line="163" w:lineRule="exact"/>
        <w:rPr>
          <w:sz w:val="20"/>
          <w:szCs w:val="20"/>
          <w:color w:val="auto"/>
        </w:rPr>
      </w:pPr>
    </w:p>
    <w:p>
      <w:pPr>
        <w:ind w:left="680" w:hanging="474"/>
        <w:spacing w:after="0"/>
        <w:tabs>
          <w:tab w:leader="none" w:pos="680" w:val="left"/>
        </w:tabs>
        <w:numPr>
          <w:ilvl w:val="0"/>
          <w:numId w:val="2"/>
        </w:numPr>
        <w:rPr>
          <w:rFonts w:ascii="Arial" w:cs="Arial" w:eastAsia="Arial" w:hAnsi="Arial"/>
          <w:sz w:val="40"/>
          <w:szCs w:val="40"/>
          <w:color w:val="EA1D2D"/>
        </w:rPr>
      </w:pPr>
      <w:r>
        <w:rPr>
          <w:rFonts w:ascii="Arial" w:cs="Arial" w:eastAsia="Arial" w:hAnsi="Arial"/>
          <w:sz w:val="14"/>
          <w:szCs w:val="14"/>
          <w:color w:val="54565B"/>
        </w:rPr>
        <w:t>To elect 12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176530</wp:posOffset>
            </wp:positionV>
            <wp:extent cx="3909060" cy="4718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09060" cy="471805"/>
                    </a:xfrm>
                    <a:prstGeom prst="rect">
                      <a:avLst/>
                    </a:prstGeom>
                    <a:noFill/>
                  </pic:spPr>
                </pic:pic>
              </a:graphicData>
            </a:graphic>
          </wp:anchor>
        </w:drawing>
      </w:r>
    </w:p>
    <w:p>
      <w:pPr>
        <w:spacing w:after="0" w:line="263" w:lineRule="exact"/>
        <w:rPr>
          <w:sz w:val="20"/>
          <w:szCs w:val="20"/>
          <w:color w:val="auto"/>
        </w:rPr>
      </w:pPr>
    </w:p>
    <w:p>
      <w:pPr>
        <w:ind w:left="680" w:hanging="474"/>
        <w:spacing w:after="0"/>
        <w:tabs>
          <w:tab w:leader="none" w:pos="680" w:val="left"/>
        </w:tabs>
        <w:numPr>
          <w:ilvl w:val="0"/>
          <w:numId w:val="3"/>
        </w:numPr>
        <w:rPr>
          <w:rFonts w:ascii="Arial" w:cs="Arial" w:eastAsia="Arial" w:hAnsi="Arial"/>
          <w:sz w:val="40"/>
          <w:szCs w:val="40"/>
          <w:color w:val="EA1D2D"/>
        </w:rPr>
      </w:pPr>
      <w:r>
        <w:rPr>
          <w:rFonts w:ascii="Arial" w:cs="Arial" w:eastAsia="Arial" w:hAnsi="Arial"/>
          <w:sz w:val="14"/>
          <w:szCs w:val="14"/>
          <w:color w:val="54565B"/>
        </w:rPr>
        <w:t>To ratify the appointment of our independent registered public accounting firm; and</w:t>
      </w:r>
    </w:p>
    <w:p>
      <w:pPr>
        <w:spacing w:after="0" w:line="283" w:lineRule="exact"/>
        <w:rPr>
          <w:sz w:val="20"/>
          <w:szCs w:val="20"/>
          <w:color w:val="auto"/>
        </w:rPr>
      </w:pPr>
    </w:p>
    <w:p>
      <w:pPr>
        <w:ind w:left="680" w:hanging="474"/>
        <w:spacing w:after="0"/>
        <w:tabs>
          <w:tab w:leader="none" w:pos="680" w:val="left"/>
        </w:tabs>
        <w:numPr>
          <w:ilvl w:val="0"/>
          <w:numId w:val="4"/>
        </w:numPr>
        <w:rPr>
          <w:rFonts w:ascii="Arial" w:cs="Arial" w:eastAsia="Arial" w:hAnsi="Arial"/>
          <w:sz w:val="40"/>
          <w:szCs w:val="40"/>
          <w:color w:val="EA1D2D"/>
        </w:rPr>
      </w:pPr>
      <w:r>
        <w:rPr>
          <w:rFonts w:ascii="Arial" w:cs="Arial" w:eastAsia="Arial" w:hAnsi="Arial"/>
          <w:sz w:val="14"/>
          <w:szCs w:val="14"/>
          <w:color w:val="54565B"/>
        </w:rPr>
        <w:t>To approve on an advisory basis our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39090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54565B"/>
        </w:rPr>
        <w:t>Shareholders will also transact such other business as may properly come before the meeting or any adjournment or postponement of the meeting.</w:t>
      </w:r>
    </w:p>
    <w:p>
      <w:pPr>
        <w:spacing w:after="0" w:line="21"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54565B"/>
        </w:rPr>
        <w:t>The 2026 annual meeting of shareholders will be a virtual meeting conducted via audio webcast. You will be able to participate in the virtual meeting online, vote your shares electronically and submit questions during the meeting by visiting www.virtualshareholdermeeting.com/AFG2026.</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54565B"/>
        </w:rPr>
        <w:t>You may vote if you were a shareholder of record at the close of business on</w:t>
      </w:r>
    </w:p>
    <w:p>
      <w:pPr>
        <w:spacing w:after="0" w:line="21"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54565B"/>
        </w:rPr>
        <w:t>March 27, 2026. Our proxy materials are available via the internet, which allows us to reduce printing and delivery costs.</w:t>
      </w:r>
    </w:p>
    <w:p>
      <w:pPr>
        <w:spacing w:after="0" w:line="50"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54565B"/>
        </w:rPr>
        <w:t xml:space="preserve">We want your shares to be represented at the meeting and urge you to vote. For instructions on voting and more information about the annual meeting, please refer to page </w:t>
      </w:r>
      <w:r>
        <w:rPr>
          <w:rFonts w:ascii="Arial" w:cs="Arial" w:eastAsia="Arial" w:hAnsi="Arial"/>
          <w:sz w:val="16"/>
          <w:szCs w:val="16"/>
          <w:u w:val="single" w:color="auto"/>
          <w:color w:val="0000EE"/>
        </w:rPr>
        <w:t>67</w:t>
      </w:r>
      <w:r>
        <w:rPr>
          <w:rFonts w:ascii="Arial" w:cs="Arial" w:eastAsia="Arial" w:hAnsi="Arial"/>
          <w:sz w:val="16"/>
          <w:szCs w:val="16"/>
          <w:color w:val="54565B"/>
        </w:rPr>
        <w:t xml:space="preserve"> under “Information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951230"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123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54565B"/>
        </w:rPr>
        <w:t xml:space="preserve">  </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54565B"/>
        </w:rPr>
        <w:t>Joseph C. Alter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54565B"/>
        </w:rPr>
        <w:t>Vice President and Secretary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54565B"/>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54565B"/>
        </w:rPr>
        <w:t>Cincinnati, Ohio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54565B"/>
        </w:rPr>
        <w:t>April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0B3C61"/>
        </w:rPr>
        <w:t>MEETING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-1962150</wp:posOffset>
            </wp:positionV>
            <wp:extent cx="1346200" cy="711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46200" cy="71183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-341630</wp:posOffset>
            </wp:positionV>
            <wp:extent cx="1903095" cy="3488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03095" cy="3488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0B3C61"/>
        </w:rPr>
        <w:t xml:space="preserve">  </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0B3C61"/>
        </w:rPr>
        <w:t>Date: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B3C61"/>
        </w:rPr>
        <w:t>May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0B3C61"/>
        </w:rPr>
        <w:t xml:space="preserve">  </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0B3C61"/>
        </w:rPr>
        <w:t>Time:</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0B3C61"/>
        </w:rPr>
        <w:t>11:00 a.m. Eastern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0B3C61"/>
        </w:rPr>
        <w:t xml:space="preserve">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B3C61"/>
        </w:rPr>
        <w:t>Location: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B3C61"/>
        </w:rPr>
        <w:t>www.virtualshareholder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B3C61"/>
        </w:rPr>
        <w:t>meeting.com/AFG2026</w:t>
      </w:r>
    </w:p>
    <w:p>
      <w:pPr>
        <w:sectPr>
          <w:pgSz w:w="11900" w:h="16838" w:orient="portrait"/>
          <w:cols w:equalWidth="0" w:num="2">
            <w:col w:w="6380" w:space="520"/>
            <w:col w:w="2319"/>
          </w:cols>
          <w:pgMar w:left="1240" w:top="11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7280" w:type="dxa"/>
            <w:vAlign w:val="bottom"/>
            <w:gridSpan w:val="37"/>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7040" w:type="dxa"/>
            <w:vAlign w:val="bottom"/>
            <w:gridSpan w:val="36"/>
          </w:tcPr>
          <w:p>
            <w:pPr>
              <w:spacing w:after="0"/>
              <w:rPr>
                <w:sz w:val="20"/>
                <w:szCs w:val="20"/>
                <w:color w:val="auto"/>
              </w:rPr>
            </w:pPr>
            <w:r>
              <w:rPr>
                <w:rFonts w:ascii="Arial" w:cs="Arial" w:eastAsia="Arial" w:hAnsi="Arial"/>
                <w:sz w:val="16"/>
                <w:szCs w:val="16"/>
                <w:b w:val="1"/>
                <w:bCs w:val="1"/>
                <w:color w:val="0000EE"/>
              </w:rPr>
              <w:t>2026 Proxy Statement Summary</w:t>
            </w:r>
          </w:p>
        </w:tc>
        <w:tc>
          <w:tcPr>
            <w:tcW w:w="1960" w:type="dxa"/>
            <w:vAlign w:val="bottom"/>
            <w:gridSpan w:val="3"/>
          </w:tcPr>
          <w:p>
            <w:pPr>
              <w:jc w:val="right"/>
              <w:ind w:right="20"/>
              <w:spacing w:after="0"/>
              <w:rPr>
                <w:sz w:val="20"/>
                <w:szCs w:val="20"/>
                <w:color w:val="auto"/>
              </w:rPr>
            </w:pPr>
            <w:r>
              <w:rPr>
                <w:rFonts w:ascii="Arial" w:cs="Arial" w:eastAsia="Arial" w:hAnsi="Arial"/>
                <w:sz w:val="16"/>
                <w:szCs w:val="16"/>
                <w:color w:val="0000EE"/>
              </w:rPr>
              <w:t>1</w:t>
            </w:r>
          </w:p>
        </w:tc>
        <w:tc>
          <w:tcPr>
            <w:tcW w:w="160" w:type="dxa"/>
            <w:vAlign w:val="bottom"/>
          </w:tcPr>
          <w:p>
            <w:pPr>
              <w:spacing w:after="0"/>
              <w:rPr>
                <w:sz w:val="24"/>
                <w:szCs w:val="24"/>
                <w:color w:val="auto"/>
              </w:rPr>
            </w:pPr>
          </w:p>
        </w:tc>
      </w:tr>
      <w:tr>
        <w:trPr>
          <w:trHeight w:val="61"/>
        </w:trPr>
        <w:tc>
          <w:tcPr>
            <w:tcW w:w="2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r>
      <w:tr>
        <w:trPr>
          <w:trHeight w:val="203"/>
        </w:trPr>
        <w:tc>
          <w:tcPr>
            <w:tcW w:w="240" w:type="dxa"/>
            <w:vAlign w:val="bottom"/>
            <w:shd w:val="clear" w:color="auto" w:fill="EAF7FA"/>
          </w:tcPr>
          <w:p>
            <w:pPr>
              <w:spacing w:after="0"/>
              <w:rPr>
                <w:sz w:val="17"/>
                <w:szCs w:val="17"/>
                <w:color w:val="auto"/>
              </w:rPr>
            </w:pPr>
          </w:p>
        </w:tc>
        <w:tc>
          <w:tcPr>
            <w:tcW w:w="7040" w:type="dxa"/>
            <w:vAlign w:val="bottom"/>
            <w:gridSpan w:val="36"/>
            <w:shd w:val="clear" w:color="auto" w:fill="EAF7FA"/>
          </w:tcPr>
          <w:p>
            <w:pPr>
              <w:spacing w:after="0"/>
              <w:rPr>
                <w:sz w:val="20"/>
                <w:szCs w:val="20"/>
                <w:color w:val="auto"/>
              </w:rPr>
            </w:pPr>
            <w:r>
              <w:rPr>
                <w:rFonts w:ascii="Arial" w:cs="Arial" w:eastAsia="Arial" w:hAnsi="Arial"/>
                <w:sz w:val="16"/>
                <w:szCs w:val="16"/>
                <w:b w:val="1"/>
                <w:bCs w:val="1"/>
                <w:color w:val="0000EE"/>
              </w:rPr>
              <w:t>Corporate Governance Highlights</w:t>
            </w:r>
          </w:p>
        </w:tc>
        <w:tc>
          <w:tcPr>
            <w:tcW w:w="1960" w:type="dxa"/>
            <w:vAlign w:val="bottom"/>
            <w:tcBorders>
              <w:right w:val="single" w:sz="8" w:color="EAF7FA"/>
            </w:tcBorders>
            <w:gridSpan w:val="3"/>
            <w:shd w:val="clear" w:color="auto" w:fill="EAF7FA"/>
          </w:tcPr>
          <w:p>
            <w:pPr>
              <w:jc w:val="right"/>
              <w:ind w:right="20"/>
              <w:spacing w:after="0"/>
              <w:rPr>
                <w:sz w:val="20"/>
                <w:szCs w:val="20"/>
                <w:color w:val="auto"/>
              </w:rPr>
            </w:pPr>
            <w:r>
              <w:rPr>
                <w:rFonts w:ascii="Arial" w:cs="Arial" w:eastAsia="Arial" w:hAnsi="Arial"/>
                <w:sz w:val="16"/>
                <w:szCs w:val="16"/>
                <w:color w:val="0000EE"/>
              </w:rPr>
              <w:t>5</w:t>
            </w:r>
          </w:p>
        </w:tc>
        <w:tc>
          <w:tcPr>
            <w:tcW w:w="160" w:type="dxa"/>
            <w:vAlign w:val="bottom"/>
            <w:shd w:val="clear" w:color="auto" w:fill="EAF7FA"/>
          </w:tcPr>
          <w:p>
            <w:pPr>
              <w:spacing w:after="0"/>
              <w:rPr>
                <w:sz w:val="17"/>
                <w:szCs w:val="17"/>
                <w:color w:val="auto"/>
              </w:rPr>
            </w:pPr>
          </w:p>
        </w:tc>
      </w:tr>
      <w:tr>
        <w:trPr>
          <w:trHeight w:val="61"/>
        </w:trPr>
        <w:tc>
          <w:tcPr>
            <w:tcW w:w="24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0000EE"/>
            </w:tcBorders>
            <w:shd w:val="clear" w:color="auto" w:fill="EAF7FA"/>
          </w:tcPr>
          <w:p>
            <w:pPr>
              <w:spacing w:after="0"/>
              <w:rPr>
                <w:sz w:val="5"/>
                <w:szCs w:val="5"/>
                <w:color w:val="auto"/>
              </w:rPr>
            </w:pPr>
          </w:p>
        </w:tc>
        <w:tc>
          <w:tcPr>
            <w:tcW w:w="400" w:type="dxa"/>
            <w:vAlign w:val="bottom"/>
            <w:tcBorders>
              <w:top w:val="single" w:sz="8" w:color="0000EE"/>
            </w:tcBorders>
            <w:shd w:val="clear" w:color="auto" w:fill="EAF7FA"/>
          </w:tcPr>
          <w:p>
            <w:pPr>
              <w:spacing w:after="0"/>
              <w:rPr>
                <w:sz w:val="5"/>
                <w:szCs w:val="5"/>
                <w:color w:val="auto"/>
              </w:rPr>
            </w:pPr>
          </w:p>
        </w:tc>
        <w:tc>
          <w:tcPr>
            <w:tcW w:w="4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20" w:type="dxa"/>
            <w:vAlign w:val="bottom"/>
            <w:tcBorders>
              <w:top w:val="single" w:sz="8" w:color="0000EE"/>
            </w:tcBorders>
            <w:shd w:val="clear" w:color="auto" w:fill="EAF7FA"/>
          </w:tcPr>
          <w:p>
            <w:pPr>
              <w:spacing w:after="0"/>
              <w:rPr>
                <w:sz w:val="5"/>
                <w:szCs w:val="5"/>
                <w:color w:val="auto"/>
              </w:rPr>
            </w:pPr>
          </w:p>
        </w:tc>
        <w:tc>
          <w:tcPr>
            <w:tcW w:w="14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 w:type="dxa"/>
            <w:vAlign w:val="bottom"/>
            <w:tcBorders>
              <w:top w:val="single" w:sz="8" w:color="EAF7FA"/>
            </w:tcBorders>
            <w:shd w:val="clear" w:color="auto" w:fill="EAF7FA"/>
          </w:tcPr>
          <w:p>
            <w:pPr>
              <w:spacing w:after="0"/>
              <w:rPr>
                <w:sz w:val="5"/>
                <w:szCs w:val="5"/>
                <w:color w:val="auto"/>
              </w:rPr>
            </w:pPr>
          </w:p>
        </w:tc>
        <w:tc>
          <w:tcPr>
            <w:tcW w:w="10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38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14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92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500" w:type="dxa"/>
            <w:vAlign w:val="bottom"/>
            <w:tcBorders>
              <w:top w:val="single" w:sz="8" w:color="EAF7FA"/>
            </w:tcBorders>
            <w:shd w:val="clear" w:color="auto" w:fill="EAF7FA"/>
          </w:tcPr>
          <w:p>
            <w:pPr>
              <w:spacing w:after="0"/>
              <w:rPr>
                <w:sz w:val="5"/>
                <w:szCs w:val="5"/>
                <w:color w:val="auto"/>
              </w:rPr>
            </w:pPr>
          </w:p>
        </w:tc>
        <w:tc>
          <w:tcPr>
            <w:tcW w:w="17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100" w:type="dxa"/>
            <w:vAlign w:val="bottom"/>
            <w:tcBorders>
              <w:top w:val="single" w:sz="8" w:color="0000EE"/>
              <w:right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r>
      <w:tr>
        <w:trPr>
          <w:trHeight w:val="249"/>
        </w:trPr>
        <w:tc>
          <w:tcPr>
            <w:tcW w:w="240" w:type="dxa"/>
            <w:vAlign w:val="bottom"/>
          </w:tcPr>
          <w:p>
            <w:pPr>
              <w:spacing w:after="0"/>
              <w:rPr>
                <w:sz w:val="21"/>
                <w:szCs w:val="21"/>
                <w:color w:val="auto"/>
              </w:rPr>
            </w:pPr>
          </w:p>
        </w:tc>
        <w:tc>
          <w:tcPr>
            <w:tcW w:w="7040" w:type="dxa"/>
            <w:vAlign w:val="bottom"/>
            <w:gridSpan w:val="36"/>
          </w:tcPr>
          <w:p>
            <w:pPr>
              <w:spacing w:after="0"/>
              <w:rPr>
                <w:sz w:val="20"/>
                <w:szCs w:val="20"/>
                <w:color w:val="auto"/>
              </w:rPr>
            </w:pPr>
            <w:r>
              <w:rPr>
                <w:rFonts w:ascii="Arial" w:cs="Arial" w:eastAsia="Arial" w:hAnsi="Arial"/>
                <w:sz w:val="16"/>
                <w:szCs w:val="16"/>
                <w:b w:val="1"/>
                <w:bCs w:val="1"/>
                <w:color w:val="54565B"/>
              </w:rPr>
              <w:t>Proposals</w:t>
            </w:r>
          </w:p>
        </w:tc>
        <w:tc>
          <w:tcPr>
            <w:tcW w:w="1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34"/>
        </w:trPr>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03"/>
        </w:trPr>
        <w:tc>
          <w:tcPr>
            <w:tcW w:w="240" w:type="dxa"/>
            <w:vAlign w:val="bottom"/>
            <w:shd w:val="clear" w:color="auto" w:fill="EAF7FA"/>
          </w:tcPr>
          <w:p>
            <w:pPr>
              <w:spacing w:after="0"/>
              <w:rPr>
                <w:sz w:val="17"/>
                <w:szCs w:val="17"/>
                <w:color w:val="auto"/>
              </w:rPr>
            </w:pPr>
          </w:p>
        </w:tc>
        <w:tc>
          <w:tcPr>
            <w:tcW w:w="180" w:type="dxa"/>
            <w:vAlign w:val="bottom"/>
            <w:shd w:val="clear" w:color="auto" w:fill="EAF7FA"/>
          </w:tcPr>
          <w:p>
            <w:pPr>
              <w:spacing w:after="0"/>
              <w:rPr>
                <w:sz w:val="17"/>
                <w:szCs w:val="17"/>
                <w:color w:val="auto"/>
              </w:rPr>
            </w:pPr>
          </w:p>
        </w:tc>
        <w:tc>
          <w:tcPr>
            <w:tcW w:w="6860" w:type="dxa"/>
            <w:vAlign w:val="bottom"/>
            <w:gridSpan w:val="35"/>
            <w:shd w:val="clear" w:color="auto" w:fill="EAF7FA"/>
          </w:tcPr>
          <w:p>
            <w:pPr>
              <w:spacing w:after="0"/>
              <w:rPr>
                <w:sz w:val="20"/>
                <w:szCs w:val="20"/>
                <w:color w:val="auto"/>
              </w:rPr>
            </w:pPr>
            <w:r>
              <w:rPr>
                <w:rFonts w:ascii="Arial" w:cs="Arial" w:eastAsia="Arial" w:hAnsi="Arial"/>
                <w:sz w:val="16"/>
                <w:szCs w:val="16"/>
                <w:color w:val="0000EE"/>
              </w:rPr>
              <w:t>Proposal No. 1 – Election of 12 Directors</w:t>
            </w:r>
          </w:p>
        </w:tc>
        <w:tc>
          <w:tcPr>
            <w:tcW w:w="1960" w:type="dxa"/>
            <w:vAlign w:val="bottom"/>
            <w:tcBorders>
              <w:right w:val="single" w:sz="8" w:color="EAF7FA"/>
            </w:tcBorders>
            <w:gridSpan w:val="3"/>
            <w:shd w:val="clear" w:color="auto" w:fill="EAF7FA"/>
          </w:tcPr>
          <w:p>
            <w:pPr>
              <w:jc w:val="right"/>
              <w:ind w:right="20"/>
              <w:spacing w:after="0"/>
              <w:rPr>
                <w:sz w:val="20"/>
                <w:szCs w:val="20"/>
                <w:color w:val="auto"/>
              </w:rPr>
            </w:pPr>
            <w:r>
              <w:rPr>
                <w:rFonts w:ascii="Arial" w:cs="Arial" w:eastAsia="Arial" w:hAnsi="Arial"/>
                <w:sz w:val="16"/>
                <w:szCs w:val="16"/>
                <w:color w:val="0000EE"/>
              </w:rPr>
              <w:t>9</w:t>
            </w:r>
          </w:p>
        </w:tc>
        <w:tc>
          <w:tcPr>
            <w:tcW w:w="160" w:type="dxa"/>
            <w:vAlign w:val="bottom"/>
            <w:shd w:val="clear" w:color="auto" w:fill="EAF7FA"/>
          </w:tcPr>
          <w:p>
            <w:pPr>
              <w:spacing w:after="0"/>
              <w:rPr>
                <w:sz w:val="17"/>
                <w:szCs w:val="17"/>
                <w:color w:val="auto"/>
              </w:rPr>
            </w:pPr>
          </w:p>
        </w:tc>
      </w:tr>
      <w:tr>
        <w:trPr>
          <w:trHeight w:val="61"/>
        </w:trPr>
        <w:tc>
          <w:tcPr>
            <w:tcW w:w="24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0" w:type="dxa"/>
            <w:vAlign w:val="bottom"/>
            <w:tcBorders>
              <w:top w:val="single" w:sz="8" w:color="0000EE"/>
            </w:tcBorders>
            <w:shd w:val="clear" w:color="auto" w:fill="EAF7FA"/>
          </w:tcPr>
          <w:p>
            <w:pPr>
              <w:spacing w:after="0"/>
              <w:rPr>
                <w:sz w:val="5"/>
                <w:szCs w:val="5"/>
                <w:color w:val="auto"/>
              </w:rPr>
            </w:pPr>
          </w:p>
        </w:tc>
        <w:tc>
          <w:tcPr>
            <w:tcW w:w="4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20" w:type="dxa"/>
            <w:vAlign w:val="bottom"/>
            <w:tcBorders>
              <w:top w:val="single" w:sz="8" w:color="0000EE"/>
            </w:tcBorders>
            <w:shd w:val="clear" w:color="auto" w:fill="EAF7FA"/>
          </w:tcPr>
          <w:p>
            <w:pPr>
              <w:spacing w:after="0"/>
              <w:rPr>
                <w:sz w:val="5"/>
                <w:szCs w:val="5"/>
                <w:color w:val="auto"/>
              </w:rPr>
            </w:pPr>
          </w:p>
        </w:tc>
        <w:tc>
          <w:tcPr>
            <w:tcW w:w="14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4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14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92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500" w:type="dxa"/>
            <w:vAlign w:val="bottom"/>
            <w:tcBorders>
              <w:top w:val="single" w:sz="8" w:color="EAF7FA"/>
            </w:tcBorders>
            <w:shd w:val="clear" w:color="auto" w:fill="EAF7FA"/>
          </w:tcPr>
          <w:p>
            <w:pPr>
              <w:spacing w:after="0"/>
              <w:rPr>
                <w:sz w:val="5"/>
                <w:szCs w:val="5"/>
                <w:color w:val="auto"/>
              </w:rPr>
            </w:pPr>
          </w:p>
        </w:tc>
        <w:tc>
          <w:tcPr>
            <w:tcW w:w="17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100" w:type="dxa"/>
            <w:vAlign w:val="bottom"/>
            <w:tcBorders>
              <w:top w:val="single" w:sz="8" w:color="0000EE"/>
              <w:right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r>
      <w:tr>
        <w:trPr>
          <w:trHeight w:val="203"/>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60" w:type="dxa"/>
            <w:vAlign w:val="bottom"/>
            <w:gridSpan w:val="35"/>
          </w:tcPr>
          <w:p>
            <w:pPr>
              <w:spacing w:after="0"/>
              <w:rPr>
                <w:sz w:val="20"/>
                <w:szCs w:val="20"/>
                <w:color w:val="auto"/>
              </w:rPr>
            </w:pPr>
            <w:r>
              <w:rPr>
                <w:rFonts w:ascii="Arial" w:cs="Arial" w:eastAsia="Arial" w:hAnsi="Arial"/>
                <w:sz w:val="16"/>
                <w:szCs w:val="16"/>
                <w:color w:val="0000EE"/>
              </w:rPr>
              <w:t>Proposal No. 2 – Ratification of Appointment of Independent Registered Public Accounting Firm</w:t>
            </w:r>
          </w:p>
        </w:tc>
        <w:tc>
          <w:tcPr>
            <w:tcW w:w="2120" w:type="dxa"/>
            <w:vAlign w:val="bottom"/>
            <w:gridSpan w:val="4"/>
          </w:tcPr>
          <w:p>
            <w:pPr>
              <w:jc w:val="right"/>
              <w:ind w:right="160"/>
              <w:spacing w:after="0"/>
              <w:rPr>
                <w:sz w:val="20"/>
                <w:szCs w:val="20"/>
                <w:color w:val="auto"/>
              </w:rPr>
            </w:pPr>
            <w:r>
              <w:rPr>
                <w:rFonts w:ascii="Arial" w:cs="Arial" w:eastAsia="Arial" w:hAnsi="Arial"/>
                <w:sz w:val="16"/>
                <w:szCs w:val="16"/>
                <w:color w:val="0000EE"/>
              </w:rPr>
              <w:t>18</w:t>
            </w:r>
          </w:p>
        </w:tc>
      </w:tr>
      <w:tr>
        <w:trPr>
          <w:trHeight w:val="61"/>
        </w:trPr>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r>
      <w:tr>
        <w:trPr>
          <w:trHeight w:val="203"/>
        </w:trPr>
        <w:tc>
          <w:tcPr>
            <w:tcW w:w="240" w:type="dxa"/>
            <w:vAlign w:val="bottom"/>
            <w:shd w:val="clear" w:color="auto" w:fill="EAF7FA"/>
          </w:tcPr>
          <w:p>
            <w:pPr>
              <w:spacing w:after="0"/>
              <w:rPr>
                <w:sz w:val="17"/>
                <w:szCs w:val="17"/>
                <w:color w:val="auto"/>
              </w:rPr>
            </w:pPr>
          </w:p>
        </w:tc>
        <w:tc>
          <w:tcPr>
            <w:tcW w:w="180" w:type="dxa"/>
            <w:vAlign w:val="bottom"/>
            <w:shd w:val="clear" w:color="auto" w:fill="EAF7FA"/>
          </w:tcPr>
          <w:p>
            <w:pPr>
              <w:spacing w:after="0"/>
              <w:rPr>
                <w:sz w:val="17"/>
                <w:szCs w:val="17"/>
                <w:color w:val="auto"/>
              </w:rPr>
            </w:pPr>
          </w:p>
        </w:tc>
        <w:tc>
          <w:tcPr>
            <w:tcW w:w="6860" w:type="dxa"/>
            <w:vAlign w:val="bottom"/>
            <w:gridSpan w:val="35"/>
            <w:shd w:val="clear" w:color="auto" w:fill="EAF7FA"/>
          </w:tcPr>
          <w:p>
            <w:pPr>
              <w:spacing w:after="0"/>
              <w:rPr>
                <w:sz w:val="20"/>
                <w:szCs w:val="20"/>
                <w:color w:val="auto"/>
              </w:rPr>
            </w:pPr>
            <w:r>
              <w:rPr>
                <w:rFonts w:ascii="Arial" w:cs="Arial" w:eastAsia="Arial" w:hAnsi="Arial"/>
                <w:sz w:val="16"/>
                <w:szCs w:val="16"/>
                <w:color w:val="0000EE"/>
              </w:rPr>
              <w:t>Proposal No. 3 – Advisory Vote on Compensation of our Named Executive Officers</w:t>
            </w:r>
          </w:p>
        </w:tc>
        <w:tc>
          <w:tcPr>
            <w:tcW w:w="2120" w:type="dxa"/>
            <w:vAlign w:val="bottom"/>
            <w:gridSpan w:val="4"/>
            <w:shd w:val="clear" w:color="auto" w:fill="EAF7FA"/>
          </w:tcPr>
          <w:p>
            <w:pPr>
              <w:jc w:val="right"/>
              <w:ind w:right="160"/>
              <w:spacing w:after="0"/>
              <w:rPr>
                <w:sz w:val="20"/>
                <w:szCs w:val="20"/>
                <w:color w:val="auto"/>
              </w:rPr>
            </w:pPr>
            <w:r>
              <w:rPr>
                <w:rFonts w:ascii="Arial" w:cs="Arial" w:eastAsia="Arial" w:hAnsi="Arial"/>
                <w:sz w:val="16"/>
                <w:szCs w:val="16"/>
                <w:color w:val="0000EE"/>
              </w:rPr>
              <w:t>20</w:t>
            </w:r>
          </w:p>
        </w:tc>
      </w:tr>
      <w:tr>
        <w:trPr>
          <w:trHeight w:val="61"/>
        </w:trPr>
        <w:tc>
          <w:tcPr>
            <w:tcW w:w="24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0" w:type="dxa"/>
            <w:vAlign w:val="bottom"/>
            <w:tcBorders>
              <w:top w:val="single" w:sz="8" w:color="0000EE"/>
            </w:tcBorders>
            <w:shd w:val="clear" w:color="auto" w:fill="EAF7FA"/>
          </w:tcPr>
          <w:p>
            <w:pPr>
              <w:spacing w:after="0"/>
              <w:rPr>
                <w:sz w:val="5"/>
                <w:szCs w:val="5"/>
                <w:color w:val="auto"/>
              </w:rPr>
            </w:pPr>
          </w:p>
        </w:tc>
        <w:tc>
          <w:tcPr>
            <w:tcW w:w="4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20" w:type="dxa"/>
            <w:vAlign w:val="bottom"/>
            <w:tcBorders>
              <w:top w:val="single" w:sz="8" w:color="0000EE"/>
            </w:tcBorders>
            <w:shd w:val="clear" w:color="auto" w:fill="EAF7FA"/>
          </w:tcPr>
          <w:p>
            <w:pPr>
              <w:spacing w:after="0"/>
              <w:rPr>
                <w:sz w:val="5"/>
                <w:szCs w:val="5"/>
                <w:color w:val="auto"/>
              </w:rPr>
            </w:pPr>
          </w:p>
        </w:tc>
        <w:tc>
          <w:tcPr>
            <w:tcW w:w="14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4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180" w:type="dxa"/>
            <w:vAlign w:val="bottom"/>
            <w:tcBorders>
              <w:top w:val="single" w:sz="8" w:color="0000EE"/>
            </w:tcBorders>
            <w:shd w:val="clear" w:color="auto" w:fill="EAF7FA"/>
          </w:tcPr>
          <w:p>
            <w:pPr>
              <w:spacing w:after="0"/>
              <w:rPr>
                <w:sz w:val="5"/>
                <w:szCs w:val="5"/>
                <w:color w:val="auto"/>
              </w:rPr>
            </w:pPr>
          </w:p>
        </w:tc>
        <w:tc>
          <w:tcPr>
            <w:tcW w:w="140" w:type="dxa"/>
            <w:vAlign w:val="bottom"/>
            <w:tcBorders>
              <w:top w:val="single" w:sz="8" w:color="0000EE"/>
            </w:tcBorders>
            <w:shd w:val="clear" w:color="auto" w:fill="EAF7FA"/>
          </w:tcPr>
          <w:p>
            <w:pPr>
              <w:spacing w:after="0"/>
              <w:rPr>
                <w:sz w:val="5"/>
                <w:szCs w:val="5"/>
                <w:color w:val="auto"/>
              </w:rPr>
            </w:pPr>
          </w:p>
        </w:tc>
        <w:tc>
          <w:tcPr>
            <w:tcW w:w="420" w:type="dxa"/>
            <w:vAlign w:val="bottom"/>
            <w:tcBorders>
              <w:top w:val="single" w:sz="8" w:color="0000EE"/>
            </w:tcBorders>
            <w:shd w:val="clear" w:color="auto" w:fill="EAF7FA"/>
          </w:tcPr>
          <w:p>
            <w:pPr>
              <w:spacing w:after="0"/>
              <w:rPr>
                <w:sz w:val="5"/>
                <w:szCs w:val="5"/>
                <w:color w:val="auto"/>
              </w:rPr>
            </w:pPr>
          </w:p>
        </w:tc>
        <w:tc>
          <w:tcPr>
            <w:tcW w:w="180" w:type="dxa"/>
            <w:vAlign w:val="bottom"/>
            <w:tcBorders>
              <w:top w:val="single" w:sz="8" w:color="0000EE"/>
            </w:tcBorders>
            <w:shd w:val="clear" w:color="auto" w:fill="EAF7FA"/>
          </w:tcPr>
          <w:p>
            <w:pPr>
              <w:spacing w:after="0"/>
              <w:rPr>
                <w:sz w:val="5"/>
                <w:szCs w:val="5"/>
                <w:color w:val="auto"/>
              </w:rPr>
            </w:pPr>
          </w:p>
        </w:tc>
        <w:tc>
          <w:tcPr>
            <w:tcW w:w="4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200" w:type="dxa"/>
            <w:vAlign w:val="bottom"/>
            <w:tcBorders>
              <w:top w:val="single" w:sz="8" w:color="0000EE"/>
            </w:tcBorders>
            <w:shd w:val="clear" w:color="auto" w:fill="EAF7FA"/>
          </w:tcPr>
          <w:p>
            <w:pPr>
              <w:spacing w:after="0"/>
              <w:rPr>
                <w:sz w:val="5"/>
                <w:szCs w:val="5"/>
                <w:color w:val="auto"/>
              </w:rPr>
            </w:pPr>
          </w:p>
        </w:tc>
        <w:tc>
          <w:tcPr>
            <w:tcW w:w="180" w:type="dxa"/>
            <w:vAlign w:val="bottom"/>
            <w:tcBorders>
              <w:top w:val="single" w:sz="8" w:color="0000EE"/>
            </w:tcBorders>
            <w:shd w:val="clear" w:color="auto" w:fill="EAF7FA"/>
          </w:tcPr>
          <w:p>
            <w:pPr>
              <w:spacing w:after="0"/>
              <w:rPr>
                <w:sz w:val="5"/>
                <w:szCs w:val="5"/>
                <w:color w:val="auto"/>
              </w:rPr>
            </w:pPr>
          </w:p>
        </w:tc>
        <w:tc>
          <w:tcPr>
            <w:tcW w:w="920" w:type="dxa"/>
            <w:vAlign w:val="bottom"/>
            <w:tcBorders>
              <w:top w:val="single" w:sz="8" w:color="0000EE"/>
            </w:tcBorders>
            <w:shd w:val="clear" w:color="auto" w:fill="EAF7FA"/>
          </w:tcPr>
          <w:p>
            <w:pPr>
              <w:spacing w:after="0"/>
              <w:rPr>
                <w:sz w:val="5"/>
                <w:szCs w:val="5"/>
                <w:color w:val="auto"/>
              </w:rPr>
            </w:pPr>
          </w:p>
        </w:tc>
        <w:tc>
          <w:tcPr>
            <w:tcW w:w="200" w:type="dxa"/>
            <w:vAlign w:val="bottom"/>
            <w:tcBorders>
              <w:top w:val="single" w:sz="8" w:color="0000EE"/>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500" w:type="dxa"/>
            <w:vAlign w:val="bottom"/>
            <w:tcBorders>
              <w:top w:val="single" w:sz="8" w:color="EAF7FA"/>
            </w:tcBorders>
            <w:shd w:val="clear" w:color="auto" w:fill="EAF7FA"/>
          </w:tcPr>
          <w:p>
            <w:pPr>
              <w:spacing w:after="0"/>
              <w:rPr>
                <w:sz w:val="5"/>
                <w:szCs w:val="5"/>
                <w:color w:val="auto"/>
              </w:rPr>
            </w:pPr>
          </w:p>
        </w:tc>
        <w:tc>
          <w:tcPr>
            <w:tcW w:w="17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right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r>
      <w:tr>
        <w:trPr>
          <w:trHeight w:val="203"/>
        </w:trPr>
        <w:tc>
          <w:tcPr>
            <w:tcW w:w="240" w:type="dxa"/>
            <w:vAlign w:val="bottom"/>
          </w:tcPr>
          <w:p>
            <w:pPr>
              <w:spacing w:after="0"/>
              <w:rPr>
                <w:sz w:val="17"/>
                <w:szCs w:val="17"/>
                <w:color w:val="auto"/>
              </w:rPr>
            </w:pPr>
          </w:p>
        </w:tc>
        <w:tc>
          <w:tcPr>
            <w:tcW w:w="7040" w:type="dxa"/>
            <w:vAlign w:val="bottom"/>
            <w:gridSpan w:val="36"/>
          </w:tcPr>
          <w:p>
            <w:pPr>
              <w:spacing w:after="0"/>
              <w:rPr>
                <w:sz w:val="20"/>
                <w:szCs w:val="20"/>
                <w:color w:val="auto"/>
              </w:rPr>
            </w:pPr>
            <w:r>
              <w:rPr>
                <w:rFonts w:ascii="Arial" w:cs="Arial" w:eastAsia="Arial" w:hAnsi="Arial"/>
                <w:sz w:val="16"/>
                <w:szCs w:val="16"/>
                <w:b w:val="1"/>
                <w:bCs w:val="1"/>
                <w:color w:val="0000EE"/>
              </w:rPr>
              <w:t>Company Information</w:t>
            </w:r>
          </w:p>
        </w:tc>
        <w:tc>
          <w:tcPr>
            <w:tcW w:w="2120" w:type="dxa"/>
            <w:vAlign w:val="bottom"/>
            <w:gridSpan w:val="4"/>
          </w:tcPr>
          <w:p>
            <w:pPr>
              <w:jc w:val="right"/>
              <w:ind w:right="160"/>
              <w:spacing w:after="0"/>
              <w:rPr>
                <w:sz w:val="20"/>
                <w:szCs w:val="20"/>
                <w:color w:val="auto"/>
              </w:rPr>
            </w:pPr>
            <w:r>
              <w:rPr>
                <w:rFonts w:ascii="Arial" w:cs="Arial" w:eastAsia="Arial" w:hAnsi="Arial"/>
                <w:sz w:val="16"/>
                <w:szCs w:val="16"/>
                <w:color w:val="0000EE"/>
              </w:rPr>
              <w:t>21</w:t>
            </w:r>
          </w:p>
        </w:tc>
      </w:tr>
      <w:tr>
        <w:trPr>
          <w:trHeight w:val="61"/>
        </w:trPr>
        <w:tc>
          <w:tcPr>
            <w:tcW w:w="2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r>
      <w:tr>
        <w:trPr>
          <w:trHeight w:val="203"/>
        </w:trPr>
        <w:tc>
          <w:tcPr>
            <w:tcW w:w="240" w:type="dxa"/>
            <w:vAlign w:val="bottom"/>
            <w:shd w:val="clear" w:color="auto" w:fill="EAF7FA"/>
          </w:tcPr>
          <w:p>
            <w:pPr>
              <w:spacing w:after="0"/>
              <w:rPr>
                <w:sz w:val="17"/>
                <w:szCs w:val="17"/>
                <w:color w:val="auto"/>
              </w:rPr>
            </w:pPr>
          </w:p>
        </w:tc>
        <w:tc>
          <w:tcPr>
            <w:tcW w:w="180" w:type="dxa"/>
            <w:vAlign w:val="bottom"/>
            <w:shd w:val="clear" w:color="auto" w:fill="EAF7FA"/>
          </w:tcPr>
          <w:p>
            <w:pPr>
              <w:spacing w:after="0"/>
              <w:rPr>
                <w:sz w:val="17"/>
                <w:szCs w:val="17"/>
                <w:color w:val="auto"/>
              </w:rPr>
            </w:pPr>
          </w:p>
        </w:tc>
        <w:tc>
          <w:tcPr>
            <w:tcW w:w="6860" w:type="dxa"/>
            <w:vAlign w:val="bottom"/>
            <w:gridSpan w:val="35"/>
            <w:shd w:val="clear" w:color="auto" w:fill="EAF7FA"/>
          </w:tcPr>
          <w:p>
            <w:pPr>
              <w:spacing w:after="0"/>
              <w:rPr>
                <w:sz w:val="20"/>
                <w:szCs w:val="20"/>
                <w:color w:val="auto"/>
              </w:rPr>
            </w:pPr>
            <w:r>
              <w:rPr>
                <w:rFonts w:ascii="Arial" w:cs="Arial" w:eastAsia="Arial" w:hAnsi="Arial"/>
                <w:sz w:val="16"/>
                <w:szCs w:val="16"/>
                <w:color w:val="0000EE"/>
              </w:rPr>
              <w:t>Management</w:t>
            </w:r>
          </w:p>
        </w:tc>
        <w:tc>
          <w:tcPr>
            <w:tcW w:w="2120" w:type="dxa"/>
            <w:vAlign w:val="bottom"/>
            <w:gridSpan w:val="4"/>
            <w:shd w:val="clear" w:color="auto" w:fill="EAF7FA"/>
          </w:tcPr>
          <w:p>
            <w:pPr>
              <w:jc w:val="right"/>
              <w:ind w:right="160"/>
              <w:spacing w:after="0"/>
              <w:rPr>
                <w:sz w:val="20"/>
                <w:szCs w:val="20"/>
                <w:color w:val="auto"/>
              </w:rPr>
            </w:pPr>
            <w:r>
              <w:rPr>
                <w:rFonts w:ascii="Arial" w:cs="Arial" w:eastAsia="Arial" w:hAnsi="Arial"/>
                <w:sz w:val="16"/>
                <w:szCs w:val="16"/>
                <w:color w:val="0000EE"/>
              </w:rPr>
              <w:t>21</w:t>
            </w:r>
          </w:p>
        </w:tc>
      </w:tr>
      <w:tr>
        <w:trPr>
          <w:trHeight w:val="61"/>
        </w:trPr>
        <w:tc>
          <w:tcPr>
            <w:tcW w:w="24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0" w:type="dxa"/>
            <w:vAlign w:val="bottom"/>
            <w:tcBorders>
              <w:top w:val="single" w:sz="8" w:color="0000EE"/>
            </w:tcBorders>
            <w:shd w:val="clear" w:color="auto" w:fill="EAF7FA"/>
          </w:tcPr>
          <w:p>
            <w:pPr>
              <w:spacing w:after="0"/>
              <w:rPr>
                <w:sz w:val="5"/>
                <w:szCs w:val="5"/>
                <w:color w:val="auto"/>
              </w:rPr>
            </w:pPr>
          </w:p>
        </w:tc>
        <w:tc>
          <w:tcPr>
            <w:tcW w:w="4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380" w:type="dxa"/>
            <w:vAlign w:val="bottom"/>
            <w:tcBorders>
              <w:top w:val="single" w:sz="8" w:color="EAF7FA"/>
            </w:tcBorders>
            <w:shd w:val="clear" w:color="auto" w:fill="EAF7FA"/>
          </w:tcPr>
          <w:p>
            <w:pPr>
              <w:spacing w:after="0"/>
              <w:rPr>
                <w:sz w:val="5"/>
                <w:szCs w:val="5"/>
                <w:color w:val="auto"/>
              </w:rPr>
            </w:pPr>
          </w:p>
        </w:tc>
        <w:tc>
          <w:tcPr>
            <w:tcW w:w="20" w:type="dxa"/>
            <w:vAlign w:val="bottom"/>
            <w:tcBorders>
              <w:top w:val="single" w:sz="8" w:color="EAF7FA"/>
            </w:tcBorders>
            <w:shd w:val="clear" w:color="auto" w:fill="EAF7FA"/>
          </w:tcPr>
          <w:p>
            <w:pPr>
              <w:spacing w:after="0"/>
              <w:rPr>
                <w:sz w:val="5"/>
                <w:szCs w:val="5"/>
                <w:color w:val="auto"/>
              </w:rPr>
            </w:pPr>
          </w:p>
        </w:tc>
        <w:tc>
          <w:tcPr>
            <w:tcW w:w="60" w:type="dxa"/>
            <w:vAlign w:val="bottom"/>
            <w:tcBorders>
              <w:top w:val="single" w:sz="8" w:color="EAF7FA"/>
            </w:tcBorders>
            <w:shd w:val="clear" w:color="auto" w:fill="EAF7FA"/>
          </w:tcPr>
          <w:p>
            <w:pPr>
              <w:spacing w:after="0"/>
              <w:rPr>
                <w:sz w:val="5"/>
                <w:szCs w:val="5"/>
                <w:color w:val="auto"/>
              </w:rPr>
            </w:pPr>
          </w:p>
        </w:tc>
        <w:tc>
          <w:tcPr>
            <w:tcW w:w="60" w:type="dxa"/>
            <w:vAlign w:val="bottom"/>
            <w:tcBorders>
              <w:top w:val="single" w:sz="8" w:color="EAF7FA"/>
            </w:tcBorders>
            <w:shd w:val="clear" w:color="auto" w:fill="EAF7FA"/>
          </w:tcPr>
          <w:p>
            <w:pPr>
              <w:spacing w:after="0"/>
              <w:rPr>
                <w:sz w:val="5"/>
                <w:szCs w:val="5"/>
                <w:color w:val="auto"/>
              </w:rPr>
            </w:pPr>
          </w:p>
        </w:tc>
        <w:tc>
          <w:tcPr>
            <w:tcW w:w="100" w:type="dxa"/>
            <w:vAlign w:val="bottom"/>
            <w:tcBorders>
              <w:top w:val="single" w:sz="8" w:color="EAF7FA"/>
            </w:tcBorders>
            <w:shd w:val="clear" w:color="auto" w:fill="EAF7FA"/>
          </w:tcPr>
          <w:p>
            <w:pPr>
              <w:spacing w:after="0"/>
              <w:rPr>
                <w:sz w:val="5"/>
                <w:szCs w:val="5"/>
                <w:color w:val="auto"/>
              </w:rPr>
            </w:pPr>
          </w:p>
        </w:tc>
        <w:tc>
          <w:tcPr>
            <w:tcW w:w="20" w:type="dxa"/>
            <w:vAlign w:val="bottom"/>
            <w:tcBorders>
              <w:top w:val="single" w:sz="8" w:color="EAF7FA"/>
            </w:tcBorders>
            <w:shd w:val="clear" w:color="auto" w:fill="EAF7FA"/>
          </w:tcPr>
          <w:p>
            <w:pPr>
              <w:spacing w:after="0"/>
              <w:rPr>
                <w:sz w:val="5"/>
                <w:szCs w:val="5"/>
                <w:color w:val="auto"/>
              </w:rPr>
            </w:pPr>
          </w:p>
        </w:tc>
        <w:tc>
          <w:tcPr>
            <w:tcW w:w="20" w:type="dxa"/>
            <w:vAlign w:val="bottom"/>
            <w:tcBorders>
              <w:top w:val="single" w:sz="8" w:color="EAF7FA"/>
            </w:tcBorders>
            <w:shd w:val="clear" w:color="auto" w:fill="EAF7FA"/>
          </w:tcPr>
          <w:p>
            <w:pPr>
              <w:spacing w:after="0"/>
              <w:rPr>
                <w:sz w:val="5"/>
                <w:szCs w:val="5"/>
                <w:color w:val="auto"/>
              </w:rPr>
            </w:pPr>
          </w:p>
        </w:tc>
        <w:tc>
          <w:tcPr>
            <w:tcW w:w="220" w:type="dxa"/>
            <w:vAlign w:val="bottom"/>
            <w:tcBorders>
              <w:top w:val="single" w:sz="8" w:color="EAF7FA"/>
            </w:tcBorders>
            <w:shd w:val="clear" w:color="auto" w:fill="EAF7FA"/>
          </w:tcPr>
          <w:p>
            <w:pPr>
              <w:spacing w:after="0"/>
              <w:rPr>
                <w:sz w:val="5"/>
                <w:szCs w:val="5"/>
                <w:color w:val="auto"/>
              </w:rPr>
            </w:pPr>
          </w:p>
        </w:tc>
        <w:tc>
          <w:tcPr>
            <w:tcW w:w="14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120" w:type="dxa"/>
            <w:vAlign w:val="bottom"/>
            <w:tcBorders>
              <w:top w:val="single" w:sz="8" w:color="EAF7FA"/>
            </w:tcBorders>
            <w:shd w:val="clear" w:color="auto" w:fill="EAF7FA"/>
          </w:tcPr>
          <w:p>
            <w:pPr>
              <w:spacing w:after="0"/>
              <w:rPr>
                <w:sz w:val="5"/>
                <w:szCs w:val="5"/>
                <w:color w:val="auto"/>
              </w:rPr>
            </w:pPr>
          </w:p>
        </w:tc>
        <w:tc>
          <w:tcPr>
            <w:tcW w:w="12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 w:type="dxa"/>
            <w:vAlign w:val="bottom"/>
            <w:tcBorders>
              <w:top w:val="single" w:sz="8" w:color="EAF7FA"/>
            </w:tcBorders>
            <w:shd w:val="clear" w:color="auto" w:fill="EAF7FA"/>
          </w:tcPr>
          <w:p>
            <w:pPr>
              <w:spacing w:after="0"/>
              <w:rPr>
                <w:sz w:val="5"/>
                <w:szCs w:val="5"/>
                <w:color w:val="auto"/>
              </w:rPr>
            </w:pPr>
          </w:p>
        </w:tc>
        <w:tc>
          <w:tcPr>
            <w:tcW w:w="10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38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14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92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500" w:type="dxa"/>
            <w:vAlign w:val="bottom"/>
            <w:tcBorders>
              <w:top w:val="single" w:sz="8" w:color="EAF7FA"/>
            </w:tcBorders>
            <w:shd w:val="clear" w:color="auto" w:fill="EAF7FA"/>
          </w:tcPr>
          <w:p>
            <w:pPr>
              <w:spacing w:after="0"/>
              <w:rPr>
                <w:sz w:val="5"/>
                <w:szCs w:val="5"/>
                <w:color w:val="auto"/>
              </w:rPr>
            </w:pPr>
          </w:p>
        </w:tc>
        <w:tc>
          <w:tcPr>
            <w:tcW w:w="17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right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r>
      <w:tr>
        <w:trPr>
          <w:trHeight w:val="203"/>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60" w:type="dxa"/>
            <w:vAlign w:val="bottom"/>
            <w:gridSpan w:val="35"/>
          </w:tcPr>
          <w:p>
            <w:pPr>
              <w:spacing w:after="0"/>
              <w:rPr>
                <w:sz w:val="20"/>
                <w:szCs w:val="20"/>
                <w:color w:val="auto"/>
              </w:rPr>
            </w:pPr>
            <w:r>
              <w:rPr>
                <w:rFonts w:ascii="Arial" w:cs="Arial" w:eastAsia="Arial" w:hAnsi="Arial"/>
                <w:sz w:val="16"/>
                <w:szCs w:val="16"/>
                <w:color w:val="0000EE"/>
              </w:rPr>
              <w:t>Security Ownership of Certain Beneficial Owners and Management</w:t>
            </w:r>
          </w:p>
        </w:tc>
        <w:tc>
          <w:tcPr>
            <w:tcW w:w="2120" w:type="dxa"/>
            <w:vAlign w:val="bottom"/>
            <w:gridSpan w:val="4"/>
          </w:tcPr>
          <w:p>
            <w:pPr>
              <w:jc w:val="right"/>
              <w:ind w:right="160"/>
              <w:spacing w:after="0"/>
              <w:rPr>
                <w:sz w:val="20"/>
                <w:szCs w:val="20"/>
                <w:color w:val="auto"/>
              </w:rPr>
            </w:pPr>
            <w:r>
              <w:rPr>
                <w:rFonts w:ascii="Arial" w:cs="Arial" w:eastAsia="Arial" w:hAnsi="Arial"/>
                <w:sz w:val="16"/>
                <w:szCs w:val="16"/>
                <w:color w:val="0000EE"/>
              </w:rPr>
              <w:t>22</w:t>
            </w:r>
          </w:p>
        </w:tc>
      </w:tr>
      <w:tr>
        <w:trPr>
          <w:trHeight w:val="61"/>
        </w:trPr>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r>
      <w:tr>
        <w:trPr>
          <w:trHeight w:val="203"/>
        </w:trPr>
        <w:tc>
          <w:tcPr>
            <w:tcW w:w="240" w:type="dxa"/>
            <w:vAlign w:val="bottom"/>
            <w:shd w:val="clear" w:color="auto" w:fill="EAF7FA"/>
          </w:tcPr>
          <w:p>
            <w:pPr>
              <w:spacing w:after="0"/>
              <w:rPr>
                <w:sz w:val="17"/>
                <w:szCs w:val="17"/>
                <w:color w:val="auto"/>
              </w:rPr>
            </w:pPr>
          </w:p>
        </w:tc>
        <w:tc>
          <w:tcPr>
            <w:tcW w:w="7040" w:type="dxa"/>
            <w:vAlign w:val="bottom"/>
            <w:gridSpan w:val="36"/>
            <w:shd w:val="clear" w:color="auto" w:fill="EAF7FA"/>
          </w:tcPr>
          <w:p>
            <w:pPr>
              <w:spacing w:after="0"/>
              <w:rPr>
                <w:sz w:val="20"/>
                <w:szCs w:val="20"/>
                <w:color w:val="auto"/>
              </w:rPr>
            </w:pPr>
            <w:r>
              <w:rPr>
                <w:rFonts w:ascii="Arial" w:cs="Arial" w:eastAsia="Arial" w:hAnsi="Arial"/>
                <w:sz w:val="16"/>
                <w:szCs w:val="16"/>
                <w:b w:val="1"/>
                <w:bCs w:val="1"/>
                <w:color w:val="0000EE"/>
              </w:rPr>
              <w:t>Corporate Governance</w:t>
            </w:r>
          </w:p>
        </w:tc>
        <w:tc>
          <w:tcPr>
            <w:tcW w:w="2120" w:type="dxa"/>
            <w:vAlign w:val="bottom"/>
            <w:gridSpan w:val="4"/>
            <w:shd w:val="clear" w:color="auto" w:fill="EAF7FA"/>
          </w:tcPr>
          <w:p>
            <w:pPr>
              <w:jc w:val="right"/>
              <w:ind w:right="160"/>
              <w:spacing w:after="0"/>
              <w:rPr>
                <w:sz w:val="20"/>
                <w:szCs w:val="20"/>
                <w:color w:val="auto"/>
              </w:rPr>
            </w:pPr>
            <w:r>
              <w:rPr>
                <w:rFonts w:ascii="Arial" w:cs="Arial" w:eastAsia="Arial" w:hAnsi="Arial"/>
                <w:sz w:val="16"/>
                <w:szCs w:val="16"/>
                <w:color w:val="0000EE"/>
              </w:rPr>
              <w:t>24</w:t>
            </w:r>
          </w:p>
        </w:tc>
      </w:tr>
      <w:tr>
        <w:trPr>
          <w:trHeight w:val="61"/>
        </w:trPr>
        <w:tc>
          <w:tcPr>
            <w:tcW w:w="24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0000EE"/>
            </w:tcBorders>
            <w:shd w:val="clear" w:color="auto" w:fill="EAF7FA"/>
          </w:tcPr>
          <w:p>
            <w:pPr>
              <w:spacing w:after="0"/>
              <w:rPr>
                <w:sz w:val="5"/>
                <w:szCs w:val="5"/>
                <w:color w:val="auto"/>
              </w:rPr>
            </w:pPr>
          </w:p>
        </w:tc>
        <w:tc>
          <w:tcPr>
            <w:tcW w:w="400" w:type="dxa"/>
            <w:vAlign w:val="bottom"/>
            <w:tcBorders>
              <w:top w:val="single" w:sz="8" w:color="0000EE"/>
            </w:tcBorders>
            <w:shd w:val="clear" w:color="auto" w:fill="EAF7FA"/>
          </w:tcPr>
          <w:p>
            <w:pPr>
              <w:spacing w:after="0"/>
              <w:rPr>
                <w:sz w:val="5"/>
                <w:szCs w:val="5"/>
                <w:color w:val="auto"/>
              </w:rPr>
            </w:pPr>
          </w:p>
        </w:tc>
        <w:tc>
          <w:tcPr>
            <w:tcW w:w="4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EAF7FA"/>
            </w:tcBorders>
            <w:shd w:val="clear" w:color="auto" w:fill="EAF7FA"/>
          </w:tcPr>
          <w:p>
            <w:pPr>
              <w:spacing w:after="0"/>
              <w:rPr>
                <w:sz w:val="5"/>
                <w:szCs w:val="5"/>
                <w:color w:val="auto"/>
              </w:rPr>
            </w:pPr>
          </w:p>
        </w:tc>
        <w:tc>
          <w:tcPr>
            <w:tcW w:w="100" w:type="dxa"/>
            <w:vAlign w:val="bottom"/>
            <w:tcBorders>
              <w:top w:val="single" w:sz="8" w:color="EAF7FA"/>
            </w:tcBorders>
            <w:shd w:val="clear" w:color="auto" w:fill="EAF7FA"/>
          </w:tcPr>
          <w:p>
            <w:pPr>
              <w:spacing w:after="0"/>
              <w:rPr>
                <w:sz w:val="5"/>
                <w:szCs w:val="5"/>
                <w:color w:val="auto"/>
              </w:rPr>
            </w:pPr>
          </w:p>
        </w:tc>
        <w:tc>
          <w:tcPr>
            <w:tcW w:w="20" w:type="dxa"/>
            <w:vAlign w:val="bottom"/>
            <w:tcBorders>
              <w:top w:val="single" w:sz="8" w:color="EAF7FA"/>
            </w:tcBorders>
            <w:shd w:val="clear" w:color="auto" w:fill="EAF7FA"/>
          </w:tcPr>
          <w:p>
            <w:pPr>
              <w:spacing w:after="0"/>
              <w:rPr>
                <w:sz w:val="5"/>
                <w:szCs w:val="5"/>
                <w:color w:val="auto"/>
              </w:rPr>
            </w:pPr>
          </w:p>
        </w:tc>
        <w:tc>
          <w:tcPr>
            <w:tcW w:w="20" w:type="dxa"/>
            <w:vAlign w:val="bottom"/>
            <w:tcBorders>
              <w:top w:val="single" w:sz="8" w:color="EAF7FA"/>
            </w:tcBorders>
            <w:shd w:val="clear" w:color="auto" w:fill="EAF7FA"/>
          </w:tcPr>
          <w:p>
            <w:pPr>
              <w:spacing w:after="0"/>
              <w:rPr>
                <w:sz w:val="5"/>
                <w:szCs w:val="5"/>
                <w:color w:val="auto"/>
              </w:rPr>
            </w:pPr>
          </w:p>
        </w:tc>
        <w:tc>
          <w:tcPr>
            <w:tcW w:w="220" w:type="dxa"/>
            <w:vAlign w:val="bottom"/>
            <w:tcBorders>
              <w:top w:val="single" w:sz="8" w:color="EAF7FA"/>
            </w:tcBorders>
            <w:shd w:val="clear" w:color="auto" w:fill="EAF7FA"/>
          </w:tcPr>
          <w:p>
            <w:pPr>
              <w:spacing w:after="0"/>
              <w:rPr>
                <w:sz w:val="5"/>
                <w:szCs w:val="5"/>
                <w:color w:val="auto"/>
              </w:rPr>
            </w:pPr>
          </w:p>
        </w:tc>
        <w:tc>
          <w:tcPr>
            <w:tcW w:w="14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120" w:type="dxa"/>
            <w:vAlign w:val="bottom"/>
            <w:tcBorders>
              <w:top w:val="single" w:sz="8" w:color="EAF7FA"/>
            </w:tcBorders>
            <w:shd w:val="clear" w:color="auto" w:fill="EAF7FA"/>
          </w:tcPr>
          <w:p>
            <w:pPr>
              <w:spacing w:after="0"/>
              <w:rPr>
                <w:sz w:val="5"/>
                <w:szCs w:val="5"/>
                <w:color w:val="auto"/>
              </w:rPr>
            </w:pPr>
          </w:p>
        </w:tc>
        <w:tc>
          <w:tcPr>
            <w:tcW w:w="12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 w:type="dxa"/>
            <w:vAlign w:val="bottom"/>
            <w:tcBorders>
              <w:top w:val="single" w:sz="8" w:color="EAF7FA"/>
            </w:tcBorders>
            <w:shd w:val="clear" w:color="auto" w:fill="EAF7FA"/>
          </w:tcPr>
          <w:p>
            <w:pPr>
              <w:spacing w:after="0"/>
              <w:rPr>
                <w:sz w:val="5"/>
                <w:szCs w:val="5"/>
                <w:color w:val="auto"/>
              </w:rPr>
            </w:pPr>
          </w:p>
        </w:tc>
        <w:tc>
          <w:tcPr>
            <w:tcW w:w="10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38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14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92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500" w:type="dxa"/>
            <w:vAlign w:val="bottom"/>
            <w:tcBorders>
              <w:top w:val="single" w:sz="8" w:color="EAF7FA"/>
            </w:tcBorders>
            <w:shd w:val="clear" w:color="auto" w:fill="EAF7FA"/>
          </w:tcPr>
          <w:p>
            <w:pPr>
              <w:spacing w:after="0"/>
              <w:rPr>
                <w:sz w:val="5"/>
                <w:szCs w:val="5"/>
                <w:color w:val="auto"/>
              </w:rPr>
            </w:pPr>
          </w:p>
        </w:tc>
        <w:tc>
          <w:tcPr>
            <w:tcW w:w="17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right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r>
      <w:tr>
        <w:trPr>
          <w:trHeight w:val="203"/>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60" w:type="dxa"/>
            <w:vAlign w:val="bottom"/>
            <w:gridSpan w:val="35"/>
          </w:tcPr>
          <w:p>
            <w:pPr>
              <w:spacing w:after="0"/>
              <w:rPr>
                <w:sz w:val="20"/>
                <w:szCs w:val="20"/>
                <w:color w:val="auto"/>
              </w:rPr>
            </w:pPr>
            <w:r>
              <w:rPr>
                <w:rFonts w:ascii="Arial" w:cs="Arial" w:eastAsia="Arial" w:hAnsi="Arial"/>
                <w:sz w:val="16"/>
                <w:szCs w:val="16"/>
                <w:color w:val="0000EE"/>
              </w:rPr>
              <w:t>Leadership Structure</w:t>
            </w:r>
          </w:p>
        </w:tc>
        <w:tc>
          <w:tcPr>
            <w:tcW w:w="2120" w:type="dxa"/>
            <w:vAlign w:val="bottom"/>
            <w:gridSpan w:val="4"/>
          </w:tcPr>
          <w:p>
            <w:pPr>
              <w:jc w:val="right"/>
              <w:ind w:right="160"/>
              <w:spacing w:after="0"/>
              <w:rPr>
                <w:sz w:val="20"/>
                <w:szCs w:val="20"/>
                <w:color w:val="auto"/>
              </w:rPr>
            </w:pPr>
            <w:r>
              <w:rPr>
                <w:rFonts w:ascii="Arial" w:cs="Arial" w:eastAsia="Arial" w:hAnsi="Arial"/>
                <w:sz w:val="16"/>
                <w:szCs w:val="16"/>
                <w:color w:val="0000EE"/>
              </w:rPr>
              <w:t>24</w:t>
            </w:r>
          </w:p>
        </w:tc>
      </w:tr>
      <w:tr>
        <w:trPr>
          <w:trHeight w:val="61"/>
        </w:trPr>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r>
      <w:tr>
        <w:trPr>
          <w:trHeight w:val="203"/>
        </w:trPr>
        <w:tc>
          <w:tcPr>
            <w:tcW w:w="240" w:type="dxa"/>
            <w:vAlign w:val="bottom"/>
            <w:shd w:val="clear" w:color="auto" w:fill="EAF7FA"/>
          </w:tcPr>
          <w:p>
            <w:pPr>
              <w:spacing w:after="0"/>
              <w:rPr>
                <w:sz w:val="17"/>
                <w:szCs w:val="17"/>
                <w:color w:val="auto"/>
              </w:rPr>
            </w:pPr>
          </w:p>
        </w:tc>
        <w:tc>
          <w:tcPr>
            <w:tcW w:w="180" w:type="dxa"/>
            <w:vAlign w:val="bottom"/>
            <w:shd w:val="clear" w:color="auto" w:fill="EAF7FA"/>
          </w:tcPr>
          <w:p>
            <w:pPr>
              <w:spacing w:after="0"/>
              <w:rPr>
                <w:sz w:val="17"/>
                <w:szCs w:val="17"/>
                <w:color w:val="auto"/>
              </w:rPr>
            </w:pPr>
          </w:p>
        </w:tc>
        <w:tc>
          <w:tcPr>
            <w:tcW w:w="6860" w:type="dxa"/>
            <w:vAlign w:val="bottom"/>
            <w:gridSpan w:val="35"/>
            <w:shd w:val="clear" w:color="auto" w:fill="EAF7FA"/>
          </w:tcPr>
          <w:p>
            <w:pPr>
              <w:spacing w:after="0"/>
              <w:rPr>
                <w:sz w:val="20"/>
                <w:szCs w:val="20"/>
                <w:color w:val="auto"/>
              </w:rPr>
            </w:pPr>
            <w:r>
              <w:rPr>
                <w:rFonts w:ascii="Arial" w:cs="Arial" w:eastAsia="Arial" w:hAnsi="Arial"/>
                <w:sz w:val="16"/>
                <w:szCs w:val="16"/>
                <w:color w:val="0000EE"/>
              </w:rPr>
              <w:t>Board of Directors and Committees</w:t>
            </w:r>
          </w:p>
        </w:tc>
        <w:tc>
          <w:tcPr>
            <w:tcW w:w="2120" w:type="dxa"/>
            <w:vAlign w:val="bottom"/>
            <w:gridSpan w:val="4"/>
            <w:shd w:val="clear" w:color="auto" w:fill="EAF7FA"/>
          </w:tcPr>
          <w:p>
            <w:pPr>
              <w:jc w:val="right"/>
              <w:ind w:right="160"/>
              <w:spacing w:after="0"/>
              <w:rPr>
                <w:sz w:val="20"/>
                <w:szCs w:val="20"/>
                <w:color w:val="auto"/>
              </w:rPr>
            </w:pPr>
            <w:r>
              <w:rPr>
                <w:rFonts w:ascii="Arial" w:cs="Arial" w:eastAsia="Arial" w:hAnsi="Arial"/>
                <w:sz w:val="16"/>
                <w:szCs w:val="16"/>
                <w:color w:val="0000EE"/>
              </w:rPr>
              <w:t>25</w:t>
            </w:r>
          </w:p>
        </w:tc>
      </w:tr>
      <w:tr>
        <w:trPr>
          <w:trHeight w:val="61"/>
        </w:trPr>
        <w:tc>
          <w:tcPr>
            <w:tcW w:w="24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0" w:type="dxa"/>
            <w:vAlign w:val="bottom"/>
            <w:tcBorders>
              <w:top w:val="single" w:sz="8" w:color="0000EE"/>
            </w:tcBorders>
            <w:shd w:val="clear" w:color="auto" w:fill="EAF7FA"/>
          </w:tcPr>
          <w:p>
            <w:pPr>
              <w:spacing w:after="0"/>
              <w:rPr>
                <w:sz w:val="5"/>
                <w:szCs w:val="5"/>
                <w:color w:val="auto"/>
              </w:rPr>
            </w:pPr>
          </w:p>
        </w:tc>
        <w:tc>
          <w:tcPr>
            <w:tcW w:w="4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20" w:type="dxa"/>
            <w:vAlign w:val="bottom"/>
            <w:tcBorders>
              <w:top w:val="single" w:sz="8" w:color="0000EE"/>
            </w:tcBorders>
            <w:shd w:val="clear" w:color="auto" w:fill="EAF7FA"/>
          </w:tcPr>
          <w:p>
            <w:pPr>
              <w:spacing w:after="0"/>
              <w:rPr>
                <w:sz w:val="5"/>
                <w:szCs w:val="5"/>
                <w:color w:val="auto"/>
              </w:rPr>
            </w:pPr>
          </w:p>
        </w:tc>
        <w:tc>
          <w:tcPr>
            <w:tcW w:w="14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 w:type="dxa"/>
            <w:vAlign w:val="bottom"/>
            <w:tcBorders>
              <w:top w:val="single" w:sz="8" w:color="EAF7FA"/>
            </w:tcBorders>
            <w:shd w:val="clear" w:color="auto" w:fill="EAF7FA"/>
          </w:tcPr>
          <w:p>
            <w:pPr>
              <w:spacing w:after="0"/>
              <w:rPr>
                <w:sz w:val="5"/>
                <w:szCs w:val="5"/>
                <w:color w:val="auto"/>
              </w:rPr>
            </w:pPr>
          </w:p>
        </w:tc>
        <w:tc>
          <w:tcPr>
            <w:tcW w:w="10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38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14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92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500" w:type="dxa"/>
            <w:vAlign w:val="bottom"/>
            <w:tcBorders>
              <w:top w:val="single" w:sz="8" w:color="EAF7FA"/>
            </w:tcBorders>
            <w:shd w:val="clear" w:color="auto" w:fill="EAF7FA"/>
          </w:tcPr>
          <w:p>
            <w:pPr>
              <w:spacing w:after="0"/>
              <w:rPr>
                <w:sz w:val="5"/>
                <w:szCs w:val="5"/>
                <w:color w:val="auto"/>
              </w:rPr>
            </w:pPr>
          </w:p>
        </w:tc>
        <w:tc>
          <w:tcPr>
            <w:tcW w:w="17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right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r>
      <w:tr>
        <w:trPr>
          <w:trHeight w:val="203"/>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60" w:type="dxa"/>
            <w:vAlign w:val="bottom"/>
            <w:gridSpan w:val="35"/>
          </w:tcPr>
          <w:p>
            <w:pPr>
              <w:spacing w:after="0"/>
              <w:rPr>
                <w:sz w:val="20"/>
                <w:szCs w:val="20"/>
                <w:color w:val="auto"/>
              </w:rPr>
            </w:pPr>
            <w:r>
              <w:rPr>
                <w:rFonts w:ascii="Arial" w:cs="Arial" w:eastAsia="Arial" w:hAnsi="Arial"/>
                <w:sz w:val="16"/>
                <w:szCs w:val="16"/>
                <w:color w:val="0000EE"/>
              </w:rPr>
              <w:t>Audit Committee Report</w:t>
            </w:r>
          </w:p>
        </w:tc>
        <w:tc>
          <w:tcPr>
            <w:tcW w:w="2120" w:type="dxa"/>
            <w:vAlign w:val="bottom"/>
            <w:gridSpan w:val="4"/>
          </w:tcPr>
          <w:p>
            <w:pPr>
              <w:jc w:val="right"/>
              <w:ind w:right="160"/>
              <w:spacing w:after="0"/>
              <w:rPr>
                <w:sz w:val="20"/>
                <w:szCs w:val="20"/>
                <w:color w:val="auto"/>
              </w:rPr>
            </w:pPr>
            <w:r>
              <w:rPr>
                <w:rFonts w:ascii="Arial" w:cs="Arial" w:eastAsia="Arial" w:hAnsi="Arial"/>
                <w:sz w:val="16"/>
                <w:szCs w:val="16"/>
                <w:color w:val="0000EE"/>
              </w:rPr>
              <w:t>28</w:t>
            </w:r>
          </w:p>
        </w:tc>
      </w:tr>
      <w:tr>
        <w:trPr>
          <w:trHeight w:val="61"/>
        </w:trPr>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r>
      <w:tr>
        <w:trPr>
          <w:trHeight w:val="203"/>
        </w:trPr>
        <w:tc>
          <w:tcPr>
            <w:tcW w:w="240" w:type="dxa"/>
            <w:vAlign w:val="bottom"/>
            <w:shd w:val="clear" w:color="auto" w:fill="EAF7FA"/>
          </w:tcPr>
          <w:p>
            <w:pPr>
              <w:spacing w:after="0"/>
              <w:rPr>
                <w:sz w:val="17"/>
                <w:szCs w:val="17"/>
                <w:color w:val="auto"/>
              </w:rPr>
            </w:pPr>
          </w:p>
        </w:tc>
        <w:tc>
          <w:tcPr>
            <w:tcW w:w="180" w:type="dxa"/>
            <w:vAlign w:val="bottom"/>
            <w:shd w:val="clear" w:color="auto" w:fill="EAF7FA"/>
          </w:tcPr>
          <w:p>
            <w:pPr>
              <w:spacing w:after="0"/>
              <w:rPr>
                <w:sz w:val="17"/>
                <w:szCs w:val="17"/>
                <w:color w:val="auto"/>
              </w:rPr>
            </w:pPr>
          </w:p>
        </w:tc>
        <w:tc>
          <w:tcPr>
            <w:tcW w:w="6860" w:type="dxa"/>
            <w:vAlign w:val="bottom"/>
            <w:gridSpan w:val="35"/>
            <w:shd w:val="clear" w:color="auto" w:fill="EAF7FA"/>
          </w:tcPr>
          <w:p>
            <w:pPr>
              <w:spacing w:after="0"/>
              <w:rPr>
                <w:sz w:val="20"/>
                <w:szCs w:val="20"/>
                <w:color w:val="auto"/>
              </w:rPr>
            </w:pPr>
            <w:r>
              <w:rPr>
                <w:rFonts w:ascii="Arial" w:cs="Arial" w:eastAsia="Arial" w:hAnsi="Arial"/>
                <w:sz w:val="16"/>
                <w:szCs w:val="16"/>
                <w:color w:val="0000EE"/>
              </w:rPr>
              <w:t>Majority Voting for Directors</w:t>
            </w:r>
          </w:p>
        </w:tc>
        <w:tc>
          <w:tcPr>
            <w:tcW w:w="2120" w:type="dxa"/>
            <w:vAlign w:val="bottom"/>
            <w:gridSpan w:val="4"/>
            <w:shd w:val="clear" w:color="auto" w:fill="EAF7FA"/>
          </w:tcPr>
          <w:p>
            <w:pPr>
              <w:jc w:val="right"/>
              <w:ind w:right="160"/>
              <w:spacing w:after="0"/>
              <w:rPr>
                <w:sz w:val="20"/>
                <w:szCs w:val="20"/>
                <w:color w:val="auto"/>
              </w:rPr>
            </w:pPr>
            <w:r>
              <w:rPr>
                <w:rFonts w:ascii="Arial" w:cs="Arial" w:eastAsia="Arial" w:hAnsi="Arial"/>
                <w:sz w:val="16"/>
                <w:szCs w:val="16"/>
                <w:color w:val="0000EE"/>
              </w:rPr>
              <w:t>29</w:t>
            </w:r>
          </w:p>
        </w:tc>
      </w:tr>
      <w:tr>
        <w:trPr>
          <w:trHeight w:val="61"/>
        </w:trPr>
        <w:tc>
          <w:tcPr>
            <w:tcW w:w="24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0" w:type="dxa"/>
            <w:vAlign w:val="bottom"/>
            <w:tcBorders>
              <w:top w:val="single" w:sz="8" w:color="0000EE"/>
            </w:tcBorders>
            <w:shd w:val="clear" w:color="auto" w:fill="EAF7FA"/>
          </w:tcPr>
          <w:p>
            <w:pPr>
              <w:spacing w:after="0"/>
              <w:rPr>
                <w:sz w:val="5"/>
                <w:szCs w:val="5"/>
                <w:color w:val="auto"/>
              </w:rPr>
            </w:pPr>
          </w:p>
        </w:tc>
        <w:tc>
          <w:tcPr>
            <w:tcW w:w="4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20" w:type="dxa"/>
            <w:vAlign w:val="bottom"/>
            <w:tcBorders>
              <w:top w:val="single" w:sz="8" w:color="0000EE"/>
            </w:tcBorders>
            <w:shd w:val="clear" w:color="auto" w:fill="EAF7FA"/>
          </w:tcPr>
          <w:p>
            <w:pPr>
              <w:spacing w:after="0"/>
              <w:rPr>
                <w:sz w:val="5"/>
                <w:szCs w:val="5"/>
                <w:color w:val="auto"/>
              </w:rPr>
            </w:pPr>
          </w:p>
        </w:tc>
        <w:tc>
          <w:tcPr>
            <w:tcW w:w="14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120" w:type="dxa"/>
            <w:vAlign w:val="bottom"/>
            <w:tcBorders>
              <w:top w:val="single" w:sz="8" w:color="EAF7FA"/>
            </w:tcBorders>
            <w:shd w:val="clear" w:color="auto" w:fill="EAF7FA"/>
          </w:tcPr>
          <w:p>
            <w:pPr>
              <w:spacing w:after="0"/>
              <w:rPr>
                <w:sz w:val="5"/>
                <w:szCs w:val="5"/>
                <w:color w:val="auto"/>
              </w:rPr>
            </w:pPr>
          </w:p>
        </w:tc>
        <w:tc>
          <w:tcPr>
            <w:tcW w:w="12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 w:type="dxa"/>
            <w:vAlign w:val="bottom"/>
            <w:tcBorders>
              <w:top w:val="single" w:sz="8" w:color="EAF7FA"/>
            </w:tcBorders>
            <w:shd w:val="clear" w:color="auto" w:fill="EAF7FA"/>
          </w:tcPr>
          <w:p>
            <w:pPr>
              <w:spacing w:after="0"/>
              <w:rPr>
                <w:sz w:val="5"/>
                <w:szCs w:val="5"/>
                <w:color w:val="auto"/>
              </w:rPr>
            </w:pPr>
          </w:p>
        </w:tc>
        <w:tc>
          <w:tcPr>
            <w:tcW w:w="10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38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14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92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500" w:type="dxa"/>
            <w:vAlign w:val="bottom"/>
            <w:tcBorders>
              <w:top w:val="single" w:sz="8" w:color="EAF7FA"/>
            </w:tcBorders>
            <w:shd w:val="clear" w:color="auto" w:fill="EAF7FA"/>
          </w:tcPr>
          <w:p>
            <w:pPr>
              <w:spacing w:after="0"/>
              <w:rPr>
                <w:sz w:val="5"/>
                <w:szCs w:val="5"/>
                <w:color w:val="auto"/>
              </w:rPr>
            </w:pPr>
          </w:p>
        </w:tc>
        <w:tc>
          <w:tcPr>
            <w:tcW w:w="17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right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r>
      <w:tr>
        <w:trPr>
          <w:trHeight w:val="203"/>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60" w:type="dxa"/>
            <w:vAlign w:val="bottom"/>
            <w:gridSpan w:val="35"/>
          </w:tcPr>
          <w:p>
            <w:pPr>
              <w:spacing w:after="0"/>
              <w:rPr>
                <w:sz w:val="20"/>
                <w:szCs w:val="20"/>
                <w:color w:val="auto"/>
              </w:rPr>
            </w:pPr>
            <w:r>
              <w:rPr>
                <w:rFonts w:ascii="Arial" w:cs="Arial" w:eastAsia="Arial" w:hAnsi="Arial"/>
                <w:sz w:val="16"/>
                <w:szCs w:val="16"/>
                <w:color w:val="0000EE"/>
              </w:rPr>
              <w:t>Director Nomination Process and Qualifications of Candidates</w:t>
            </w:r>
          </w:p>
        </w:tc>
        <w:tc>
          <w:tcPr>
            <w:tcW w:w="2120" w:type="dxa"/>
            <w:vAlign w:val="bottom"/>
            <w:gridSpan w:val="4"/>
          </w:tcPr>
          <w:p>
            <w:pPr>
              <w:jc w:val="right"/>
              <w:ind w:right="160"/>
              <w:spacing w:after="0"/>
              <w:rPr>
                <w:sz w:val="20"/>
                <w:szCs w:val="20"/>
                <w:color w:val="auto"/>
              </w:rPr>
            </w:pPr>
            <w:r>
              <w:rPr>
                <w:rFonts w:ascii="Arial" w:cs="Arial" w:eastAsia="Arial" w:hAnsi="Arial"/>
                <w:sz w:val="16"/>
                <w:szCs w:val="16"/>
                <w:color w:val="0000EE"/>
              </w:rPr>
              <w:t>30</w:t>
            </w:r>
          </w:p>
        </w:tc>
      </w:tr>
      <w:tr>
        <w:trPr>
          <w:trHeight w:val="61"/>
        </w:trPr>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r>
      <w:tr>
        <w:trPr>
          <w:trHeight w:val="203"/>
        </w:trPr>
        <w:tc>
          <w:tcPr>
            <w:tcW w:w="240" w:type="dxa"/>
            <w:vAlign w:val="bottom"/>
            <w:shd w:val="clear" w:color="auto" w:fill="EAF7FA"/>
          </w:tcPr>
          <w:p>
            <w:pPr>
              <w:spacing w:after="0"/>
              <w:rPr>
                <w:sz w:val="17"/>
                <w:szCs w:val="17"/>
                <w:color w:val="auto"/>
              </w:rPr>
            </w:pPr>
          </w:p>
        </w:tc>
        <w:tc>
          <w:tcPr>
            <w:tcW w:w="180" w:type="dxa"/>
            <w:vAlign w:val="bottom"/>
            <w:shd w:val="clear" w:color="auto" w:fill="EAF7FA"/>
          </w:tcPr>
          <w:p>
            <w:pPr>
              <w:spacing w:after="0"/>
              <w:rPr>
                <w:sz w:val="17"/>
                <w:szCs w:val="17"/>
                <w:color w:val="auto"/>
              </w:rPr>
            </w:pPr>
          </w:p>
        </w:tc>
        <w:tc>
          <w:tcPr>
            <w:tcW w:w="6860" w:type="dxa"/>
            <w:vAlign w:val="bottom"/>
            <w:gridSpan w:val="35"/>
            <w:shd w:val="clear" w:color="auto" w:fill="EAF7FA"/>
          </w:tcPr>
          <w:p>
            <w:pPr>
              <w:spacing w:after="0"/>
              <w:rPr>
                <w:sz w:val="20"/>
                <w:szCs w:val="20"/>
                <w:color w:val="auto"/>
              </w:rPr>
            </w:pPr>
            <w:r>
              <w:rPr>
                <w:rFonts w:ascii="Arial" w:cs="Arial" w:eastAsia="Arial" w:hAnsi="Arial"/>
                <w:sz w:val="16"/>
                <w:szCs w:val="16"/>
                <w:color w:val="0000EE"/>
              </w:rPr>
              <w:t>Director Independence</w:t>
            </w:r>
          </w:p>
        </w:tc>
        <w:tc>
          <w:tcPr>
            <w:tcW w:w="2120" w:type="dxa"/>
            <w:vAlign w:val="bottom"/>
            <w:gridSpan w:val="4"/>
            <w:shd w:val="clear" w:color="auto" w:fill="EAF7FA"/>
          </w:tcPr>
          <w:p>
            <w:pPr>
              <w:jc w:val="right"/>
              <w:ind w:right="160"/>
              <w:spacing w:after="0"/>
              <w:rPr>
                <w:sz w:val="20"/>
                <w:szCs w:val="20"/>
                <w:color w:val="auto"/>
              </w:rPr>
            </w:pPr>
            <w:r>
              <w:rPr>
                <w:rFonts w:ascii="Arial" w:cs="Arial" w:eastAsia="Arial" w:hAnsi="Arial"/>
                <w:sz w:val="16"/>
                <w:szCs w:val="16"/>
                <w:color w:val="0000EE"/>
              </w:rPr>
              <w:t>30</w:t>
            </w:r>
          </w:p>
        </w:tc>
      </w:tr>
      <w:tr>
        <w:trPr>
          <w:trHeight w:val="61"/>
        </w:trPr>
        <w:tc>
          <w:tcPr>
            <w:tcW w:w="24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0" w:type="dxa"/>
            <w:vAlign w:val="bottom"/>
            <w:tcBorders>
              <w:top w:val="single" w:sz="8" w:color="0000EE"/>
            </w:tcBorders>
            <w:shd w:val="clear" w:color="auto" w:fill="EAF7FA"/>
          </w:tcPr>
          <w:p>
            <w:pPr>
              <w:spacing w:after="0"/>
              <w:rPr>
                <w:sz w:val="5"/>
                <w:szCs w:val="5"/>
                <w:color w:val="auto"/>
              </w:rPr>
            </w:pPr>
          </w:p>
        </w:tc>
        <w:tc>
          <w:tcPr>
            <w:tcW w:w="4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EAF7FA"/>
            </w:tcBorders>
            <w:shd w:val="clear" w:color="auto" w:fill="EAF7FA"/>
          </w:tcPr>
          <w:p>
            <w:pPr>
              <w:spacing w:after="0"/>
              <w:rPr>
                <w:sz w:val="5"/>
                <w:szCs w:val="5"/>
                <w:color w:val="auto"/>
              </w:rPr>
            </w:pPr>
          </w:p>
        </w:tc>
        <w:tc>
          <w:tcPr>
            <w:tcW w:w="20" w:type="dxa"/>
            <w:vAlign w:val="bottom"/>
            <w:tcBorders>
              <w:top w:val="single" w:sz="8" w:color="EAF7FA"/>
            </w:tcBorders>
            <w:shd w:val="clear" w:color="auto" w:fill="EAF7FA"/>
          </w:tcPr>
          <w:p>
            <w:pPr>
              <w:spacing w:after="0"/>
              <w:rPr>
                <w:sz w:val="5"/>
                <w:szCs w:val="5"/>
                <w:color w:val="auto"/>
              </w:rPr>
            </w:pPr>
          </w:p>
        </w:tc>
        <w:tc>
          <w:tcPr>
            <w:tcW w:w="20" w:type="dxa"/>
            <w:vAlign w:val="bottom"/>
            <w:tcBorders>
              <w:top w:val="single" w:sz="8" w:color="EAF7FA"/>
            </w:tcBorders>
            <w:shd w:val="clear" w:color="auto" w:fill="EAF7FA"/>
          </w:tcPr>
          <w:p>
            <w:pPr>
              <w:spacing w:after="0"/>
              <w:rPr>
                <w:sz w:val="5"/>
                <w:szCs w:val="5"/>
                <w:color w:val="auto"/>
              </w:rPr>
            </w:pPr>
          </w:p>
        </w:tc>
        <w:tc>
          <w:tcPr>
            <w:tcW w:w="220" w:type="dxa"/>
            <w:vAlign w:val="bottom"/>
            <w:tcBorders>
              <w:top w:val="single" w:sz="8" w:color="EAF7FA"/>
            </w:tcBorders>
            <w:shd w:val="clear" w:color="auto" w:fill="EAF7FA"/>
          </w:tcPr>
          <w:p>
            <w:pPr>
              <w:spacing w:after="0"/>
              <w:rPr>
                <w:sz w:val="5"/>
                <w:szCs w:val="5"/>
                <w:color w:val="auto"/>
              </w:rPr>
            </w:pPr>
          </w:p>
        </w:tc>
        <w:tc>
          <w:tcPr>
            <w:tcW w:w="14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120" w:type="dxa"/>
            <w:vAlign w:val="bottom"/>
            <w:tcBorders>
              <w:top w:val="single" w:sz="8" w:color="EAF7FA"/>
            </w:tcBorders>
            <w:shd w:val="clear" w:color="auto" w:fill="EAF7FA"/>
          </w:tcPr>
          <w:p>
            <w:pPr>
              <w:spacing w:after="0"/>
              <w:rPr>
                <w:sz w:val="5"/>
                <w:szCs w:val="5"/>
                <w:color w:val="auto"/>
              </w:rPr>
            </w:pPr>
          </w:p>
        </w:tc>
        <w:tc>
          <w:tcPr>
            <w:tcW w:w="12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 w:type="dxa"/>
            <w:vAlign w:val="bottom"/>
            <w:tcBorders>
              <w:top w:val="single" w:sz="8" w:color="EAF7FA"/>
            </w:tcBorders>
            <w:shd w:val="clear" w:color="auto" w:fill="EAF7FA"/>
          </w:tcPr>
          <w:p>
            <w:pPr>
              <w:spacing w:after="0"/>
              <w:rPr>
                <w:sz w:val="5"/>
                <w:szCs w:val="5"/>
                <w:color w:val="auto"/>
              </w:rPr>
            </w:pPr>
          </w:p>
        </w:tc>
        <w:tc>
          <w:tcPr>
            <w:tcW w:w="10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38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14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92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500" w:type="dxa"/>
            <w:vAlign w:val="bottom"/>
            <w:tcBorders>
              <w:top w:val="single" w:sz="8" w:color="EAF7FA"/>
            </w:tcBorders>
            <w:shd w:val="clear" w:color="auto" w:fill="EAF7FA"/>
          </w:tcPr>
          <w:p>
            <w:pPr>
              <w:spacing w:after="0"/>
              <w:rPr>
                <w:sz w:val="5"/>
                <w:szCs w:val="5"/>
                <w:color w:val="auto"/>
              </w:rPr>
            </w:pPr>
          </w:p>
        </w:tc>
        <w:tc>
          <w:tcPr>
            <w:tcW w:w="17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right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r>
      <w:tr>
        <w:trPr>
          <w:trHeight w:val="203"/>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60" w:type="dxa"/>
            <w:vAlign w:val="bottom"/>
            <w:gridSpan w:val="35"/>
          </w:tcPr>
          <w:p>
            <w:pPr>
              <w:spacing w:after="0"/>
              <w:rPr>
                <w:sz w:val="20"/>
                <w:szCs w:val="20"/>
                <w:color w:val="auto"/>
              </w:rPr>
            </w:pPr>
            <w:r>
              <w:rPr>
                <w:rFonts w:ascii="Arial" w:cs="Arial" w:eastAsia="Arial" w:hAnsi="Arial"/>
                <w:sz w:val="16"/>
                <w:szCs w:val="16"/>
                <w:color w:val="0000EE"/>
              </w:rPr>
              <w:t>Other Corporate Governance Matters, Practices and Procedures</w:t>
            </w:r>
          </w:p>
        </w:tc>
        <w:tc>
          <w:tcPr>
            <w:tcW w:w="2120" w:type="dxa"/>
            <w:vAlign w:val="bottom"/>
            <w:gridSpan w:val="4"/>
          </w:tcPr>
          <w:p>
            <w:pPr>
              <w:jc w:val="right"/>
              <w:ind w:right="160"/>
              <w:spacing w:after="0"/>
              <w:rPr>
                <w:sz w:val="20"/>
                <w:szCs w:val="20"/>
                <w:color w:val="auto"/>
              </w:rPr>
            </w:pPr>
            <w:r>
              <w:rPr>
                <w:rFonts w:ascii="Arial" w:cs="Arial" w:eastAsia="Arial" w:hAnsi="Arial"/>
                <w:sz w:val="16"/>
                <w:szCs w:val="16"/>
                <w:color w:val="0000EE"/>
              </w:rPr>
              <w:t>31</w:t>
            </w:r>
          </w:p>
        </w:tc>
      </w:tr>
      <w:tr>
        <w:trPr>
          <w:trHeight w:val="61"/>
        </w:trPr>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r>
      <w:tr>
        <w:trPr>
          <w:trHeight w:val="203"/>
        </w:trPr>
        <w:tc>
          <w:tcPr>
            <w:tcW w:w="240" w:type="dxa"/>
            <w:vAlign w:val="bottom"/>
            <w:shd w:val="clear" w:color="auto" w:fill="EAF7FA"/>
          </w:tcPr>
          <w:p>
            <w:pPr>
              <w:spacing w:after="0"/>
              <w:rPr>
                <w:sz w:val="17"/>
                <w:szCs w:val="17"/>
                <w:color w:val="auto"/>
              </w:rPr>
            </w:pPr>
          </w:p>
        </w:tc>
        <w:tc>
          <w:tcPr>
            <w:tcW w:w="7040" w:type="dxa"/>
            <w:vAlign w:val="bottom"/>
            <w:gridSpan w:val="36"/>
            <w:shd w:val="clear" w:color="auto" w:fill="EAF7FA"/>
          </w:tcPr>
          <w:p>
            <w:pPr>
              <w:spacing w:after="0"/>
              <w:rPr>
                <w:sz w:val="20"/>
                <w:szCs w:val="20"/>
                <w:color w:val="auto"/>
              </w:rPr>
            </w:pPr>
            <w:r>
              <w:rPr>
                <w:rFonts w:ascii="Arial" w:cs="Arial" w:eastAsia="Arial" w:hAnsi="Arial"/>
                <w:sz w:val="16"/>
                <w:szCs w:val="16"/>
                <w:b w:val="1"/>
                <w:bCs w:val="1"/>
                <w:color w:val="0000EE"/>
              </w:rPr>
              <w:t>Compensation Discussion and Analysis</w:t>
            </w:r>
          </w:p>
        </w:tc>
        <w:tc>
          <w:tcPr>
            <w:tcW w:w="2120" w:type="dxa"/>
            <w:vAlign w:val="bottom"/>
            <w:gridSpan w:val="4"/>
            <w:shd w:val="clear" w:color="auto" w:fill="EAF7FA"/>
          </w:tcPr>
          <w:p>
            <w:pPr>
              <w:jc w:val="right"/>
              <w:ind w:right="160"/>
              <w:spacing w:after="0"/>
              <w:rPr>
                <w:sz w:val="20"/>
                <w:szCs w:val="20"/>
                <w:color w:val="auto"/>
              </w:rPr>
            </w:pPr>
            <w:r>
              <w:rPr>
                <w:rFonts w:ascii="Arial" w:cs="Arial" w:eastAsia="Arial" w:hAnsi="Arial"/>
                <w:sz w:val="16"/>
                <w:szCs w:val="16"/>
                <w:color w:val="0000EE"/>
              </w:rPr>
              <w:t>37</w:t>
            </w:r>
          </w:p>
        </w:tc>
      </w:tr>
      <w:tr>
        <w:trPr>
          <w:trHeight w:val="61"/>
        </w:trPr>
        <w:tc>
          <w:tcPr>
            <w:tcW w:w="24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0000EE"/>
            </w:tcBorders>
            <w:shd w:val="clear" w:color="auto" w:fill="EAF7FA"/>
          </w:tcPr>
          <w:p>
            <w:pPr>
              <w:spacing w:after="0"/>
              <w:rPr>
                <w:sz w:val="5"/>
                <w:szCs w:val="5"/>
                <w:color w:val="auto"/>
              </w:rPr>
            </w:pPr>
          </w:p>
        </w:tc>
        <w:tc>
          <w:tcPr>
            <w:tcW w:w="400" w:type="dxa"/>
            <w:vAlign w:val="bottom"/>
            <w:tcBorders>
              <w:top w:val="single" w:sz="8" w:color="0000EE"/>
            </w:tcBorders>
            <w:shd w:val="clear" w:color="auto" w:fill="EAF7FA"/>
          </w:tcPr>
          <w:p>
            <w:pPr>
              <w:spacing w:after="0"/>
              <w:rPr>
                <w:sz w:val="5"/>
                <w:szCs w:val="5"/>
                <w:color w:val="auto"/>
              </w:rPr>
            </w:pPr>
          </w:p>
        </w:tc>
        <w:tc>
          <w:tcPr>
            <w:tcW w:w="4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20" w:type="dxa"/>
            <w:vAlign w:val="bottom"/>
            <w:tcBorders>
              <w:top w:val="single" w:sz="8" w:color="0000EE"/>
            </w:tcBorders>
            <w:shd w:val="clear" w:color="auto" w:fill="EAF7FA"/>
          </w:tcPr>
          <w:p>
            <w:pPr>
              <w:spacing w:after="0"/>
              <w:rPr>
                <w:sz w:val="5"/>
                <w:szCs w:val="5"/>
                <w:color w:val="auto"/>
              </w:rPr>
            </w:pPr>
          </w:p>
        </w:tc>
        <w:tc>
          <w:tcPr>
            <w:tcW w:w="14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38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14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92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500" w:type="dxa"/>
            <w:vAlign w:val="bottom"/>
            <w:tcBorders>
              <w:top w:val="single" w:sz="8" w:color="EAF7FA"/>
            </w:tcBorders>
            <w:shd w:val="clear" w:color="auto" w:fill="EAF7FA"/>
          </w:tcPr>
          <w:p>
            <w:pPr>
              <w:spacing w:after="0"/>
              <w:rPr>
                <w:sz w:val="5"/>
                <w:szCs w:val="5"/>
                <w:color w:val="auto"/>
              </w:rPr>
            </w:pPr>
          </w:p>
        </w:tc>
        <w:tc>
          <w:tcPr>
            <w:tcW w:w="17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right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r>
      <w:tr>
        <w:trPr>
          <w:trHeight w:val="203"/>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60" w:type="dxa"/>
            <w:vAlign w:val="bottom"/>
            <w:gridSpan w:val="35"/>
          </w:tcPr>
          <w:p>
            <w:pPr>
              <w:spacing w:after="0"/>
              <w:rPr>
                <w:sz w:val="20"/>
                <w:szCs w:val="20"/>
                <w:color w:val="auto"/>
              </w:rPr>
            </w:pPr>
            <w:r>
              <w:rPr>
                <w:rFonts w:ascii="Arial" w:cs="Arial" w:eastAsia="Arial" w:hAnsi="Arial"/>
                <w:sz w:val="16"/>
                <w:szCs w:val="16"/>
                <w:color w:val="0000EE"/>
              </w:rPr>
              <w:t>Overview of Compensation Program</w:t>
            </w:r>
          </w:p>
        </w:tc>
        <w:tc>
          <w:tcPr>
            <w:tcW w:w="2120" w:type="dxa"/>
            <w:vAlign w:val="bottom"/>
            <w:gridSpan w:val="4"/>
          </w:tcPr>
          <w:p>
            <w:pPr>
              <w:jc w:val="right"/>
              <w:ind w:right="160"/>
              <w:spacing w:after="0"/>
              <w:rPr>
                <w:sz w:val="20"/>
                <w:szCs w:val="20"/>
                <w:color w:val="auto"/>
              </w:rPr>
            </w:pPr>
            <w:r>
              <w:rPr>
                <w:rFonts w:ascii="Arial" w:cs="Arial" w:eastAsia="Arial" w:hAnsi="Arial"/>
                <w:sz w:val="16"/>
                <w:szCs w:val="16"/>
                <w:color w:val="0000EE"/>
              </w:rPr>
              <w:t>37</w:t>
            </w:r>
          </w:p>
        </w:tc>
      </w:tr>
      <w:tr>
        <w:trPr>
          <w:trHeight w:val="61"/>
        </w:trPr>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r>
      <w:tr>
        <w:trPr>
          <w:trHeight w:val="203"/>
        </w:trPr>
        <w:tc>
          <w:tcPr>
            <w:tcW w:w="240" w:type="dxa"/>
            <w:vAlign w:val="bottom"/>
            <w:shd w:val="clear" w:color="auto" w:fill="EAF7FA"/>
          </w:tcPr>
          <w:p>
            <w:pPr>
              <w:spacing w:after="0"/>
              <w:rPr>
                <w:sz w:val="17"/>
                <w:szCs w:val="17"/>
                <w:color w:val="auto"/>
              </w:rPr>
            </w:pPr>
          </w:p>
        </w:tc>
        <w:tc>
          <w:tcPr>
            <w:tcW w:w="180" w:type="dxa"/>
            <w:vAlign w:val="bottom"/>
            <w:shd w:val="clear" w:color="auto" w:fill="EAF7FA"/>
          </w:tcPr>
          <w:p>
            <w:pPr>
              <w:spacing w:after="0"/>
              <w:rPr>
                <w:sz w:val="17"/>
                <w:szCs w:val="17"/>
                <w:color w:val="auto"/>
              </w:rPr>
            </w:pPr>
          </w:p>
        </w:tc>
        <w:tc>
          <w:tcPr>
            <w:tcW w:w="400" w:type="dxa"/>
            <w:vAlign w:val="bottom"/>
            <w:shd w:val="clear" w:color="auto" w:fill="EAF7FA"/>
          </w:tcPr>
          <w:p>
            <w:pPr>
              <w:spacing w:after="0"/>
              <w:rPr>
                <w:sz w:val="20"/>
                <w:szCs w:val="20"/>
                <w:color w:val="auto"/>
              </w:rPr>
            </w:pPr>
            <w:r>
              <w:rPr>
                <w:rFonts w:ascii="Arial" w:cs="Arial" w:eastAsia="Arial" w:hAnsi="Arial"/>
                <w:sz w:val="16"/>
                <w:szCs w:val="16"/>
                <w:color w:val="0000EE"/>
              </w:rPr>
              <w:t>2025​</w:t>
            </w:r>
          </w:p>
        </w:tc>
        <w:tc>
          <w:tcPr>
            <w:tcW w:w="6460" w:type="dxa"/>
            <w:vAlign w:val="bottom"/>
            <w:gridSpan w:val="34"/>
            <w:shd w:val="clear" w:color="auto" w:fill="EAF7FA"/>
          </w:tcPr>
          <w:p>
            <w:pPr>
              <w:ind w:left="20"/>
              <w:spacing w:after="0"/>
              <w:rPr>
                <w:sz w:val="20"/>
                <w:szCs w:val="20"/>
                <w:color w:val="auto"/>
              </w:rPr>
            </w:pPr>
            <w:r>
              <w:rPr>
                <w:rFonts w:ascii="Arial" w:cs="Arial" w:eastAsia="Arial" w:hAnsi="Arial"/>
                <w:sz w:val="16"/>
                <w:szCs w:val="16"/>
                <w:color w:val="0000EE"/>
              </w:rPr>
              <w:t>Compensation Components</w:t>
            </w:r>
          </w:p>
        </w:tc>
        <w:tc>
          <w:tcPr>
            <w:tcW w:w="2120" w:type="dxa"/>
            <w:vAlign w:val="bottom"/>
            <w:gridSpan w:val="4"/>
            <w:shd w:val="clear" w:color="auto" w:fill="EAF7FA"/>
          </w:tcPr>
          <w:p>
            <w:pPr>
              <w:jc w:val="right"/>
              <w:ind w:right="160"/>
              <w:spacing w:after="0"/>
              <w:rPr>
                <w:sz w:val="20"/>
                <w:szCs w:val="20"/>
                <w:color w:val="auto"/>
              </w:rPr>
            </w:pPr>
            <w:r>
              <w:rPr>
                <w:rFonts w:ascii="Arial" w:cs="Arial" w:eastAsia="Arial" w:hAnsi="Arial"/>
                <w:sz w:val="16"/>
                <w:szCs w:val="16"/>
                <w:color w:val="0000EE"/>
              </w:rPr>
              <w:t>43</w:t>
            </w:r>
          </w:p>
        </w:tc>
      </w:tr>
      <w:tr>
        <w:trPr>
          <w:trHeight w:val="61"/>
        </w:trPr>
        <w:tc>
          <w:tcPr>
            <w:tcW w:w="24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0" w:type="dxa"/>
            <w:vAlign w:val="bottom"/>
            <w:tcBorders>
              <w:top w:val="single" w:sz="8" w:color="0000EE"/>
            </w:tcBorders>
            <w:shd w:val="clear" w:color="auto" w:fill="EAF7FA"/>
          </w:tcPr>
          <w:p>
            <w:pPr>
              <w:spacing w:after="0"/>
              <w:rPr>
                <w:sz w:val="5"/>
                <w:szCs w:val="5"/>
                <w:color w:val="auto"/>
              </w:rPr>
            </w:pPr>
          </w:p>
        </w:tc>
        <w:tc>
          <w:tcPr>
            <w:tcW w:w="4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20" w:type="dxa"/>
            <w:vAlign w:val="bottom"/>
            <w:tcBorders>
              <w:top w:val="single" w:sz="8" w:color="0000EE"/>
            </w:tcBorders>
            <w:shd w:val="clear" w:color="auto" w:fill="EAF7FA"/>
          </w:tcPr>
          <w:p>
            <w:pPr>
              <w:spacing w:after="0"/>
              <w:rPr>
                <w:sz w:val="5"/>
                <w:szCs w:val="5"/>
                <w:color w:val="auto"/>
              </w:rPr>
            </w:pPr>
          </w:p>
        </w:tc>
        <w:tc>
          <w:tcPr>
            <w:tcW w:w="14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 w:type="dxa"/>
            <w:vAlign w:val="bottom"/>
            <w:tcBorders>
              <w:top w:val="single" w:sz="8" w:color="EAF7FA"/>
            </w:tcBorders>
            <w:shd w:val="clear" w:color="auto" w:fill="EAF7FA"/>
          </w:tcPr>
          <w:p>
            <w:pPr>
              <w:spacing w:after="0"/>
              <w:rPr>
                <w:sz w:val="5"/>
                <w:szCs w:val="5"/>
                <w:color w:val="auto"/>
              </w:rPr>
            </w:pPr>
          </w:p>
        </w:tc>
        <w:tc>
          <w:tcPr>
            <w:tcW w:w="10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38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14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92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500" w:type="dxa"/>
            <w:vAlign w:val="bottom"/>
            <w:tcBorders>
              <w:top w:val="single" w:sz="8" w:color="EAF7FA"/>
            </w:tcBorders>
            <w:shd w:val="clear" w:color="auto" w:fill="EAF7FA"/>
          </w:tcPr>
          <w:p>
            <w:pPr>
              <w:spacing w:after="0"/>
              <w:rPr>
                <w:sz w:val="5"/>
                <w:szCs w:val="5"/>
                <w:color w:val="auto"/>
              </w:rPr>
            </w:pPr>
          </w:p>
        </w:tc>
        <w:tc>
          <w:tcPr>
            <w:tcW w:w="17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right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r>
      <w:tr>
        <w:trPr>
          <w:trHeight w:val="203"/>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6"/>
                <w:szCs w:val="16"/>
                <w:color w:val="0000EE"/>
              </w:rPr>
              <w:t>2025​</w:t>
            </w:r>
          </w:p>
        </w:tc>
        <w:tc>
          <w:tcPr>
            <w:tcW w:w="6460" w:type="dxa"/>
            <w:vAlign w:val="bottom"/>
            <w:gridSpan w:val="34"/>
          </w:tcPr>
          <w:p>
            <w:pPr>
              <w:ind w:left="20"/>
              <w:spacing w:after="0"/>
              <w:rPr>
                <w:sz w:val="20"/>
                <w:szCs w:val="20"/>
                <w:color w:val="auto"/>
              </w:rPr>
            </w:pPr>
            <w:r>
              <w:rPr>
                <w:rFonts w:ascii="Arial" w:cs="Arial" w:eastAsia="Arial" w:hAnsi="Arial"/>
                <w:sz w:val="16"/>
                <w:szCs w:val="16"/>
                <w:color w:val="0000EE"/>
              </w:rPr>
              <w:t>Compensation Determinations and Results</w:t>
            </w:r>
          </w:p>
        </w:tc>
        <w:tc>
          <w:tcPr>
            <w:tcW w:w="2120" w:type="dxa"/>
            <w:vAlign w:val="bottom"/>
            <w:gridSpan w:val="4"/>
          </w:tcPr>
          <w:p>
            <w:pPr>
              <w:jc w:val="right"/>
              <w:ind w:right="160"/>
              <w:spacing w:after="0"/>
              <w:rPr>
                <w:sz w:val="20"/>
                <w:szCs w:val="20"/>
                <w:color w:val="auto"/>
              </w:rPr>
            </w:pPr>
            <w:r>
              <w:rPr>
                <w:rFonts w:ascii="Arial" w:cs="Arial" w:eastAsia="Arial" w:hAnsi="Arial"/>
                <w:sz w:val="16"/>
                <w:szCs w:val="16"/>
                <w:color w:val="0000EE"/>
              </w:rPr>
              <w:t>45</w:t>
            </w:r>
          </w:p>
        </w:tc>
      </w:tr>
      <w:tr>
        <w:trPr>
          <w:trHeight w:val="61"/>
        </w:trPr>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r>
      <w:tr>
        <w:trPr>
          <w:trHeight w:val="203"/>
        </w:trPr>
        <w:tc>
          <w:tcPr>
            <w:tcW w:w="240" w:type="dxa"/>
            <w:vAlign w:val="bottom"/>
            <w:shd w:val="clear" w:color="auto" w:fill="EAF7FA"/>
          </w:tcPr>
          <w:p>
            <w:pPr>
              <w:spacing w:after="0"/>
              <w:rPr>
                <w:sz w:val="17"/>
                <w:szCs w:val="17"/>
                <w:color w:val="auto"/>
              </w:rPr>
            </w:pPr>
          </w:p>
        </w:tc>
        <w:tc>
          <w:tcPr>
            <w:tcW w:w="7040" w:type="dxa"/>
            <w:vAlign w:val="bottom"/>
            <w:gridSpan w:val="36"/>
            <w:shd w:val="clear" w:color="auto" w:fill="EAF7FA"/>
          </w:tcPr>
          <w:p>
            <w:pPr>
              <w:spacing w:after="0"/>
              <w:rPr>
                <w:sz w:val="20"/>
                <w:szCs w:val="20"/>
                <w:color w:val="auto"/>
              </w:rPr>
            </w:pPr>
            <w:r>
              <w:rPr>
                <w:rFonts w:ascii="Arial" w:cs="Arial" w:eastAsia="Arial" w:hAnsi="Arial"/>
                <w:sz w:val="16"/>
                <w:szCs w:val="16"/>
                <w:b w:val="1"/>
                <w:bCs w:val="1"/>
                <w:color w:val="0000EE"/>
              </w:rPr>
              <w:t>Executive Compensation</w:t>
            </w:r>
          </w:p>
        </w:tc>
        <w:tc>
          <w:tcPr>
            <w:tcW w:w="2120" w:type="dxa"/>
            <w:vAlign w:val="bottom"/>
            <w:gridSpan w:val="4"/>
            <w:shd w:val="clear" w:color="auto" w:fill="EAF7FA"/>
          </w:tcPr>
          <w:p>
            <w:pPr>
              <w:jc w:val="right"/>
              <w:ind w:right="160"/>
              <w:spacing w:after="0"/>
              <w:rPr>
                <w:sz w:val="20"/>
                <w:szCs w:val="20"/>
                <w:color w:val="auto"/>
              </w:rPr>
            </w:pPr>
            <w:r>
              <w:rPr>
                <w:rFonts w:ascii="Arial" w:cs="Arial" w:eastAsia="Arial" w:hAnsi="Arial"/>
                <w:sz w:val="16"/>
                <w:szCs w:val="16"/>
                <w:color w:val="0000EE"/>
              </w:rPr>
              <w:t>54</w:t>
            </w:r>
          </w:p>
        </w:tc>
      </w:tr>
      <w:tr>
        <w:trPr>
          <w:trHeight w:val="61"/>
        </w:trPr>
        <w:tc>
          <w:tcPr>
            <w:tcW w:w="24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0000EE"/>
            </w:tcBorders>
            <w:shd w:val="clear" w:color="auto" w:fill="EAF7FA"/>
          </w:tcPr>
          <w:p>
            <w:pPr>
              <w:spacing w:after="0"/>
              <w:rPr>
                <w:sz w:val="5"/>
                <w:szCs w:val="5"/>
                <w:color w:val="auto"/>
              </w:rPr>
            </w:pPr>
          </w:p>
        </w:tc>
        <w:tc>
          <w:tcPr>
            <w:tcW w:w="400" w:type="dxa"/>
            <w:vAlign w:val="bottom"/>
            <w:tcBorders>
              <w:top w:val="single" w:sz="8" w:color="0000EE"/>
            </w:tcBorders>
            <w:shd w:val="clear" w:color="auto" w:fill="EAF7FA"/>
          </w:tcPr>
          <w:p>
            <w:pPr>
              <w:spacing w:after="0"/>
              <w:rPr>
                <w:sz w:val="5"/>
                <w:szCs w:val="5"/>
                <w:color w:val="auto"/>
              </w:rPr>
            </w:pPr>
          </w:p>
        </w:tc>
        <w:tc>
          <w:tcPr>
            <w:tcW w:w="4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EAF7FA"/>
            </w:tcBorders>
            <w:shd w:val="clear" w:color="auto" w:fill="EAF7FA"/>
          </w:tcPr>
          <w:p>
            <w:pPr>
              <w:spacing w:after="0"/>
              <w:rPr>
                <w:sz w:val="5"/>
                <w:szCs w:val="5"/>
                <w:color w:val="auto"/>
              </w:rPr>
            </w:pPr>
          </w:p>
        </w:tc>
        <w:tc>
          <w:tcPr>
            <w:tcW w:w="220" w:type="dxa"/>
            <w:vAlign w:val="bottom"/>
            <w:tcBorders>
              <w:top w:val="single" w:sz="8" w:color="EAF7FA"/>
            </w:tcBorders>
            <w:shd w:val="clear" w:color="auto" w:fill="EAF7FA"/>
          </w:tcPr>
          <w:p>
            <w:pPr>
              <w:spacing w:after="0"/>
              <w:rPr>
                <w:sz w:val="5"/>
                <w:szCs w:val="5"/>
                <w:color w:val="auto"/>
              </w:rPr>
            </w:pPr>
          </w:p>
        </w:tc>
        <w:tc>
          <w:tcPr>
            <w:tcW w:w="14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120" w:type="dxa"/>
            <w:vAlign w:val="bottom"/>
            <w:tcBorders>
              <w:top w:val="single" w:sz="8" w:color="EAF7FA"/>
            </w:tcBorders>
            <w:shd w:val="clear" w:color="auto" w:fill="EAF7FA"/>
          </w:tcPr>
          <w:p>
            <w:pPr>
              <w:spacing w:after="0"/>
              <w:rPr>
                <w:sz w:val="5"/>
                <w:szCs w:val="5"/>
                <w:color w:val="auto"/>
              </w:rPr>
            </w:pPr>
          </w:p>
        </w:tc>
        <w:tc>
          <w:tcPr>
            <w:tcW w:w="12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 w:type="dxa"/>
            <w:vAlign w:val="bottom"/>
            <w:tcBorders>
              <w:top w:val="single" w:sz="8" w:color="EAF7FA"/>
            </w:tcBorders>
            <w:shd w:val="clear" w:color="auto" w:fill="EAF7FA"/>
          </w:tcPr>
          <w:p>
            <w:pPr>
              <w:spacing w:after="0"/>
              <w:rPr>
                <w:sz w:val="5"/>
                <w:szCs w:val="5"/>
                <w:color w:val="auto"/>
              </w:rPr>
            </w:pPr>
          </w:p>
        </w:tc>
        <w:tc>
          <w:tcPr>
            <w:tcW w:w="10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38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14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92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500" w:type="dxa"/>
            <w:vAlign w:val="bottom"/>
            <w:tcBorders>
              <w:top w:val="single" w:sz="8" w:color="EAF7FA"/>
            </w:tcBorders>
            <w:shd w:val="clear" w:color="auto" w:fill="EAF7FA"/>
          </w:tcPr>
          <w:p>
            <w:pPr>
              <w:spacing w:after="0"/>
              <w:rPr>
                <w:sz w:val="5"/>
                <w:szCs w:val="5"/>
                <w:color w:val="auto"/>
              </w:rPr>
            </w:pPr>
          </w:p>
        </w:tc>
        <w:tc>
          <w:tcPr>
            <w:tcW w:w="17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right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r>
      <w:tr>
        <w:trPr>
          <w:trHeight w:val="203"/>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60" w:type="dxa"/>
            <w:vAlign w:val="bottom"/>
            <w:gridSpan w:val="35"/>
          </w:tcPr>
          <w:p>
            <w:pPr>
              <w:spacing w:after="0"/>
              <w:rPr>
                <w:sz w:val="20"/>
                <w:szCs w:val="20"/>
                <w:color w:val="auto"/>
              </w:rPr>
            </w:pPr>
            <w:r>
              <w:rPr>
                <w:rFonts w:ascii="Arial" w:cs="Arial" w:eastAsia="Arial" w:hAnsi="Arial"/>
                <w:sz w:val="16"/>
                <w:szCs w:val="16"/>
                <w:color w:val="0000EE"/>
              </w:rPr>
              <w:t>Summary Compensation Table</w:t>
            </w:r>
          </w:p>
        </w:tc>
        <w:tc>
          <w:tcPr>
            <w:tcW w:w="2120" w:type="dxa"/>
            <w:vAlign w:val="bottom"/>
            <w:gridSpan w:val="4"/>
          </w:tcPr>
          <w:p>
            <w:pPr>
              <w:jc w:val="right"/>
              <w:ind w:right="160"/>
              <w:spacing w:after="0"/>
              <w:rPr>
                <w:sz w:val="20"/>
                <w:szCs w:val="20"/>
                <w:color w:val="auto"/>
              </w:rPr>
            </w:pPr>
            <w:r>
              <w:rPr>
                <w:rFonts w:ascii="Arial" w:cs="Arial" w:eastAsia="Arial" w:hAnsi="Arial"/>
                <w:sz w:val="16"/>
                <w:szCs w:val="16"/>
                <w:color w:val="0000EE"/>
              </w:rPr>
              <w:t>54</w:t>
            </w:r>
          </w:p>
        </w:tc>
      </w:tr>
      <w:tr>
        <w:trPr>
          <w:trHeight w:val="61"/>
        </w:trPr>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r>
      <w:tr>
        <w:trPr>
          <w:trHeight w:val="202"/>
        </w:trPr>
        <w:tc>
          <w:tcPr>
            <w:tcW w:w="240" w:type="dxa"/>
            <w:vAlign w:val="bottom"/>
            <w:shd w:val="clear" w:color="auto" w:fill="EAF7FA"/>
          </w:tcPr>
          <w:p>
            <w:pPr>
              <w:spacing w:after="0"/>
              <w:rPr>
                <w:sz w:val="17"/>
                <w:szCs w:val="17"/>
                <w:color w:val="auto"/>
              </w:rPr>
            </w:pPr>
          </w:p>
        </w:tc>
        <w:tc>
          <w:tcPr>
            <w:tcW w:w="180" w:type="dxa"/>
            <w:vAlign w:val="bottom"/>
            <w:shd w:val="clear" w:color="auto" w:fill="EAF7FA"/>
          </w:tcPr>
          <w:p>
            <w:pPr>
              <w:spacing w:after="0"/>
              <w:rPr>
                <w:sz w:val="17"/>
                <w:szCs w:val="17"/>
                <w:color w:val="auto"/>
              </w:rPr>
            </w:pPr>
          </w:p>
        </w:tc>
        <w:tc>
          <w:tcPr>
            <w:tcW w:w="6860" w:type="dxa"/>
            <w:vAlign w:val="bottom"/>
            <w:gridSpan w:val="35"/>
            <w:shd w:val="clear" w:color="auto" w:fill="EAF7FA"/>
          </w:tcPr>
          <w:p>
            <w:pPr>
              <w:spacing w:after="0"/>
              <w:rPr>
                <w:sz w:val="20"/>
                <w:szCs w:val="20"/>
                <w:color w:val="auto"/>
              </w:rPr>
            </w:pPr>
            <w:r>
              <w:rPr>
                <w:rFonts w:ascii="Arial" w:cs="Arial" w:eastAsia="Arial" w:hAnsi="Arial"/>
                <w:sz w:val="16"/>
                <w:szCs w:val="16"/>
                <w:color w:val="0000EE"/>
              </w:rPr>
              <w:t>Potential Payments upon Termination or Change in Control</w:t>
            </w:r>
          </w:p>
        </w:tc>
        <w:tc>
          <w:tcPr>
            <w:tcW w:w="2120" w:type="dxa"/>
            <w:vAlign w:val="bottom"/>
            <w:gridSpan w:val="4"/>
            <w:shd w:val="clear" w:color="auto" w:fill="EAF7FA"/>
          </w:tcPr>
          <w:p>
            <w:pPr>
              <w:jc w:val="right"/>
              <w:ind w:right="160"/>
              <w:spacing w:after="0"/>
              <w:rPr>
                <w:sz w:val="20"/>
                <w:szCs w:val="20"/>
                <w:color w:val="auto"/>
              </w:rPr>
            </w:pPr>
            <w:r>
              <w:rPr>
                <w:rFonts w:ascii="Arial" w:cs="Arial" w:eastAsia="Arial" w:hAnsi="Arial"/>
                <w:sz w:val="16"/>
                <w:szCs w:val="16"/>
                <w:color w:val="0000EE"/>
              </w:rPr>
              <w:t>55</w:t>
            </w:r>
          </w:p>
        </w:tc>
      </w:tr>
      <w:tr>
        <w:trPr>
          <w:trHeight w:val="61"/>
        </w:trPr>
        <w:tc>
          <w:tcPr>
            <w:tcW w:w="24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0" w:type="dxa"/>
            <w:vAlign w:val="bottom"/>
            <w:tcBorders>
              <w:top w:val="single" w:sz="8" w:color="0000EE"/>
            </w:tcBorders>
            <w:shd w:val="clear" w:color="auto" w:fill="EAF7FA"/>
          </w:tcPr>
          <w:p>
            <w:pPr>
              <w:spacing w:after="0"/>
              <w:rPr>
                <w:sz w:val="5"/>
                <w:szCs w:val="5"/>
                <w:color w:val="auto"/>
              </w:rPr>
            </w:pPr>
          </w:p>
        </w:tc>
        <w:tc>
          <w:tcPr>
            <w:tcW w:w="4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20" w:type="dxa"/>
            <w:vAlign w:val="bottom"/>
            <w:tcBorders>
              <w:top w:val="single" w:sz="8" w:color="0000EE"/>
            </w:tcBorders>
            <w:shd w:val="clear" w:color="auto" w:fill="EAF7FA"/>
          </w:tcPr>
          <w:p>
            <w:pPr>
              <w:spacing w:after="0"/>
              <w:rPr>
                <w:sz w:val="5"/>
                <w:szCs w:val="5"/>
                <w:color w:val="auto"/>
              </w:rPr>
            </w:pPr>
          </w:p>
        </w:tc>
        <w:tc>
          <w:tcPr>
            <w:tcW w:w="14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4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180" w:type="dxa"/>
            <w:vAlign w:val="bottom"/>
            <w:tcBorders>
              <w:top w:val="single" w:sz="8" w:color="0000EE"/>
            </w:tcBorders>
            <w:shd w:val="clear" w:color="auto" w:fill="EAF7FA"/>
          </w:tcPr>
          <w:p>
            <w:pPr>
              <w:spacing w:after="0"/>
              <w:rPr>
                <w:sz w:val="5"/>
                <w:szCs w:val="5"/>
                <w:color w:val="auto"/>
              </w:rPr>
            </w:pPr>
          </w:p>
        </w:tc>
        <w:tc>
          <w:tcPr>
            <w:tcW w:w="140" w:type="dxa"/>
            <w:vAlign w:val="bottom"/>
            <w:tcBorders>
              <w:top w:val="single" w:sz="8" w:color="0000EE"/>
            </w:tcBorders>
            <w:shd w:val="clear" w:color="auto" w:fill="EAF7FA"/>
          </w:tcPr>
          <w:p>
            <w:pPr>
              <w:spacing w:after="0"/>
              <w:rPr>
                <w:sz w:val="5"/>
                <w:szCs w:val="5"/>
                <w:color w:val="auto"/>
              </w:rPr>
            </w:pPr>
          </w:p>
        </w:tc>
        <w:tc>
          <w:tcPr>
            <w:tcW w:w="420" w:type="dxa"/>
            <w:vAlign w:val="bottom"/>
            <w:tcBorders>
              <w:top w:val="single" w:sz="8" w:color="0000EE"/>
            </w:tcBorders>
            <w:shd w:val="clear" w:color="auto" w:fill="EAF7FA"/>
          </w:tcPr>
          <w:p>
            <w:pPr>
              <w:spacing w:after="0"/>
              <w:rPr>
                <w:sz w:val="5"/>
                <w:szCs w:val="5"/>
                <w:color w:val="auto"/>
              </w:rPr>
            </w:pPr>
          </w:p>
        </w:tc>
        <w:tc>
          <w:tcPr>
            <w:tcW w:w="180" w:type="dxa"/>
            <w:vAlign w:val="bottom"/>
            <w:tcBorders>
              <w:top w:val="single" w:sz="8" w:color="0000EE"/>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92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500" w:type="dxa"/>
            <w:vAlign w:val="bottom"/>
            <w:tcBorders>
              <w:top w:val="single" w:sz="8" w:color="EAF7FA"/>
            </w:tcBorders>
            <w:shd w:val="clear" w:color="auto" w:fill="EAF7FA"/>
          </w:tcPr>
          <w:p>
            <w:pPr>
              <w:spacing w:after="0"/>
              <w:rPr>
                <w:sz w:val="5"/>
                <w:szCs w:val="5"/>
                <w:color w:val="auto"/>
              </w:rPr>
            </w:pPr>
          </w:p>
        </w:tc>
        <w:tc>
          <w:tcPr>
            <w:tcW w:w="17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right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r>
      <w:tr>
        <w:trPr>
          <w:trHeight w:val="203"/>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60" w:type="dxa"/>
            <w:vAlign w:val="bottom"/>
            <w:gridSpan w:val="35"/>
          </w:tcPr>
          <w:p>
            <w:pPr>
              <w:spacing w:after="0"/>
              <w:rPr>
                <w:sz w:val="20"/>
                <w:szCs w:val="20"/>
                <w:color w:val="auto"/>
              </w:rPr>
            </w:pPr>
            <w:r>
              <w:rPr>
                <w:rFonts w:ascii="Arial" w:cs="Arial" w:eastAsia="Arial" w:hAnsi="Arial"/>
                <w:sz w:val="16"/>
                <w:szCs w:val="16"/>
                <w:color w:val="0000EE"/>
              </w:rPr>
              <w:t>Grants of Plan-Based Awards</w:t>
            </w:r>
          </w:p>
        </w:tc>
        <w:tc>
          <w:tcPr>
            <w:tcW w:w="2120" w:type="dxa"/>
            <w:vAlign w:val="bottom"/>
            <w:gridSpan w:val="4"/>
          </w:tcPr>
          <w:p>
            <w:pPr>
              <w:jc w:val="right"/>
              <w:ind w:right="160"/>
              <w:spacing w:after="0"/>
              <w:rPr>
                <w:sz w:val="20"/>
                <w:szCs w:val="20"/>
                <w:color w:val="auto"/>
              </w:rPr>
            </w:pPr>
            <w:r>
              <w:rPr>
                <w:rFonts w:ascii="Arial" w:cs="Arial" w:eastAsia="Arial" w:hAnsi="Arial"/>
                <w:sz w:val="16"/>
                <w:szCs w:val="16"/>
                <w:color w:val="0000EE"/>
              </w:rPr>
              <w:t>56</w:t>
            </w:r>
          </w:p>
        </w:tc>
      </w:tr>
      <w:tr>
        <w:trPr>
          <w:trHeight w:val="61"/>
        </w:trPr>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r>
      <w:tr>
        <w:trPr>
          <w:trHeight w:val="203"/>
        </w:trPr>
        <w:tc>
          <w:tcPr>
            <w:tcW w:w="240" w:type="dxa"/>
            <w:vAlign w:val="bottom"/>
            <w:shd w:val="clear" w:color="auto" w:fill="EAF7FA"/>
          </w:tcPr>
          <w:p>
            <w:pPr>
              <w:spacing w:after="0"/>
              <w:rPr>
                <w:sz w:val="17"/>
                <w:szCs w:val="17"/>
                <w:color w:val="auto"/>
              </w:rPr>
            </w:pPr>
          </w:p>
        </w:tc>
        <w:tc>
          <w:tcPr>
            <w:tcW w:w="180" w:type="dxa"/>
            <w:vAlign w:val="bottom"/>
            <w:shd w:val="clear" w:color="auto" w:fill="EAF7FA"/>
          </w:tcPr>
          <w:p>
            <w:pPr>
              <w:spacing w:after="0"/>
              <w:rPr>
                <w:sz w:val="17"/>
                <w:szCs w:val="17"/>
                <w:color w:val="auto"/>
              </w:rPr>
            </w:pPr>
          </w:p>
        </w:tc>
        <w:tc>
          <w:tcPr>
            <w:tcW w:w="6860" w:type="dxa"/>
            <w:vAlign w:val="bottom"/>
            <w:gridSpan w:val="35"/>
            <w:shd w:val="clear" w:color="auto" w:fill="EAF7FA"/>
          </w:tcPr>
          <w:p>
            <w:pPr>
              <w:spacing w:after="0"/>
              <w:rPr>
                <w:sz w:val="20"/>
                <w:szCs w:val="20"/>
                <w:color w:val="auto"/>
              </w:rPr>
            </w:pPr>
            <w:r>
              <w:rPr>
                <w:rFonts w:ascii="Arial" w:cs="Arial" w:eastAsia="Arial" w:hAnsi="Arial"/>
                <w:sz w:val="16"/>
                <w:szCs w:val="16"/>
                <w:color w:val="0000EE"/>
              </w:rPr>
              <w:t>Outstanding Equity Awards at Fiscal Year-End</w:t>
            </w:r>
          </w:p>
        </w:tc>
        <w:tc>
          <w:tcPr>
            <w:tcW w:w="2120" w:type="dxa"/>
            <w:vAlign w:val="bottom"/>
            <w:gridSpan w:val="4"/>
            <w:shd w:val="clear" w:color="auto" w:fill="EAF7FA"/>
          </w:tcPr>
          <w:p>
            <w:pPr>
              <w:jc w:val="right"/>
              <w:ind w:right="160"/>
              <w:spacing w:after="0"/>
              <w:rPr>
                <w:sz w:val="20"/>
                <w:szCs w:val="20"/>
                <w:color w:val="auto"/>
              </w:rPr>
            </w:pPr>
            <w:r>
              <w:rPr>
                <w:rFonts w:ascii="Arial" w:cs="Arial" w:eastAsia="Arial" w:hAnsi="Arial"/>
                <w:sz w:val="16"/>
                <w:szCs w:val="16"/>
                <w:color w:val="0000EE"/>
              </w:rPr>
              <w:t>57</w:t>
            </w:r>
          </w:p>
        </w:tc>
      </w:tr>
      <w:tr>
        <w:trPr>
          <w:trHeight w:val="61"/>
        </w:trPr>
        <w:tc>
          <w:tcPr>
            <w:tcW w:w="24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0" w:type="dxa"/>
            <w:vAlign w:val="bottom"/>
            <w:tcBorders>
              <w:top w:val="single" w:sz="8" w:color="0000EE"/>
            </w:tcBorders>
            <w:shd w:val="clear" w:color="auto" w:fill="EAF7FA"/>
          </w:tcPr>
          <w:p>
            <w:pPr>
              <w:spacing w:after="0"/>
              <w:rPr>
                <w:sz w:val="5"/>
                <w:szCs w:val="5"/>
                <w:color w:val="auto"/>
              </w:rPr>
            </w:pPr>
          </w:p>
        </w:tc>
        <w:tc>
          <w:tcPr>
            <w:tcW w:w="4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20" w:type="dxa"/>
            <w:vAlign w:val="bottom"/>
            <w:tcBorders>
              <w:top w:val="single" w:sz="8" w:color="0000EE"/>
            </w:tcBorders>
            <w:shd w:val="clear" w:color="auto" w:fill="EAF7FA"/>
          </w:tcPr>
          <w:p>
            <w:pPr>
              <w:spacing w:after="0"/>
              <w:rPr>
                <w:sz w:val="5"/>
                <w:szCs w:val="5"/>
                <w:color w:val="auto"/>
              </w:rPr>
            </w:pPr>
          </w:p>
        </w:tc>
        <w:tc>
          <w:tcPr>
            <w:tcW w:w="14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4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14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92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500" w:type="dxa"/>
            <w:vAlign w:val="bottom"/>
            <w:tcBorders>
              <w:top w:val="single" w:sz="8" w:color="EAF7FA"/>
            </w:tcBorders>
            <w:shd w:val="clear" w:color="auto" w:fill="EAF7FA"/>
          </w:tcPr>
          <w:p>
            <w:pPr>
              <w:spacing w:after="0"/>
              <w:rPr>
                <w:sz w:val="5"/>
                <w:szCs w:val="5"/>
                <w:color w:val="auto"/>
              </w:rPr>
            </w:pPr>
          </w:p>
        </w:tc>
        <w:tc>
          <w:tcPr>
            <w:tcW w:w="17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right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r>
      <w:tr>
        <w:trPr>
          <w:trHeight w:val="203"/>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60" w:type="dxa"/>
            <w:vAlign w:val="bottom"/>
            <w:gridSpan w:val="35"/>
          </w:tcPr>
          <w:p>
            <w:pPr>
              <w:spacing w:after="0"/>
              <w:rPr>
                <w:sz w:val="20"/>
                <w:szCs w:val="20"/>
                <w:color w:val="auto"/>
              </w:rPr>
            </w:pPr>
            <w:r>
              <w:rPr>
                <w:rFonts w:ascii="Arial" w:cs="Arial" w:eastAsia="Arial" w:hAnsi="Arial"/>
                <w:sz w:val="16"/>
                <w:szCs w:val="16"/>
                <w:color w:val="0000EE"/>
              </w:rPr>
              <w:t>Option Exercises and Stock Vested</w:t>
            </w:r>
          </w:p>
        </w:tc>
        <w:tc>
          <w:tcPr>
            <w:tcW w:w="2120" w:type="dxa"/>
            <w:vAlign w:val="bottom"/>
            <w:gridSpan w:val="4"/>
          </w:tcPr>
          <w:p>
            <w:pPr>
              <w:jc w:val="right"/>
              <w:ind w:right="160"/>
              <w:spacing w:after="0"/>
              <w:rPr>
                <w:sz w:val="20"/>
                <w:szCs w:val="20"/>
                <w:color w:val="auto"/>
              </w:rPr>
            </w:pPr>
            <w:r>
              <w:rPr>
                <w:rFonts w:ascii="Arial" w:cs="Arial" w:eastAsia="Arial" w:hAnsi="Arial"/>
                <w:sz w:val="16"/>
                <w:szCs w:val="16"/>
                <w:color w:val="0000EE"/>
              </w:rPr>
              <w:t>58</w:t>
            </w:r>
          </w:p>
        </w:tc>
      </w:tr>
      <w:tr>
        <w:trPr>
          <w:trHeight w:val="61"/>
        </w:trPr>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r>
      <w:tr>
        <w:trPr>
          <w:trHeight w:val="203"/>
        </w:trPr>
        <w:tc>
          <w:tcPr>
            <w:tcW w:w="240" w:type="dxa"/>
            <w:vAlign w:val="bottom"/>
            <w:shd w:val="clear" w:color="auto" w:fill="EAF7FA"/>
          </w:tcPr>
          <w:p>
            <w:pPr>
              <w:spacing w:after="0"/>
              <w:rPr>
                <w:sz w:val="17"/>
                <w:szCs w:val="17"/>
                <w:color w:val="auto"/>
              </w:rPr>
            </w:pPr>
          </w:p>
        </w:tc>
        <w:tc>
          <w:tcPr>
            <w:tcW w:w="180" w:type="dxa"/>
            <w:vAlign w:val="bottom"/>
            <w:shd w:val="clear" w:color="auto" w:fill="EAF7FA"/>
          </w:tcPr>
          <w:p>
            <w:pPr>
              <w:spacing w:after="0"/>
              <w:rPr>
                <w:sz w:val="17"/>
                <w:szCs w:val="17"/>
                <w:color w:val="auto"/>
              </w:rPr>
            </w:pPr>
          </w:p>
        </w:tc>
        <w:tc>
          <w:tcPr>
            <w:tcW w:w="6860" w:type="dxa"/>
            <w:vAlign w:val="bottom"/>
            <w:gridSpan w:val="35"/>
            <w:shd w:val="clear" w:color="auto" w:fill="EAF7FA"/>
          </w:tcPr>
          <w:p>
            <w:pPr>
              <w:spacing w:after="0"/>
              <w:rPr>
                <w:sz w:val="20"/>
                <w:szCs w:val="20"/>
                <w:color w:val="auto"/>
              </w:rPr>
            </w:pPr>
            <w:r>
              <w:rPr>
                <w:rFonts w:ascii="Arial" w:cs="Arial" w:eastAsia="Arial" w:hAnsi="Arial"/>
                <w:sz w:val="16"/>
                <w:szCs w:val="16"/>
                <w:color w:val="0000EE"/>
              </w:rPr>
              <w:t>Nonqualified Defined Contribution and Other Nonqualified Deferred Compensation Plans</w:t>
            </w:r>
          </w:p>
        </w:tc>
        <w:tc>
          <w:tcPr>
            <w:tcW w:w="2120" w:type="dxa"/>
            <w:vAlign w:val="bottom"/>
            <w:gridSpan w:val="4"/>
            <w:shd w:val="clear" w:color="auto" w:fill="EAF7FA"/>
          </w:tcPr>
          <w:p>
            <w:pPr>
              <w:jc w:val="right"/>
              <w:ind w:right="160"/>
              <w:spacing w:after="0"/>
              <w:rPr>
                <w:sz w:val="20"/>
                <w:szCs w:val="20"/>
                <w:color w:val="auto"/>
              </w:rPr>
            </w:pPr>
            <w:r>
              <w:rPr>
                <w:rFonts w:ascii="Arial" w:cs="Arial" w:eastAsia="Arial" w:hAnsi="Arial"/>
                <w:sz w:val="16"/>
                <w:szCs w:val="16"/>
                <w:color w:val="0000EE"/>
              </w:rPr>
              <w:t>58</w:t>
            </w:r>
          </w:p>
        </w:tc>
      </w:tr>
      <w:tr>
        <w:trPr>
          <w:trHeight w:val="61"/>
        </w:trPr>
        <w:tc>
          <w:tcPr>
            <w:tcW w:w="24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0" w:type="dxa"/>
            <w:vAlign w:val="bottom"/>
            <w:tcBorders>
              <w:top w:val="single" w:sz="8" w:color="0000EE"/>
            </w:tcBorders>
            <w:shd w:val="clear" w:color="auto" w:fill="EAF7FA"/>
          </w:tcPr>
          <w:p>
            <w:pPr>
              <w:spacing w:after="0"/>
              <w:rPr>
                <w:sz w:val="5"/>
                <w:szCs w:val="5"/>
                <w:color w:val="auto"/>
              </w:rPr>
            </w:pPr>
          </w:p>
        </w:tc>
        <w:tc>
          <w:tcPr>
            <w:tcW w:w="4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20" w:type="dxa"/>
            <w:vAlign w:val="bottom"/>
            <w:tcBorders>
              <w:top w:val="single" w:sz="8" w:color="0000EE"/>
            </w:tcBorders>
            <w:shd w:val="clear" w:color="auto" w:fill="EAF7FA"/>
          </w:tcPr>
          <w:p>
            <w:pPr>
              <w:spacing w:after="0"/>
              <w:rPr>
                <w:sz w:val="5"/>
                <w:szCs w:val="5"/>
                <w:color w:val="auto"/>
              </w:rPr>
            </w:pPr>
          </w:p>
        </w:tc>
        <w:tc>
          <w:tcPr>
            <w:tcW w:w="14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4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180" w:type="dxa"/>
            <w:vAlign w:val="bottom"/>
            <w:tcBorders>
              <w:top w:val="single" w:sz="8" w:color="0000EE"/>
            </w:tcBorders>
            <w:shd w:val="clear" w:color="auto" w:fill="EAF7FA"/>
          </w:tcPr>
          <w:p>
            <w:pPr>
              <w:spacing w:after="0"/>
              <w:rPr>
                <w:sz w:val="5"/>
                <w:szCs w:val="5"/>
                <w:color w:val="auto"/>
              </w:rPr>
            </w:pPr>
          </w:p>
        </w:tc>
        <w:tc>
          <w:tcPr>
            <w:tcW w:w="140" w:type="dxa"/>
            <w:vAlign w:val="bottom"/>
            <w:tcBorders>
              <w:top w:val="single" w:sz="8" w:color="0000EE"/>
            </w:tcBorders>
            <w:shd w:val="clear" w:color="auto" w:fill="EAF7FA"/>
          </w:tcPr>
          <w:p>
            <w:pPr>
              <w:spacing w:after="0"/>
              <w:rPr>
                <w:sz w:val="5"/>
                <w:szCs w:val="5"/>
                <w:color w:val="auto"/>
              </w:rPr>
            </w:pPr>
          </w:p>
        </w:tc>
        <w:tc>
          <w:tcPr>
            <w:tcW w:w="420" w:type="dxa"/>
            <w:vAlign w:val="bottom"/>
            <w:tcBorders>
              <w:top w:val="single" w:sz="8" w:color="0000EE"/>
            </w:tcBorders>
            <w:shd w:val="clear" w:color="auto" w:fill="EAF7FA"/>
          </w:tcPr>
          <w:p>
            <w:pPr>
              <w:spacing w:after="0"/>
              <w:rPr>
                <w:sz w:val="5"/>
                <w:szCs w:val="5"/>
                <w:color w:val="auto"/>
              </w:rPr>
            </w:pPr>
          </w:p>
        </w:tc>
        <w:tc>
          <w:tcPr>
            <w:tcW w:w="180" w:type="dxa"/>
            <w:vAlign w:val="bottom"/>
            <w:tcBorders>
              <w:top w:val="single" w:sz="8" w:color="0000EE"/>
            </w:tcBorders>
            <w:shd w:val="clear" w:color="auto" w:fill="EAF7FA"/>
          </w:tcPr>
          <w:p>
            <w:pPr>
              <w:spacing w:after="0"/>
              <w:rPr>
                <w:sz w:val="5"/>
                <w:szCs w:val="5"/>
                <w:color w:val="auto"/>
              </w:rPr>
            </w:pPr>
          </w:p>
        </w:tc>
        <w:tc>
          <w:tcPr>
            <w:tcW w:w="4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200" w:type="dxa"/>
            <w:vAlign w:val="bottom"/>
            <w:tcBorders>
              <w:top w:val="single" w:sz="8" w:color="0000EE"/>
            </w:tcBorders>
            <w:shd w:val="clear" w:color="auto" w:fill="EAF7FA"/>
          </w:tcPr>
          <w:p>
            <w:pPr>
              <w:spacing w:after="0"/>
              <w:rPr>
                <w:sz w:val="5"/>
                <w:szCs w:val="5"/>
                <w:color w:val="auto"/>
              </w:rPr>
            </w:pPr>
          </w:p>
        </w:tc>
        <w:tc>
          <w:tcPr>
            <w:tcW w:w="180" w:type="dxa"/>
            <w:vAlign w:val="bottom"/>
            <w:tcBorders>
              <w:top w:val="single" w:sz="8" w:color="0000EE"/>
            </w:tcBorders>
            <w:shd w:val="clear" w:color="auto" w:fill="EAF7FA"/>
          </w:tcPr>
          <w:p>
            <w:pPr>
              <w:spacing w:after="0"/>
              <w:rPr>
                <w:sz w:val="5"/>
                <w:szCs w:val="5"/>
                <w:color w:val="auto"/>
              </w:rPr>
            </w:pPr>
          </w:p>
        </w:tc>
        <w:tc>
          <w:tcPr>
            <w:tcW w:w="920" w:type="dxa"/>
            <w:vAlign w:val="bottom"/>
            <w:tcBorders>
              <w:top w:val="single" w:sz="8" w:color="0000EE"/>
            </w:tcBorders>
            <w:shd w:val="clear" w:color="auto" w:fill="EAF7FA"/>
          </w:tcPr>
          <w:p>
            <w:pPr>
              <w:spacing w:after="0"/>
              <w:rPr>
                <w:sz w:val="5"/>
                <w:szCs w:val="5"/>
                <w:color w:val="auto"/>
              </w:rPr>
            </w:pPr>
          </w:p>
        </w:tc>
        <w:tc>
          <w:tcPr>
            <w:tcW w:w="200" w:type="dxa"/>
            <w:vAlign w:val="bottom"/>
            <w:tcBorders>
              <w:top w:val="single" w:sz="8" w:color="0000EE"/>
            </w:tcBorders>
            <w:shd w:val="clear" w:color="auto" w:fill="EAF7FA"/>
          </w:tcPr>
          <w:p>
            <w:pPr>
              <w:spacing w:after="0"/>
              <w:rPr>
                <w:sz w:val="5"/>
                <w:szCs w:val="5"/>
                <w:color w:val="auto"/>
              </w:rPr>
            </w:pPr>
          </w:p>
        </w:tc>
        <w:tc>
          <w:tcPr>
            <w:tcW w:w="420" w:type="dxa"/>
            <w:vAlign w:val="bottom"/>
            <w:tcBorders>
              <w:top w:val="single" w:sz="8" w:color="0000EE"/>
            </w:tcBorders>
            <w:shd w:val="clear" w:color="auto" w:fill="EAF7FA"/>
          </w:tcPr>
          <w:p>
            <w:pPr>
              <w:spacing w:after="0"/>
              <w:rPr>
                <w:sz w:val="5"/>
                <w:szCs w:val="5"/>
                <w:color w:val="auto"/>
              </w:rPr>
            </w:pPr>
          </w:p>
        </w:tc>
        <w:tc>
          <w:tcPr>
            <w:tcW w:w="500" w:type="dxa"/>
            <w:vAlign w:val="bottom"/>
            <w:tcBorders>
              <w:top w:val="single" w:sz="8" w:color="EAF7FA"/>
            </w:tcBorders>
            <w:shd w:val="clear" w:color="auto" w:fill="EAF7FA"/>
          </w:tcPr>
          <w:p>
            <w:pPr>
              <w:spacing w:after="0"/>
              <w:rPr>
                <w:sz w:val="5"/>
                <w:szCs w:val="5"/>
                <w:color w:val="auto"/>
              </w:rPr>
            </w:pPr>
          </w:p>
        </w:tc>
        <w:tc>
          <w:tcPr>
            <w:tcW w:w="17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right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r>
      <w:tr>
        <w:trPr>
          <w:trHeight w:val="203"/>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60" w:type="dxa"/>
            <w:vAlign w:val="bottom"/>
            <w:gridSpan w:val="35"/>
          </w:tcPr>
          <w:p>
            <w:pPr>
              <w:spacing w:after="0"/>
              <w:rPr>
                <w:sz w:val="20"/>
                <w:szCs w:val="20"/>
                <w:color w:val="auto"/>
              </w:rPr>
            </w:pPr>
            <w:r>
              <w:rPr>
                <w:rFonts w:ascii="Arial" w:cs="Arial" w:eastAsia="Arial" w:hAnsi="Arial"/>
                <w:sz w:val="16"/>
                <w:szCs w:val="16"/>
                <w:color w:val="0000EE"/>
              </w:rPr>
              <w:t>Compensation Committee Report</w:t>
            </w:r>
          </w:p>
        </w:tc>
        <w:tc>
          <w:tcPr>
            <w:tcW w:w="2120" w:type="dxa"/>
            <w:vAlign w:val="bottom"/>
            <w:gridSpan w:val="4"/>
          </w:tcPr>
          <w:p>
            <w:pPr>
              <w:jc w:val="right"/>
              <w:ind w:right="160"/>
              <w:spacing w:after="0"/>
              <w:rPr>
                <w:sz w:val="20"/>
                <w:szCs w:val="20"/>
                <w:color w:val="auto"/>
              </w:rPr>
            </w:pPr>
            <w:r>
              <w:rPr>
                <w:rFonts w:ascii="Arial" w:cs="Arial" w:eastAsia="Arial" w:hAnsi="Arial"/>
                <w:sz w:val="16"/>
                <w:szCs w:val="16"/>
                <w:color w:val="0000EE"/>
              </w:rPr>
              <w:t>59</w:t>
            </w:r>
          </w:p>
        </w:tc>
      </w:tr>
      <w:tr>
        <w:trPr>
          <w:trHeight w:val="61"/>
        </w:trPr>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r>
      <w:tr>
        <w:trPr>
          <w:trHeight w:val="203"/>
        </w:trPr>
        <w:tc>
          <w:tcPr>
            <w:tcW w:w="240" w:type="dxa"/>
            <w:vAlign w:val="bottom"/>
            <w:shd w:val="clear" w:color="auto" w:fill="EAF7FA"/>
          </w:tcPr>
          <w:p>
            <w:pPr>
              <w:spacing w:after="0"/>
              <w:rPr>
                <w:sz w:val="17"/>
                <w:szCs w:val="17"/>
                <w:color w:val="auto"/>
              </w:rPr>
            </w:pPr>
          </w:p>
        </w:tc>
        <w:tc>
          <w:tcPr>
            <w:tcW w:w="180" w:type="dxa"/>
            <w:vAlign w:val="bottom"/>
            <w:shd w:val="clear" w:color="auto" w:fill="EAF7FA"/>
          </w:tcPr>
          <w:p>
            <w:pPr>
              <w:spacing w:after="0"/>
              <w:rPr>
                <w:sz w:val="17"/>
                <w:szCs w:val="17"/>
                <w:color w:val="auto"/>
              </w:rPr>
            </w:pPr>
          </w:p>
        </w:tc>
        <w:tc>
          <w:tcPr>
            <w:tcW w:w="6860" w:type="dxa"/>
            <w:vAlign w:val="bottom"/>
            <w:gridSpan w:val="35"/>
            <w:shd w:val="clear" w:color="auto" w:fill="EAF7FA"/>
          </w:tcPr>
          <w:p>
            <w:pPr>
              <w:spacing w:after="0"/>
              <w:rPr>
                <w:sz w:val="20"/>
                <w:szCs w:val="20"/>
                <w:color w:val="auto"/>
              </w:rPr>
            </w:pPr>
            <w:r>
              <w:rPr>
                <w:rFonts w:ascii="Arial" w:cs="Arial" w:eastAsia="Arial" w:hAnsi="Arial"/>
                <w:sz w:val="16"/>
                <w:szCs w:val="16"/>
                <w:color w:val="0000EE"/>
              </w:rPr>
              <w:t>Director Compensation and Stock Ownership Guidelines</w:t>
            </w:r>
          </w:p>
        </w:tc>
        <w:tc>
          <w:tcPr>
            <w:tcW w:w="2120" w:type="dxa"/>
            <w:vAlign w:val="bottom"/>
            <w:gridSpan w:val="4"/>
            <w:shd w:val="clear" w:color="auto" w:fill="EAF7FA"/>
          </w:tcPr>
          <w:p>
            <w:pPr>
              <w:jc w:val="right"/>
              <w:ind w:right="160"/>
              <w:spacing w:after="0"/>
              <w:rPr>
                <w:sz w:val="20"/>
                <w:szCs w:val="20"/>
                <w:color w:val="auto"/>
              </w:rPr>
            </w:pPr>
            <w:r>
              <w:rPr>
                <w:rFonts w:ascii="Arial" w:cs="Arial" w:eastAsia="Arial" w:hAnsi="Arial"/>
                <w:sz w:val="16"/>
                <w:szCs w:val="16"/>
                <w:color w:val="0000EE"/>
              </w:rPr>
              <w:t>59</w:t>
            </w:r>
          </w:p>
        </w:tc>
      </w:tr>
      <w:tr>
        <w:trPr>
          <w:trHeight w:val="61"/>
        </w:trPr>
        <w:tc>
          <w:tcPr>
            <w:tcW w:w="24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0" w:type="dxa"/>
            <w:vAlign w:val="bottom"/>
            <w:tcBorders>
              <w:top w:val="single" w:sz="8" w:color="0000EE"/>
            </w:tcBorders>
            <w:shd w:val="clear" w:color="auto" w:fill="EAF7FA"/>
          </w:tcPr>
          <w:p>
            <w:pPr>
              <w:spacing w:after="0"/>
              <w:rPr>
                <w:sz w:val="5"/>
                <w:szCs w:val="5"/>
                <w:color w:val="auto"/>
              </w:rPr>
            </w:pPr>
          </w:p>
        </w:tc>
        <w:tc>
          <w:tcPr>
            <w:tcW w:w="4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20" w:type="dxa"/>
            <w:vAlign w:val="bottom"/>
            <w:tcBorders>
              <w:top w:val="single" w:sz="8" w:color="0000EE"/>
            </w:tcBorders>
            <w:shd w:val="clear" w:color="auto" w:fill="EAF7FA"/>
          </w:tcPr>
          <w:p>
            <w:pPr>
              <w:spacing w:after="0"/>
              <w:rPr>
                <w:sz w:val="5"/>
                <w:szCs w:val="5"/>
                <w:color w:val="auto"/>
              </w:rPr>
            </w:pPr>
          </w:p>
        </w:tc>
        <w:tc>
          <w:tcPr>
            <w:tcW w:w="14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4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180" w:type="dxa"/>
            <w:vAlign w:val="bottom"/>
            <w:tcBorders>
              <w:top w:val="single" w:sz="8" w:color="0000EE"/>
            </w:tcBorders>
            <w:shd w:val="clear" w:color="auto" w:fill="EAF7FA"/>
          </w:tcPr>
          <w:p>
            <w:pPr>
              <w:spacing w:after="0"/>
              <w:rPr>
                <w:sz w:val="5"/>
                <w:szCs w:val="5"/>
                <w:color w:val="auto"/>
              </w:rPr>
            </w:pPr>
          </w:p>
        </w:tc>
        <w:tc>
          <w:tcPr>
            <w:tcW w:w="140" w:type="dxa"/>
            <w:vAlign w:val="bottom"/>
            <w:tcBorders>
              <w:top w:val="single" w:sz="8" w:color="0000EE"/>
            </w:tcBorders>
            <w:shd w:val="clear" w:color="auto" w:fill="EAF7FA"/>
          </w:tcPr>
          <w:p>
            <w:pPr>
              <w:spacing w:after="0"/>
              <w:rPr>
                <w:sz w:val="5"/>
                <w:szCs w:val="5"/>
                <w:color w:val="auto"/>
              </w:rPr>
            </w:pPr>
          </w:p>
        </w:tc>
        <w:tc>
          <w:tcPr>
            <w:tcW w:w="420" w:type="dxa"/>
            <w:vAlign w:val="bottom"/>
            <w:tcBorders>
              <w:top w:val="single" w:sz="8" w:color="0000EE"/>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92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500" w:type="dxa"/>
            <w:vAlign w:val="bottom"/>
            <w:tcBorders>
              <w:top w:val="single" w:sz="8" w:color="EAF7FA"/>
            </w:tcBorders>
            <w:shd w:val="clear" w:color="auto" w:fill="EAF7FA"/>
          </w:tcPr>
          <w:p>
            <w:pPr>
              <w:spacing w:after="0"/>
              <w:rPr>
                <w:sz w:val="5"/>
                <w:szCs w:val="5"/>
                <w:color w:val="auto"/>
              </w:rPr>
            </w:pPr>
          </w:p>
        </w:tc>
        <w:tc>
          <w:tcPr>
            <w:tcW w:w="17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right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r>
      <w:tr>
        <w:trPr>
          <w:trHeight w:val="203"/>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60" w:type="dxa"/>
            <w:vAlign w:val="bottom"/>
            <w:gridSpan w:val="35"/>
          </w:tcPr>
          <w:p>
            <w:pPr>
              <w:spacing w:after="0"/>
              <w:rPr>
                <w:sz w:val="20"/>
                <w:szCs w:val="20"/>
                <w:color w:val="auto"/>
              </w:rPr>
            </w:pPr>
            <w:r>
              <w:rPr>
                <w:rFonts w:ascii="Arial" w:cs="Arial" w:eastAsia="Arial" w:hAnsi="Arial"/>
                <w:sz w:val="16"/>
                <w:szCs w:val="16"/>
                <w:color w:val="0000EE"/>
              </w:rPr>
              <w:t>Ratio of Co-CEO Total Pay to “Median Employee” Total Pay</w:t>
            </w:r>
          </w:p>
        </w:tc>
        <w:tc>
          <w:tcPr>
            <w:tcW w:w="2120" w:type="dxa"/>
            <w:vAlign w:val="bottom"/>
            <w:gridSpan w:val="4"/>
          </w:tcPr>
          <w:p>
            <w:pPr>
              <w:jc w:val="right"/>
              <w:ind w:right="160"/>
              <w:spacing w:after="0"/>
              <w:rPr>
                <w:sz w:val="20"/>
                <w:szCs w:val="20"/>
                <w:color w:val="auto"/>
              </w:rPr>
            </w:pPr>
            <w:r>
              <w:rPr>
                <w:rFonts w:ascii="Arial" w:cs="Arial" w:eastAsia="Arial" w:hAnsi="Arial"/>
                <w:sz w:val="16"/>
                <w:szCs w:val="16"/>
                <w:color w:val="0000EE"/>
              </w:rPr>
              <w:t>60</w:t>
            </w:r>
          </w:p>
        </w:tc>
      </w:tr>
      <w:tr>
        <w:trPr>
          <w:trHeight w:val="61"/>
        </w:trPr>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r>
      <w:tr>
        <w:trPr>
          <w:trHeight w:val="203"/>
        </w:trPr>
        <w:tc>
          <w:tcPr>
            <w:tcW w:w="240" w:type="dxa"/>
            <w:vAlign w:val="bottom"/>
            <w:shd w:val="clear" w:color="auto" w:fill="EAF7FA"/>
          </w:tcPr>
          <w:p>
            <w:pPr>
              <w:spacing w:after="0"/>
              <w:rPr>
                <w:sz w:val="17"/>
                <w:szCs w:val="17"/>
                <w:color w:val="auto"/>
              </w:rPr>
            </w:pPr>
          </w:p>
        </w:tc>
        <w:tc>
          <w:tcPr>
            <w:tcW w:w="180" w:type="dxa"/>
            <w:vAlign w:val="bottom"/>
            <w:shd w:val="clear" w:color="auto" w:fill="EAF7FA"/>
          </w:tcPr>
          <w:p>
            <w:pPr>
              <w:spacing w:after="0"/>
              <w:rPr>
                <w:sz w:val="17"/>
                <w:szCs w:val="17"/>
                <w:color w:val="auto"/>
              </w:rPr>
            </w:pPr>
          </w:p>
        </w:tc>
        <w:tc>
          <w:tcPr>
            <w:tcW w:w="6860" w:type="dxa"/>
            <w:vAlign w:val="bottom"/>
            <w:gridSpan w:val="35"/>
            <w:shd w:val="clear" w:color="auto" w:fill="EAF7FA"/>
          </w:tcPr>
          <w:p>
            <w:pPr>
              <w:spacing w:after="0"/>
              <w:rPr>
                <w:sz w:val="20"/>
                <w:szCs w:val="20"/>
                <w:color w:val="auto"/>
              </w:rPr>
            </w:pPr>
            <w:r>
              <w:rPr>
                <w:rFonts w:ascii="Arial" w:cs="Arial" w:eastAsia="Arial" w:hAnsi="Arial"/>
                <w:sz w:val="16"/>
                <w:szCs w:val="16"/>
                <w:color w:val="0000EE"/>
              </w:rPr>
              <w:t>Pay versus Performance</w:t>
            </w:r>
          </w:p>
        </w:tc>
        <w:tc>
          <w:tcPr>
            <w:tcW w:w="2120" w:type="dxa"/>
            <w:vAlign w:val="bottom"/>
            <w:gridSpan w:val="4"/>
            <w:shd w:val="clear" w:color="auto" w:fill="EAF7FA"/>
          </w:tcPr>
          <w:p>
            <w:pPr>
              <w:jc w:val="right"/>
              <w:ind w:right="160"/>
              <w:spacing w:after="0"/>
              <w:rPr>
                <w:sz w:val="20"/>
                <w:szCs w:val="20"/>
                <w:color w:val="auto"/>
              </w:rPr>
            </w:pPr>
            <w:r>
              <w:rPr>
                <w:rFonts w:ascii="Arial" w:cs="Arial" w:eastAsia="Arial" w:hAnsi="Arial"/>
                <w:sz w:val="16"/>
                <w:szCs w:val="16"/>
                <w:color w:val="0000EE"/>
              </w:rPr>
              <w:t>62</w:t>
            </w:r>
          </w:p>
        </w:tc>
      </w:tr>
      <w:tr>
        <w:trPr>
          <w:trHeight w:val="61"/>
        </w:trPr>
        <w:tc>
          <w:tcPr>
            <w:tcW w:w="24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0" w:type="dxa"/>
            <w:vAlign w:val="bottom"/>
            <w:tcBorders>
              <w:top w:val="single" w:sz="8" w:color="0000EE"/>
            </w:tcBorders>
            <w:shd w:val="clear" w:color="auto" w:fill="EAF7FA"/>
          </w:tcPr>
          <w:p>
            <w:pPr>
              <w:spacing w:after="0"/>
              <w:rPr>
                <w:sz w:val="5"/>
                <w:szCs w:val="5"/>
                <w:color w:val="auto"/>
              </w:rPr>
            </w:pPr>
          </w:p>
        </w:tc>
        <w:tc>
          <w:tcPr>
            <w:tcW w:w="4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20" w:type="dxa"/>
            <w:vAlign w:val="bottom"/>
            <w:tcBorders>
              <w:top w:val="single" w:sz="8" w:color="EAF7FA"/>
            </w:tcBorders>
            <w:shd w:val="clear" w:color="auto" w:fill="EAF7FA"/>
          </w:tcPr>
          <w:p>
            <w:pPr>
              <w:spacing w:after="0"/>
              <w:rPr>
                <w:sz w:val="5"/>
                <w:szCs w:val="5"/>
                <w:color w:val="auto"/>
              </w:rPr>
            </w:pPr>
          </w:p>
        </w:tc>
        <w:tc>
          <w:tcPr>
            <w:tcW w:w="14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120" w:type="dxa"/>
            <w:vAlign w:val="bottom"/>
            <w:tcBorders>
              <w:top w:val="single" w:sz="8" w:color="EAF7FA"/>
            </w:tcBorders>
            <w:shd w:val="clear" w:color="auto" w:fill="EAF7FA"/>
          </w:tcPr>
          <w:p>
            <w:pPr>
              <w:spacing w:after="0"/>
              <w:rPr>
                <w:sz w:val="5"/>
                <w:szCs w:val="5"/>
                <w:color w:val="auto"/>
              </w:rPr>
            </w:pPr>
          </w:p>
        </w:tc>
        <w:tc>
          <w:tcPr>
            <w:tcW w:w="12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 w:type="dxa"/>
            <w:vAlign w:val="bottom"/>
            <w:tcBorders>
              <w:top w:val="single" w:sz="8" w:color="EAF7FA"/>
            </w:tcBorders>
            <w:shd w:val="clear" w:color="auto" w:fill="EAF7FA"/>
          </w:tcPr>
          <w:p>
            <w:pPr>
              <w:spacing w:after="0"/>
              <w:rPr>
                <w:sz w:val="5"/>
                <w:szCs w:val="5"/>
                <w:color w:val="auto"/>
              </w:rPr>
            </w:pPr>
          </w:p>
        </w:tc>
        <w:tc>
          <w:tcPr>
            <w:tcW w:w="10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38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14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92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500" w:type="dxa"/>
            <w:vAlign w:val="bottom"/>
            <w:tcBorders>
              <w:top w:val="single" w:sz="8" w:color="EAF7FA"/>
            </w:tcBorders>
            <w:shd w:val="clear" w:color="auto" w:fill="EAF7FA"/>
          </w:tcPr>
          <w:p>
            <w:pPr>
              <w:spacing w:after="0"/>
              <w:rPr>
                <w:sz w:val="5"/>
                <w:szCs w:val="5"/>
                <w:color w:val="auto"/>
              </w:rPr>
            </w:pPr>
          </w:p>
        </w:tc>
        <w:tc>
          <w:tcPr>
            <w:tcW w:w="17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right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r>
      <w:tr>
        <w:trPr>
          <w:trHeight w:val="203"/>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60" w:type="dxa"/>
            <w:vAlign w:val="bottom"/>
            <w:gridSpan w:val="35"/>
          </w:tcPr>
          <w:p>
            <w:pPr>
              <w:spacing w:after="0"/>
              <w:rPr>
                <w:sz w:val="20"/>
                <w:szCs w:val="20"/>
                <w:color w:val="auto"/>
              </w:rPr>
            </w:pPr>
            <w:r>
              <w:rPr>
                <w:rFonts w:ascii="Arial" w:cs="Arial" w:eastAsia="Arial" w:hAnsi="Arial"/>
                <w:sz w:val="16"/>
                <w:szCs w:val="16"/>
                <w:color w:val="0000EE"/>
              </w:rPr>
              <w:t>Equity Compensation Plan Information</w:t>
            </w:r>
          </w:p>
        </w:tc>
        <w:tc>
          <w:tcPr>
            <w:tcW w:w="2120" w:type="dxa"/>
            <w:vAlign w:val="bottom"/>
            <w:gridSpan w:val="4"/>
          </w:tcPr>
          <w:p>
            <w:pPr>
              <w:jc w:val="right"/>
              <w:ind w:right="160"/>
              <w:spacing w:after="0"/>
              <w:rPr>
                <w:sz w:val="20"/>
                <w:szCs w:val="20"/>
                <w:color w:val="auto"/>
              </w:rPr>
            </w:pPr>
            <w:r>
              <w:rPr>
                <w:rFonts w:ascii="Arial" w:cs="Arial" w:eastAsia="Arial" w:hAnsi="Arial"/>
                <w:sz w:val="16"/>
                <w:szCs w:val="16"/>
                <w:color w:val="0000EE"/>
              </w:rPr>
              <w:t>65</w:t>
            </w:r>
          </w:p>
        </w:tc>
      </w:tr>
      <w:tr>
        <w:trPr>
          <w:trHeight w:val="61"/>
        </w:trPr>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r>
      <w:tr>
        <w:trPr>
          <w:trHeight w:val="203"/>
        </w:trPr>
        <w:tc>
          <w:tcPr>
            <w:tcW w:w="240" w:type="dxa"/>
            <w:vAlign w:val="bottom"/>
            <w:shd w:val="clear" w:color="auto" w:fill="EAF7FA"/>
          </w:tcPr>
          <w:p>
            <w:pPr>
              <w:spacing w:after="0"/>
              <w:rPr>
                <w:sz w:val="17"/>
                <w:szCs w:val="17"/>
                <w:color w:val="auto"/>
              </w:rPr>
            </w:pPr>
          </w:p>
        </w:tc>
        <w:tc>
          <w:tcPr>
            <w:tcW w:w="7040" w:type="dxa"/>
            <w:vAlign w:val="bottom"/>
            <w:gridSpan w:val="36"/>
            <w:shd w:val="clear" w:color="auto" w:fill="EAF7FA"/>
          </w:tcPr>
          <w:p>
            <w:pPr>
              <w:spacing w:after="0"/>
              <w:rPr>
                <w:sz w:val="20"/>
                <w:szCs w:val="20"/>
                <w:color w:val="auto"/>
              </w:rPr>
            </w:pPr>
            <w:r>
              <w:rPr>
                <w:rFonts w:ascii="Arial" w:cs="Arial" w:eastAsia="Arial" w:hAnsi="Arial"/>
                <w:sz w:val="16"/>
                <w:szCs w:val="16"/>
                <w:b w:val="1"/>
                <w:bCs w:val="1"/>
                <w:color w:val="0000EE"/>
              </w:rPr>
              <w:t>Information About the Annual Meeting and Voting</w:t>
            </w:r>
          </w:p>
        </w:tc>
        <w:tc>
          <w:tcPr>
            <w:tcW w:w="2120" w:type="dxa"/>
            <w:vAlign w:val="bottom"/>
            <w:gridSpan w:val="4"/>
            <w:shd w:val="clear" w:color="auto" w:fill="EAF7FA"/>
          </w:tcPr>
          <w:p>
            <w:pPr>
              <w:jc w:val="right"/>
              <w:ind w:right="160"/>
              <w:spacing w:after="0"/>
              <w:rPr>
                <w:sz w:val="20"/>
                <w:szCs w:val="20"/>
                <w:color w:val="auto"/>
              </w:rPr>
            </w:pPr>
            <w:r>
              <w:rPr>
                <w:rFonts w:ascii="Arial" w:cs="Arial" w:eastAsia="Arial" w:hAnsi="Arial"/>
                <w:sz w:val="16"/>
                <w:szCs w:val="16"/>
                <w:color w:val="0000EE"/>
              </w:rPr>
              <w:t>67</w:t>
            </w:r>
          </w:p>
        </w:tc>
      </w:tr>
      <w:tr>
        <w:trPr>
          <w:trHeight w:val="61"/>
        </w:trPr>
        <w:tc>
          <w:tcPr>
            <w:tcW w:w="24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0000EE"/>
            </w:tcBorders>
            <w:shd w:val="clear" w:color="auto" w:fill="EAF7FA"/>
          </w:tcPr>
          <w:p>
            <w:pPr>
              <w:spacing w:after="0"/>
              <w:rPr>
                <w:sz w:val="5"/>
                <w:szCs w:val="5"/>
                <w:color w:val="auto"/>
              </w:rPr>
            </w:pPr>
          </w:p>
        </w:tc>
        <w:tc>
          <w:tcPr>
            <w:tcW w:w="400" w:type="dxa"/>
            <w:vAlign w:val="bottom"/>
            <w:tcBorders>
              <w:top w:val="single" w:sz="8" w:color="0000EE"/>
            </w:tcBorders>
            <w:shd w:val="clear" w:color="auto" w:fill="EAF7FA"/>
          </w:tcPr>
          <w:p>
            <w:pPr>
              <w:spacing w:after="0"/>
              <w:rPr>
                <w:sz w:val="5"/>
                <w:szCs w:val="5"/>
                <w:color w:val="auto"/>
              </w:rPr>
            </w:pPr>
          </w:p>
        </w:tc>
        <w:tc>
          <w:tcPr>
            <w:tcW w:w="4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20" w:type="dxa"/>
            <w:vAlign w:val="bottom"/>
            <w:tcBorders>
              <w:top w:val="single" w:sz="8" w:color="0000EE"/>
            </w:tcBorders>
            <w:shd w:val="clear" w:color="auto" w:fill="EAF7FA"/>
          </w:tcPr>
          <w:p>
            <w:pPr>
              <w:spacing w:after="0"/>
              <w:rPr>
                <w:sz w:val="5"/>
                <w:szCs w:val="5"/>
                <w:color w:val="auto"/>
              </w:rPr>
            </w:pPr>
          </w:p>
        </w:tc>
        <w:tc>
          <w:tcPr>
            <w:tcW w:w="14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4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180" w:type="dxa"/>
            <w:vAlign w:val="bottom"/>
            <w:tcBorders>
              <w:top w:val="single" w:sz="8" w:color="0000EE"/>
            </w:tcBorders>
            <w:shd w:val="clear" w:color="auto" w:fill="EAF7FA"/>
          </w:tcPr>
          <w:p>
            <w:pPr>
              <w:spacing w:after="0"/>
              <w:rPr>
                <w:sz w:val="5"/>
                <w:szCs w:val="5"/>
                <w:color w:val="auto"/>
              </w:rPr>
            </w:pPr>
          </w:p>
        </w:tc>
        <w:tc>
          <w:tcPr>
            <w:tcW w:w="140" w:type="dxa"/>
            <w:vAlign w:val="bottom"/>
            <w:tcBorders>
              <w:top w:val="single" w:sz="8" w:color="0000EE"/>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92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500" w:type="dxa"/>
            <w:vAlign w:val="bottom"/>
            <w:tcBorders>
              <w:top w:val="single" w:sz="8" w:color="EAF7FA"/>
            </w:tcBorders>
            <w:shd w:val="clear" w:color="auto" w:fill="EAF7FA"/>
          </w:tcPr>
          <w:p>
            <w:pPr>
              <w:spacing w:after="0"/>
              <w:rPr>
                <w:sz w:val="5"/>
                <w:szCs w:val="5"/>
                <w:color w:val="auto"/>
              </w:rPr>
            </w:pPr>
          </w:p>
        </w:tc>
        <w:tc>
          <w:tcPr>
            <w:tcW w:w="17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right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r>
      <w:tr>
        <w:trPr>
          <w:trHeight w:val="203"/>
        </w:trPr>
        <w:tc>
          <w:tcPr>
            <w:tcW w:w="240" w:type="dxa"/>
            <w:vAlign w:val="bottom"/>
          </w:tcPr>
          <w:p>
            <w:pPr>
              <w:spacing w:after="0"/>
              <w:rPr>
                <w:sz w:val="17"/>
                <w:szCs w:val="17"/>
                <w:color w:val="auto"/>
              </w:rPr>
            </w:pPr>
          </w:p>
        </w:tc>
        <w:tc>
          <w:tcPr>
            <w:tcW w:w="7040" w:type="dxa"/>
            <w:vAlign w:val="bottom"/>
            <w:gridSpan w:val="36"/>
          </w:tcPr>
          <w:p>
            <w:pPr>
              <w:spacing w:after="0"/>
              <w:rPr>
                <w:sz w:val="20"/>
                <w:szCs w:val="20"/>
                <w:color w:val="auto"/>
              </w:rPr>
            </w:pPr>
            <w:r>
              <w:rPr>
                <w:rFonts w:ascii="Arial" w:cs="Arial" w:eastAsia="Arial" w:hAnsi="Arial"/>
                <w:sz w:val="16"/>
                <w:szCs w:val="16"/>
                <w:b w:val="1"/>
                <w:bCs w:val="1"/>
                <w:color w:val="0000EE"/>
              </w:rPr>
              <w:t>Other Matters</w:t>
            </w:r>
          </w:p>
        </w:tc>
        <w:tc>
          <w:tcPr>
            <w:tcW w:w="2120" w:type="dxa"/>
            <w:vAlign w:val="bottom"/>
            <w:gridSpan w:val="4"/>
          </w:tcPr>
          <w:p>
            <w:pPr>
              <w:jc w:val="right"/>
              <w:ind w:right="160"/>
              <w:spacing w:after="0"/>
              <w:rPr>
                <w:sz w:val="20"/>
                <w:szCs w:val="20"/>
                <w:color w:val="auto"/>
              </w:rPr>
            </w:pPr>
            <w:r>
              <w:rPr>
                <w:rFonts w:ascii="Arial" w:cs="Arial" w:eastAsia="Arial" w:hAnsi="Arial"/>
                <w:sz w:val="16"/>
                <w:szCs w:val="16"/>
                <w:color w:val="0000EE"/>
              </w:rPr>
              <w:t>71</w:t>
            </w:r>
          </w:p>
        </w:tc>
      </w:tr>
      <w:tr>
        <w:trPr>
          <w:trHeight w:val="61"/>
        </w:trPr>
        <w:tc>
          <w:tcPr>
            <w:tcW w:w="2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r>
      <w:tr>
        <w:trPr>
          <w:trHeight w:val="203"/>
        </w:trPr>
        <w:tc>
          <w:tcPr>
            <w:tcW w:w="240" w:type="dxa"/>
            <w:vAlign w:val="bottom"/>
            <w:shd w:val="clear" w:color="auto" w:fill="EAF7FA"/>
          </w:tcPr>
          <w:p>
            <w:pPr>
              <w:spacing w:after="0"/>
              <w:rPr>
                <w:sz w:val="17"/>
                <w:szCs w:val="17"/>
                <w:color w:val="auto"/>
              </w:rPr>
            </w:pPr>
          </w:p>
        </w:tc>
        <w:tc>
          <w:tcPr>
            <w:tcW w:w="180" w:type="dxa"/>
            <w:vAlign w:val="bottom"/>
            <w:shd w:val="clear" w:color="auto" w:fill="EAF7FA"/>
          </w:tcPr>
          <w:p>
            <w:pPr>
              <w:spacing w:after="0"/>
              <w:rPr>
                <w:sz w:val="17"/>
                <w:szCs w:val="17"/>
                <w:color w:val="auto"/>
              </w:rPr>
            </w:pPr>
          </w:p>
        </w:tc>
        <w:tc>
          <w:tcPr>
            <w:tcW w:w="6860" w:type="dxa"/>
            <w:vAlign w:val="bottom"/>
            <w:gridSpan w:val="35"/>
            <w:shd w:val="clear" w:color="auto" w:fill="EAF7FA"/>
          </w:tcPr>
          <w:p>
            <w:pPr>
              <w:spacing w:after="0"/>
              <w:rPr>
                <w:sz w:val="20"/>
                <w:szCs w:val="20"/>
                <w:color w:val="auto"/>
              </w:rPr>
            </w:pPr>
            <w:r>
              <w:rPr>
                <w:rFonts w:ascii="Arial" w:cs="Arial" w:eastAsia="Arial" w:hAnsi="Arial"/>
                <w:sz w:val="16"/>
                <w:szCs w:val="16"/>
                <w:color w:val="0000EE"/>
              </w:rPr>
              <w:t>Copies of Annual Report on Form 10-K</w:t>
            </w:r>
          </w:p>
        </w:tc>
        <w:tc>
          <w:tcPr>
            <w:tcW w:w="2120" w:type="dxa"/>
            <w:vAlign w:val="bottom"/>
            <w:gridSpan w:val="4"/>
            <w:shd w:val="clear" w:color="auto" w:fill="EAF7FA"/>
          </w:tcPr>
          <w:p>
            <w:pPr>
              <w:jc w:val="right"/>
              <w:ind w:right="160"/>
              <w:spacing w:after="0"/>
              <w:rPr>
                <w:sz w:val="20"/>
                <w:szCs w:val="20"/>
                <w:color w:val="auto"/>
              </w:rPr>
            </w:pPr>
            <w:r>
              <w:rPr>
                <w:rFonts w:ascii="Arial" w:cs="Arial" w:eastAsia="Arial" w:hAnsi="Arial"/>
                <w:sz w:val="16"/>
                <w:szCs w:val="16"/>
                <w:color w:val="0000EE"/>
              </w:rPr>
              <w:t>71</w:t>
            </w:r>
          </w:p>
        </w:tc>
      </w:tr>
      <w:tr>
        <w:trPr>
          <w:trHeight w:val="61"/>
        </w:trPr>
        <w:tc>
          <w:tcPr>
            <w:tcW w:w="24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0" w:type="dxa"/>
            <w:vAlign w:val="bottom"/>
            <w:tcBorders>
              <w:top w:val="single" w:sz="8" w:color="0000EE"/>
            </w:tcBorders>
            <w:shd w:val="clear" w:color="auto" w:fill="EAF7FA"/>
          </w:tcPr>
          <w:p>
            <w:pPr>
              <w:spacing w:after="0"/>
              <w:rPr>
                <w:sz w:val="5"/>
                <w:szCs w:val="5"/>
                <w:color w:val="auto"/>
              </w:rPr>
            </w:pPr>
          </w:p>
        </w:tc>
        <w:tc>
          <w:tcPr>
            <w:tcW w:w="4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38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220" w:type="dxa"/>
            <w:vAlign w:val="bottom"/>
            <w:tcBorders>
              <w:top w:val="single" w:sz="8" w:color="0000EE"/>
            </w:tcBorders>
            <w:shd w:val="clear" w:color="auto" w:fill="EAF7FA"/>
          </w:tcPr>
          <w:p>
            <w:pPr>
              <w:spacing w:after="0"/>
              <w:rPr>
                <w:sz w:val="5"/>
                <w:szCs w:val="5"/>
                <w:color w:val="auto"/>
              </w:rPr>
            </w:pPr>
          </w:p>
        </w:tc>
        <w:tc>
          <w:tcPr>
            <w:tcW w:w="14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0000EE"/>
            </w:tcBorders>
            <w:shd w:val="clear" w:color="auto" w:fill="EAF7FA"/>
          </w:tcPr>
          <w:p>
            <w:pPr>
              <w:spacing w:after="0"/>
              <w:rPr>
                <w:sz w:val="5"/>
                <w:szCs w:val="5"/>
                <w:color w:val="auto"/>
              </w:rPr>
            </w:pPr>
          </w:p>
        </w:tc>
        <w:tc>
          <w:tcPr>
            <w:tcW w:w="12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2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38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14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4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180" w:type="dxa"/>
            <w:vAlign w:val="bottom"/>
            <w:tcBorders>
              <w:top w:val="single" w:sz="8" w:color="EAF7FA"/>
            </w:tcBorders>
            <w:shd w:val="clear" w:color="auto" w:fill="EAF7FA"/>
          </w:tcPr>
          <w:p>
            <w:pPr>
              <w:spacing w:after="0"/>
              <w:rPr>
                <w:sz w:val="5"/>
                <w:szCs w:val="5"/>
                <w:color w:val="auto"/>
              </w:rPr>
            </w:pPr>
          </w:p>
        </w:tc>
        <w:tc>
          <w:tcPr>
            <w:tcW w:w="920" w:type="dxa"/>
            <w:vAlign w:val="bottom"/>
            <w:tcBorders>
              <w:top w:val="single" w:sz="8" w:color="EAF7FA"/>
            </w:tcBorders>
            <w:shd w:val="clear" w:color="auto" w:fill="EAF7FA"/>
          </w:tcPr>
          <w:p>
            <w:pPr>
              <w:spacing w:after="0"/>
              <w:rPr>
                <w:sz w:val="5"/>
                <w:szCs w:val="5"/>
                <w:color w:val="auto"/>
              </w:rPr>
            </w:pPr>
          </w:p>
        </w:tc>
        <w:tc>
          <w:tcPr>
            <w:tcW w:w="200" w:type="dxa"/>
            <w:vAlign w:val="bottom"/>
            <w:tcBorders>
              <w:top w:val="single" w:sz="8" w:color="EAF7FA"/>
            </w:tcBorders>
            <w:shd w:val="clear" w:color="auto" w:fill="EAF7FA"/>
          </w:tcPr>
          <w:p>
            <w:pPr>
              <w:spacing w:after="0"/>
              <w:rPr>
                <w:sz w:val="5"/>
                <w:szCs w:val="5"/>
                <w:color w:val="auto"/>
              </w:rPr>
            </w:pPr>
          </w:p>
        </w:tc>
        <w:tc>
          <w:tcPr>
            <w:tcW w:w="420" w:type="dxa"/>
            <w:vAlign w:val="bottom"/>
            <w:tcBorders>
              <w:top w:val="single" w:sz="8" w:color="EAF7FA"/>
            </w:tcBorders>
            <w:shd w:val="clear" w:color="auto" w:fill="EAF7FA"/>
          </w:tcPr>
          <w:p>
            <w:pPr>
              <w:spacing w:after="0"/>
              <w:rPr>
                <w:sz w:val="5"/>
                <w:szCs w:val="5"/>
                <w:color w:val="auto"/>
              </w:rPr>
            </w:pPr>
          </w:p>
        </w:tc>
        <w:tc>
          <w:tcPr>
            <w:tcW w:w="500" w:type="dxa"/>
            <w:vAlign w:val="bottom"/>
            <w:tcBorders>
              <w:top w:val="single" w:sz="8" w:color="EAF7FA"/>
            </w:tcBorders>
            <w:shd w:val="clear" w:color="auto" w:fill="EAF7FA"/>
          </w:tcPr>
          <w:p>
            <w:pPr>
              <w:spacing w:after="0"/>
              <w:rPr>
                <w:sz w:val="5"/>
                <w:szCs w:val="5"/>
                <w:color w:val="auto"/>
              </w:rPr>
            </w:pPr>
          </w:p>
        </w:tc>
        <w:tc>
          <w:tcPr>
            <w:tcW w:w="17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00" w:type="dxa"/>
            <w:vAlign w:val="bottom"/>
            <w:tcBorders>
              <w:top w:val="single" w:sz="8" w:color="0000EE"/>
              <w:right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r>
      <w:tr>
        <w:trPr>
          <w:trHeight w:val="203"/>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40" w:type="dxa"/>
            <w:vAlign w:val="bottom"/>
            <w:gridSpan w:val="32"/>
          </w:tcPr>
          <w:p>
            <w:pPr>
              <w:spacing w:after="0"/>
              <w:rPr>
                <w:sz w:val="20"/>
                <w:szCs w:val="20"/>
                <w:color w:val="auto"/>
              </w:rPr>
            </w:pPr>
            <w:r>
              <w:rPr>
                <w:rFonts w:ascii="Arial" w:cs="Arial" w:eastAsia="Arial" w:hAnsi="Arial"/>
                <w:sz w:val="16"/>
                <w:szCs w:val="16"/>
                <w:color w:val="0000EE"/>
              </w:rPr>
              <w:t>Submitting Shareholder Proposals for the 2027 Annual Meeting of Shareholders</w:t>
            </w:r>
          </w:p>
        </w:tc>
        <w:tc>
          <w:tcPr>
            <w:tcW w:w="1120" w:type="dxa"/>
            <w:vAlign w:val="bottom"/>
            <w:gridSpan w:val="3"/>
          </w:tcPr>
          <w:p>
            <w:pPr>
              <w:spacing w:after="0"/>
              <w:rPr>
                <w:sz w:val="17"/>
                <w:szCs w:val="17"/>
                <w:color w:val="auto"/>
              </w:rPr>
            </w:pPr>
          </w:p>
        </w:tc>
        <w:tc>
          <w:tcPr>
            <w:tcW w:w="2120" w:type="dxa"/>
            <w:vAlign w:val="bottom"/>
            <w:gridSpan w:val="4"/>
          </w:tcPr>
          <w:p>
            <w:pPr>
              <w:jc w:val="right"/>
              <w:ind w:right="160"/>
              <w:spacing w:after="0"/>
              <w:rPr>
                <w:sz w:val="20"/>
                <w:szCs w:val="20"/>
                <w:color w:val="auto"/>
              </w:rPr>
            </w:pPr>
            <w:r>
              <w:rPr>
                <w:rFonts w:ascii="Arial" w:cs="Arial" w:eastAsia="Arial" w:hAnsi="Arial"/>
                <w:sz w:val="16"/>
                <w:szCs w:val="16"/>
                <w:color w:val="0000EE"/>
              </w:rPr>
              <w:t>71</w:t>
            </w:r>
          </w:p>
        </w:tc>
      </w:tr>
      <w:tr>
        <w:trPr>
          <w:trHeight w:val="20"/>
        </w:trPr>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20" w:lineRule="exact"/>
        <w:rPr>
          <w:sz w:val="20"/>
          <w:szCs w:val="20"/>
          <w:color w:val="auto"/>
        </w:rPr>
      </w:pPr>
    </w:p>
    <w:p>
      <w:pPr>
        <w:jc w:val="right"/>
        <w:spacing w:after="0"/>
        <w:rPr>
          <w:sz w:val="20"/>
          <w:szCs w:val="20"/>
          <w:color w:val="auto"/>
        </w:rPr>
      </w:pPr>
      <w:r>
        <w:rPr>
          <w:rFonts w:ascii="Arial" w:cs="Arial" w:eastAsia="Arial" w:hAnsi="Arial"/>
          <w:sz w:val="13"/>
          <w:szCs w:val="13"/>
          <w:color w:val="0B3C61"/>
        </w:rPr>
        <w:t xml:space="preserve">2026 Proxy Statement | American Financial Group   </w:t>
      </w:r>
      <w:r>
        <w:rPr>
          <w:rFonts w:ascii="Arial" w:cs="Arial" w:eastAsia="Arial" w:hAnsi="Arial"/>
          <w:sz w:val="13"/>
          <w:szCs w:val="13"/>
          <w:b w:val="1"/>
          <w:bCs w:val="1"/>
          <w:color w:val="EA1D2D"/>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222885</wp:posOffset>
            </wp:positionV>
            <wp:extent cx="59664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50"/>
          <w:szCs w:val="50"/>
          <w:color w:val="0B3C61"/>
        </w:rPr>
        <w:t>2026 Proxy</w:t>
      </w:r>
    </w:p>
    <w:p>
      <w:pPr>
        <w:spacing w:after="0" w:line="56" w:lineRule="exact"/>
        <w:rPr>
          <w:sz w:val="20"/>
          <w:szCs w:val="20"/>
          <w:color w:val="auto"/>
        </w:rPr>
      </w:pPr>
    </w:p>
    <w:p>
      <w:pPr>
        <w:spacing w:after="0"/>
        <w:rPr>
          <w:sz w:val="20"/>
          <w:szCs w:val="20"/>
          <w:color w:val="auto"/>
        </w:rPr>
      </w:pPr>
      <w:r>
        <w:rPr>
          <w:rFonts w:ascii="Arial" w:cs="Arial" w:eastAsia="Arial" w:hAnsi="Arial"/>
          <w:sz w:val="50"/>
          <w:szCs w:val="50"/>
          <w:color w:val="0B3C61"/>
        </w:rPr>
        <w:t>Statement Summary</w:t>
      </w:r>
    </w:p>
    <w:p>
      <w:pPr>
        <w:spacing w:after="0" w:line="205"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54565B"/>
        </w:rPr>
        <w:t>This summary highlights information contained elsewhere in this proxy statement. This summary does not contain all of the information you should consider. You should read the entire proxy statement carefully before voting.</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0B3C61"/>
        </w:rPr>
        <w:t>MEETING DETAILS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54565B"/>
        </w:rPr>
        <w:t xml:space="preserve">(see “Information about the Annual Meeting and Voting” beginning on page </w:t>
      </w:r>
      <w:r>
        <w:rPr>
          <w:rFonts w:ascii="Arial" w:cs="Arial" w:eastAsia="Arial" w:hAnsi="Arial"/>
          <w:sz w:val="16"/>
          <w:szCs w:val="16"/>
          <w:u w:val="single" w:color="auto"/>
          <w:color w:val="0000EE"/>
        </w:rPr>
        <w:t>67</w:t>
      </w:r>
      <w:r>
        <w:rPr>
          <w:rFonts w:ascii="Arial" w:cs="Arial" w:eastAsia="Arial" w:hAnsi="Arial"/>
          <w:sz w:val="16"/>
          <w:szCs w:val="16"/>
          <w:color w:val="54565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44577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5770" cy="445770"/>
                    </a:xfrm>
                    <a:prstGeom prst="rect">
                      <a:avLst/>
                    </a:prstGeom>
                    <a:noFill/>
                  </pic:spPr>
                </pic:pic>
              </a:graphicData>
            </a:graphic>
          </wp:anchor>
        </w:drawing>
        <w:drawing>
          <wp:anchor simplePos="0" relativeHeight="251657728" behindDoc="1" locked="0" layoutInCell="0" allowOverlap="1">
            <wp:simplePos x="0" y="0"/>
            <wp:positionH relativeFrom="column">
              <wp:posOffset>1221105</wp:posOffset>
            </wp:positionH>
            <wp:positionV relativeFrom="paragraph">
              <wp:posOffset>149225</wp:posOffset>
            </wp:positionV>
            <wp:extent cx="445770"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5770" cy="44577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149225</wp:posOffset>
            </wp:positionV>
            <wp:extent cx="44577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0" w:type="dxa"/>
            <w:vAlign w:val="bottom"/>
          </w:tcPr>
          <w:p>
            <w:pPr>
              <w:spacing w:after="0"/>
              <w:rPr>
                <w:sz w:val="20"/>
                <w:szCs w:val="20"/>
                <w:color w:val="auto"/>
              </w:rPr>
            </w:pPr>
            <w:r>
              <w:rPr>
                <w:rFonts w:ascii="Arial" w:cs="Arial" w:eastAsia="Arial" w:hAnsi="Arial"/>
                <w:sz w:val="14"/>
                <w:szCs w:val="14"/>
                <w:color w:val="54565B"/>
              </w:rPr>
              <w:t> </w:t>
            </w:r>
          </w:p>
        </w:tc>
        <w:tc>
          <w:tcPr>
            <w:tcW w:w="1900" w:type="dxa"/>
            <w:vAlign w:val="bottom"/>
          </w:tcPr>
          <w:p>
            <w:pPr>
              <w:ind w:left="520"/>
              <w:spacing w:after="0"/>
              <w:rPr>
                <w:sz w:val="20"/>
                <w:szCs w:val="20"/>
                <w:color w:val="auto"/>
              </w:rPr>
            </w:pPr>
            <w:r>
              <w:rPr>
                <w:rFonts w:ascii="Arial" w:cs="Arial" w:eastAsia="Arial" w:hAnsi="Arial"/>
                <w:sz w:val="14"/>
                <w:szCs w:val="14"/>
                <w:color w:val="54565B"/>
              </w:rPr>
              <w:t xml:space="preserve">  </w:t>
            </w:r>
          </w:p>
        </w:tc>
        <w:tc>
          <w:tcPr>
            <w:tcW w:w="2020" w:type="dxa"/>
            <w:vAlign w:val="bottom"/>
          </w:tcPr>
          <w:p>
            <w:pPr>
              <w:ind w:left="540"/>
              <w:spacing w:after="0"/>
              <w:rPr>
                <w:sz w:val="20"/>
                <w:szCs w:val="20"/>
                <w:color w:val="auto"/>
              </w:rPr>
            </w:pPr>
            <w:r>
              <w:rPr>
                <w:rFonts w:ascii="Arial" w:cs="Arial" w:eastAsia="Arial" w:hAnsi="Arial"/>
                <w:sz w:val="14"/>
                <w:szCs w:val="14"/>
                <w:color w:val="54565B"/>
              </w:rPr>
              <w:t xml:space="preserve">  </w:t>
            </w:r>
          </w:p>
        </w:tc>
      </w:tr>
      <w:tr>
        <w:trPr>
          <w:trHeight w:val="215"/>
        </w:trPr>
        <w:tc>
          <w:tcPr>
            <w:tcW w:w="1400" w:type="dxa"/>
            <w:vAlign w:val="bottom"/>
          </w:tcPr>
          <w:p>
            <w:pPr>
              <w:spacing w:after="0"/>
              <w:rPr>
                <w:sz w:val="20"/>
                <w:szCs w:val="20"/>
                <w:color w:val="auto"/>
              </w:rPr>
            </w:pPr>
            <w:r>
              <w:rPr>
                <w:rFonts w:ascii="Arial" w:cs="Arial" w:eastAsia="Arial" w:hAnsi="Arial"/>
                <w:sz w:val="14"/>
                <w:szCs w:val="14"/>
                <w:color w:val="0B3C61"/>
              </w:rPr>
              <w:t>Date:</w:t>
            </w:r>
          </w:p>
        </w:tc>
        <w:tc>
          <w:tcPr>
            <w:tcW w:w="1900" w:type="dxa"/>
            <w:vAlign w:val="bottom"/>
          </w:tcPr>
          <w:p>
            <w:pPr>
              <w:ind w:left="520"/>
              <w:spacing w:after="0"/>
              <w:rPr>
                <w:sz w:val="20"/>
                <w:szCs w:val="20"/>
                <w:color w:val="auto"/>
              </w:rPr>
            </w:pPr>
            <w:r>
              <w:rPr>
                <w:rFonts w:ascii="Arial" w:cs="Arial" w:eastAsia="Arial" w:hAnsi="Arial"/>
                <w:sz w:val="14"/>
                <w:szCs w:val="14"/>
                <w:color w:val="0B3C61"/>
              </w:rPr>
              <w:t>Time:</w:t>
            </w:r>
          </w:p>
        </w:tc>
        <w:tc>
          <w:tcPr>
            <w:tcW w:w="2020" w:type="dxa"/>
            <w:vAlign w:val="bottom"/>
          </w:tcPr>
          <w:p>
            <w:pPr>
              <w:ind w:left="540"/>
              <w:spacing w:after="0"/>
              <w:rPr>
                <w:sz w:val="20"/>
                <w:szCs w:val="20"/>
                <w:color w:val="auto"/>
              </w:rPr>
            </w:pPr>
            <w:r>
              <w:rPr>
                <w:rFonts w:ascii="Arial" w:cs="Arial" w:eastAsia="Arial" w:hAnsi="Arial"/>
                <w:sz w:val="14"/>
                <w:szCs w:val="14"/>
                <w:color w:val="0B3C61"/>
              </w:rPr>
              <w:t>Location:</w:t>
            </w:r>
          </w:p>
        </w:tc>
      </w:tr>
      <w:tr>
        <w:trPr>
          <w:trHeight w:val="162"/>
        </w:trPr>
        <w:tc>
          <w:tcPr>
            <w:tcW w:w="1400" w:type="dxa"/>
            <w:vAlign w:val="bottom"/>
          </w:tcPr>
          <w:p>
            <w:pPr>
              <w:spacing w:after="0"/>
              <w:rPr>
                <w:sz w:val="20"/>
                <w:szCs w:val="20"/>
                <w:color w:val="auto"/>
              </w:rPr>
            </w:pPr>
            <w:r>
              <w:rPr>
                <w:rFonts w:ascii="Arial" w:cs="Arial" w:eastAsia="Arial" w:hAnsi="Arial"/>
                <w:sz w:val="14"/>
                <w:szCs w:val="14"/>
                <w:color w:val="0B3C61"/>
              </w:rPr>
              <w:t>May 20, 2026</w:t>
            </w:r>
          </w:p>
        </w:tc>
        <w:tc>
          <w:tcPr>
            <w:tcW w:w="1900" w:type="dxa"/>
            <w:vAlign w:val="bottom"/>
          </w:tcPr>
          <w:p>
            <w:pPr>
              <w:ind w:left="520"/>
              <w:spacing w:after="0"/>
              <w:rPr>
                <w:sz w:val="20"/>
                <w:szCs w:val="20"/>
                <w:color w:val="auto"/>
              </w:rPr>
            </w:pPr>
            <w:r>
              <w:rPr>
                <w:rFonts w:ascii="Arial" w:cs="Arial" w:eastAsia="Arial" w:hAnsi="Arial"/>
                <w:sz w:val="14"/>
                <w:szCs w:val="14"/>
                <w:color w:val="0B3C61"/>
              </w:rPr>
              <w:t>11:00 a.m.</w:t>
            </w:r>
          </w:p>
        </w:tc>
        <w:tc>
          <w:tcPr>
            <w:tcW w:w="2020" w:type="dxa"/>
            <w:vAlign w:val="bottom"/>
          </w:tcPr>
          <w:p>
            <w:pPr>
              <w:ind w:left="540"/>
              <w:spacing w:after="0"/>
              <w:rPr>
                <w:sz w:val="20"/>
                <w:szCs w:val="20"/>
                <w:color w:val="auto"/>
              </w:rPr>
            </w:pPr>
            <w:r>
              <w:rPr>
                <w:rFonts w:ascii="Arial" w:cs="Arial" w:eastAsia="Arial" w:hAnsi="Arial"/>
                <w:sz w:val="14"/>
                <w:szCs w:val="14"/>
                <w:color w:val="0B3C61"/>
              </w:rPr>
              <w:t>www.virtualshareholder</w:t>
            </w:r>
          </w:p>
        </w:tc>
      </w:tr>
      <w:tr>
        <w:trPr>
          <w:trHeight w:val="190"/>
        </w:trPr>
        <w:tc>
          <w:tcPr>
            <w:tcW w:w="1400" w:type="dxa"/>
            <w:vAlign w:val="bottom"/>
          </w:tcPr>
          <w:p>
            <w:pPr>
              <w:spacing w:after="0"/>
              <w:rPr>
                <w:sz w:val="16"/>
                <w:szCs w:val="16"/>
                <w:color w:val="auto"/>
              </w:rPr>
            </w:pPr>
          </w:p>
        </w:tc>
        <w:tc>
          <w:tcPr>
            <w:tcW w:w="1900" w:type="dxa"/>
            <w:vAlign w:val="bottom"/>
          </w:tcPr>
          <w:p>
            <w:pPr>
              <w:ind w:left="520"/>
              <w:spacing w:after="0"/>
              <w:rPr>
                <w:sz w:val="20"/>
                <w:szCs w:val="20"/>
                <w:color w:val="auto"/>
              </w:rPr>
            </w:pPr>
            <w:r>
              <w:rPr>
                <w:rFonts w:ascii="Arial" w:cs="Arial" w:eastAsia="Arial" w:hAnsi="Arial"/>
                <w:sz w:val="14"/>
                <w:szCs w:val="14"/>
                <w:color w:val="0B3C61"/>
              </w:rPr>
              <w:t>Eastern Time</w:t>
            </w:r>
          </w:p>
        </w:tc>
        <w:tc>
          <w:tcPr>
            <w:tcW w:w="2020" w:type="dxa"/>
            <w:vAlign w:val="bottom"/>
          </w:tcPr>
          <w:p>
            <w:pPr>
              <w:ind w:left="540"/>
              <w:spacing w:after="0"/>
              <w:rPr>
                <w:sz w:val="20"/>
                <w:szCs w:val="20"/>
                <w:color w:val="auto"/>
              </w:rPr>
            </w:pPr>
            <w:r>
              <w:rPr>
                <w:rFonts w:ascii="Arial" w:cs="Arial" w:eastAsia="Arial" w:hAnsi="Arial"/>
                <w:sz w:val="14"/>
                <w:szCs w:val="14"/>
                <w:color w:val="0B3C61"/>
              </w:rPr>
              <w:t>meeting.com/AFG2026</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0B3C61"/>
        </w:rPr>
        <w:t>WAYS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44577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5770" cy="445770"/>
                    </a:xfrm>
                    <a:prstGeom prst="rect">
                      <a:avLst/>
                    </a:prstGeom>
                    <a:noFill/>
                  </pic:spPr>
                </pic:pic>
              </a:graphicData>
            </a:graphic>
          </wp:anchor>
        </w:drawing>
        <w:drawing>
          <wp:anchor simplePos="0" relativeHeight="251657728" behindDoc="1" locked="0" layoutInCell="0" allowOverlap="1">
            <wp:simplePos x="0" y="0"/>
            <wp:positionH relativeFrom="column">
              <wp:posOffset>1221105</wp:posOffset>
            </wp:positionH>
            <wp:positionV relativeFrom="paragraph">
              <wp:posOffset>130810</wp:posOffset>
            </wp:positionV>
            <wp:extent cx="445770" cy="445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5770" cy="44577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130810</wp:posOffset>
            </wp:positionV>
            <wp:extent cx="445770"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5770" cy="445770"/>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130810</wp:posOffset>
            </wp:positionV>
            <wp:extent cx="445770" cy="445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54565B"/>
              </w:rPr>
              <w:t> </w:t>
            </w:r>
          </w:p>
        </w:tc>
        <w:tc>
          <w:tcPr>
            <w:tcW w:w="1780" w:type="dxa"/>
            <w:vAlign w:val="bottom"/>
          </w:tcPr>
          <w:p>
            <w:pPr>
              <w:ind w:left="320"/>
              <w:spacing w:after="0"/>
              <w:rPr>
                <w:sz w:val="20"/>
                <w:szCs w:val="20"/>
                <w:color w:val="auto"/>
              </w:rPr>
            </w:pPr>
            <w:r>
              <w:rPr>
                <w:rFonts w:ascii="Arial" w:cs="Arial" w:eastAsia="Arial" w:hAnsi="Arial"/>
                <w:sz w:val="14"/>
                <w:szCs w:val="14"/>
                <w:color w:val="54565B"/>
              </w:rPr>
              <w:t> </w:t>
            </w:r>
          </w:p>
        </w:tc>
        <w:tc>
          <w:tcPr>
            <w:tcW w:w="2020" w:type="dxa"/>
            <w:vAlign w:val="bottom"/>
          </w:tcPr>
          <w:p>
            <w:pPr>
              <w:ind w:left="460"/>
              <w:spacing w:after="0"/>
              <w:rPr>
                <w:sz w:val="20"/>
                <w:szCs w:val="20"/>
                <w:color w:val="auto"/>
              </w:rPr>
            </w:pPr>
            <w:r>
              <w:rPr>
                <w:rFonts w:ascii="Arial" w:cs="Arial" w:eastAsia="Arial" w:hAnsi="Arial"/>
                <w:sz w:val="14"/>
                <w:szCs w:val="14"/>
                <w:color w:val="54565B"/>
              </w:rPr>
              <w:t> </w:t>
            </w:r>
          </w:p>
        </w:tc>
        <w:tc>
          <w:tcPr>
            <w:tcW w:w="1220" w:type="dxa"/>
            <w:vAlign w:val="bottom"/>
          </w:tcPr>
          <w:p>
            <w:pPr>
              <w:ind w:left="360"/>
              <w:spacing w:after="0"/>
              <w:rPr>
                <w:sz w:val="20"/>
                <w:szCs w:val="20"/>
                <w:color w:val="auto"/>
              </w:rPr>
            </w:pPr>
            <w:r>
              <w:rPr>
                <w:rFonts w:ascii="Arial" w:cs="Arial" w:eastAsia="Arial" w:hAnsi="Arial"/>
                <w:sz w:val="14"/>
                <w:szCs w:val="14"/>
                <w:color w:val="54565B"/>
              </w:rPr>
              <w:t> </w:t>
            </w:r>
          </w:p>
        </w:tc>
      </w:tr>
      <w:tr>
        <w:trPr>
          <w:trHeight w:val="201"/>
        </w:trPr>
        <w:tc>
          <w:tcPr>
            <w:tcW w:w="1600" w:type="dxa"/>
            <w:vAlign w:val="bottom"/>
          </w:tcPr>
          <w:p>
            <w:pPr>
              <w:spacing w:after="0"/>
              <w:rPr>
                <w:sz w:val="20"/>
                <w:szCs w:val="20"/>
                <w:color w:val="auto"/>
              </w:rPr>
            </w:pPr>
            <w:r>
              <w:rPr>
                <w:rFonts w:ascii="Arial" w:cs="Arial" w:eastAsia="Arial" w:hAnsi="Arial"/>
                <w:sz w:val="14"/>
                <w:szCs w:val="14"/>
                <w:color w:val="54565B"/>
              </w:rPr>
              <w:t>Through</w:t>
            </w:r>
          </w:p>
        </w:tc>
        <w:tc>
          <w:tcPr>
            <w:tcW w:w="1780" w:type="dxa"/>
            <w:vAlign w:val="bottom"/>
          </w:tcPr>
          <w:p>
            <w:pPr>
              <w:ind w:left="320"/>
              <w:spacing w:after="0"/>
              <w:rPr>
                <w:sz w:val="20"/>
                <w:szCs w:val="20"/>
                <w:color w:val="auto"/>
              </w:rPr>
            </w:pPr>
            <w:r>
              <w:rPr>
                <w:rFonts w:ascii="Arial" w:cs="Arial" w:eastAsia="Arial" w:hAnsi="Arial"/>
                <w:sz w:val="14"/>
                <w:szCs w:val="14"/>
                <w:color w:val="54565B"/>
              </w:rPr>
              <w:t>By toll free</w:t>
            </w:r>
          </w:p>
        </w:tc>
        <w:tc>
          <w:tcPr>
            <w:tcW w:w="2020" w:type="dxa"/>
            <w:vAlign w:val="bottom"/>
          </w:tcPr>
          <w:p>
            <w:pPr>
              <w:ind w:left="460"/>
              <w:spacing w:after="0"/>
              <w:rPr>
                <w:sz w:val="20"/>
                <w:szCs w:val="20"/>
                <w:color w:val="auto"/>
              </w:rPr>
            </w:pPr>
            <w:r>
              <w:rPr>
                <w:rFonts w:ascii="Arial" w:cs="Arial" w:eastAsia="Arial" w:hAnsi="Arial"/>
                <w:sz w:val="14"/>
                <w:szCs w:val="14"/>
                <w:color w:val="54565B"/>
              </w:rPr>
              <w:t>By mail:</w:t>
            </w:r>
          </w:p>
        </w:tc>
        <w:tc>
          <w:tcPr>
            <w:tcW w:w="1220" w:type="dxa"/>
            <w:vAlign w:val="bottom"/>
          </w:tcPr>
          <w:p>
            <w:pPr>
              <w:ind w:left="360"/>
              <w:spacing w:after="0"/>
              <w:rPr>
                <w:sz w:val="20"/>
                <w:szCs w:val="20"/>
                <w:color w:val="auto"/>
              </w:rPr>
            </w:pPr>
            <w:r>
              <w:rPr>
                <w:rFonts w:ascii="Arial" w:cs="Arial" w:eastAsia="Arial" w:hAnsi="Arial"/>
                <w:sz w:val="14"/>
                <w:szCs w:val="14"/>
                <w:color w:val="54565B"/>
              </w:rPr>
              <w:t>Virtually:</w:t>
            </w: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54565B"/>
              </w:rPr>
              <w:t>the Internet:</w:t>
            </w:r>
          </w:p>
        </w:tc>
        <w:tc>
          <w:tcPr>
            <w:tcW w:w="1780" w:type="dxa"/>
            <w:vAlign w:val="bottom"/>
          </w:tcPr>
          <w:p>
            <w:pPr>
              <w:ind w:left="320"/>
              <w:spacing w:after="0"/>
              <w:rPr>
                <w:sz w:val="20"/>
                <w:szCs w:val="20"/>
                <w:color w:val="auto"/>
              </w:rPr>
            </w:pPr>
            <w:r>
              <w:rPr>
                <w:rFonts w:ascii="Arial" w:cs="Arial" w:eastAsia="Arial" w:hAnsi="Arial"/>
                <w:sz w:val="14"/>
                <w:szCs w:val="14"/>
                <w:color w:val="54565B"/>
              </w:rPr>
              <w:t>telephone:</w:t>
            </w:r>
          </w:p>
        </w:tc>
        <w:tc>
          <w:tcPr>
            <w:tcW w:w="2020" w:type="dxa"/>
            <w:vAlign w:val="bottom"/>
          </w:tcPr>
          <w:p>
            <w:pPr>
              <w:ind w:left="460"/>
              <w:spacing w:after="0"/>
              <w:rPr>
                <w:sz w:val="20"/>
                <w:szCs w:val="20"/>
                <w:color w:val="auto"/>
              </w:rPr>
            </w:pPr>
            <w:r>
              <w:rPr>
                <w:rFonts w:ascii="Arial" w:cs="Arial" w:eastAsia="Arial" w:hAnsi="Arial"/>
                <w:sz w:val="14"/>
                <w:szCs w:val="14"/>
                <w:color w:val="54565B"/>
              </w:rPr>
              <w:t>Follow instructions</w:t>
            </w:r>
          </w:p>
        </w:tc>
        <w:tc>
          <w:tcPr>
            <w:tcW w:w="1220" w:type="dxa"/>
            <w:vAlign w:val="bottom"/>
          </w:tcPr>
          <w:p>
            <w:pPr>
              <w:ind w:left="360"/>
              <w:spacing w:after="0"/>
              <w:rPr>
                <w:sz w:val="20"/>
                <w:szCs w:val="20"/>
                <w:color w:val="auto"/>
              </w:rPr>
            </w:pPr>
            <w:r>
              <w:rPr>
                <w:rFonts w:ascii="Arial" w:cs="Arial" w:eastAsia="Arial" w:hAnsi="Arial"/>
                <w:sz w:val="14"/>
                <w:szCs w:val="14"/>
                <w:color w:val="54565B"/>
                <w:w w:val="99"/>
              </w:rPr>
              <w:t>At the Annual</w:t>
            </w:r>
          </w:p>
        </w:tc>
      </w:tr>
      <w:tr>
        <w:trPr>
          <w:trHeight w:val="190"/>
        </w:trPr>
        <w:tc>
          <w:tcPr>
            <w:tcW w:w="1600" w:type="dxa"/>
            <w:vAlign w:val="bottom"/>
          </w:tcPr>
          <w:p>
            <w:pPr>
              <w:spacing w:after="0"/>
              <w:rPr>
                <w:sz w:val="20"/>
                <w:szCs w:val="20"/>
                <w:color w:val="auto"/>
              </w:rPr>
            </w:pPr>
            <w:r>
              <w:rPr>
                <w:rFonts w:ascii="Arial" w:cs="Arial" w:eastAsia="Arial" w:hAnsi="Arial"/>
                <w:sz w:val="14"/>
                <w:szCs w:val="14"/>
                <w:color w:val="54565B"/>
              </w:rPr>
              <w:t>www.proxyvote.com</w:t>
            </w:r>
          </w:p>
        </w:tc>
        <w:tc>
          <w:tcPr>
            <w:tcW w:w="1780" w:type="dxa"/>
            <w:vAlign w:val="bottom"/>
          </w:tcPr>
          <w:p>
            <w:pPr>
              <w:ind w:left="320"/>
              <w:spacing w:after="0"/>
              <w:rPr>
                <w:sz w:val="20"/>
                <w:szCs w:val="20"/>
                <w:color w:val="auto"/>
              </w:rPr>
            </w:pPr>
            <w:r>
              <w:rPr>
                <w:rFonts w:ascii="Arial" w:cs="Arial" w:eastAsia="Arial" w:hAnsi="Arial"/>
                <w:sz w:val="14"/>
                <w:szCs w:val="14"/>
                <w:color w:val="54565B"/>
              </w:rPr>
              <w:t>(800) 690-6903</w:t>
            </w:r>
          </w:p>
        </w:tc>
        <w:tc>
          <w:tcPr>
            <w:tcW w:w="2020" w:type="dxa"/>
            <w:vAlign w:val="bottom"/>
          </w:tcPr>
          <w:p>
            <w:pPr>
              <w:ind w:left="460"/>
              <w:spacing w:after="0"/>
              <w:rPr>
                <w:sz w:val="20"/>
                <w:szCs w:val="20"/>
                <w:color w:val="auto"/>
              </w:rPr>
            </w:pPr>
            <w:r>
              <w:rPr>
                <w:rFonts w:ascii="Arial" w:cs="Arial" w:eastAsia="Arial" w:hAnsi="Arial"/>
                <w:sz w:val="14"/>
                <w:szCs w:val="14"/>
                <w:color w:val="54565B"/>
              </w:rPr>
              <w:t>on your proxy card</w:t>
            </w:r>
          </w:p>
        </w:tc>
        <w:tc>
          <w:tcPr>
            <w:tcW w:w="1220" w:type="dxa"/>
            <w:vAlign w:val="bottom"/>
          </w:tcPr>
          <w:p>
            <w:pPr>
              <w:ind w:left="360"/>
              <w:spacing w:after="0"/>
              <w:rPr>
                <w:sz w:val="20"/>
                <w:szCs w:val="20"/>
                <w:color w:val="auto"/>
              </w:rPr>
            </w:pPr>
            <w:r>
              <w:rPr>
                <w:rFonts w:ascii="Arial" w:cs="Arial" w:eastAsia="Arial" w:hAnsi="Arial"/>
                <w:sz w:val="14"/>
                <w:szCs w:val="14"/>
                <w:color w:val="54565B"/>
              </w:rPr>
              <w:t>Meeting</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0B3C61"/>
        </w:rPr>
        <w:t>MATTERS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45085</wp:posOffset>
            </wp:positionV>
            <wp:extent cx="5966460"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6460" cy="10287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160" w:type="dxa"/>
            <w:vAlign w:val="bottom"/>
            <w:shd w:val="clear" w:color="auto" w:fill="0B3C61"/>
          </w:tcPr>
          <w:p>
            <w:pPr>
              <w:spacing w:after="0"/>
              <w:rPr>
                <w:sz w:val="24"/>
                <w:szCs w:val="24"/>
                <w:color w:val="auto"/>
              </w:rPr>
            </w:pPr>
          </w:p>
        </w:tc>
        <w:tc>
          <w:tcPr>
            <w:tcW w:w="4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300" w:type="dxa"/>
            <w:vAlign w:val="bottom"/>
          </w:tcPr>
          <w:p>
            <w:pPr>
              <w:jc w:val="center"/>
              <w:ind w:left="1021"/>
              <w:spacing w:after="0"/>
              <w:rPr>
                <w:sz w:val="20"/>
                <w:szCs w:val="20"/>
                <w:color w:val="auto"/>
              </w:rPr>
            </w:pPr>
            <w:r>
              <w:rPr>
                <w:rFonts w:ascii="Arial" w:cs="Arial" w:eastAsia="Arial" w:hAnsi="Arial"/>
                <w:sz w:val="14"/>
                <w:szCs w:val="14"/>
                <w:color w:val="FFFFFF"/>
              </w:rPr>
              <w:t>Board</w:t>
            </w:r>
          </w:p>
        </w:tc>
        <w:tc>
          <w:tcPr>
            <w:tcW w:w="0" w:type="dxa"/>
            <w:vAlign w:val="bottom"/>
          </w:tcPr>
          <w:p>
            <w:pPr>
              <w:spacing w:after="0"/>
              <w:rPr>
                <w:sz w:val="1"/>
                <w:szCs w:val="1"/>
                <w:color w:val="auto"/>
              </w:rPr>
            </w:pPr>
          </w:p>
        </w:tc>
      </w:tr>
      <w:tr>
        <w:trPr>
          <w:trHeight w:val="190"/>
        </w:trPr>
        <w:tc>
          <w:tcPr>
            <w:tcW w:w="160" w:type="dxa"/>
            <w:vAlign w:val="bottom"/>
            <w:shd w:val="clear" w:color="auto" w:fill="0B3C61"/>
          </w:tcPr>
          <w:p>
            <w:pPr>
              <w:spacing w:after="0"/>
              <w:rPr>
                <w:sz w:val="16"/>
                <w:szCs w:val="16"/>
                <w:color w:val="auto"/>
              </w:rPr>
            </w:pPr>
          </w:p>
        </w:tc>
        <w:tc>
          <w:tcPr>
            <w:tcW w:w="460" w:type="dxa"/>
            <w:vAlign w:val="bottom"/>
          </w:tcPr>
          <w:p>
            <w:pPr>
              <w:jc w:val="center"/>
              <w:ind w:right="28"/>
              <w:spacing w:after="0"/>
              <w:rPr>
                <w:sz w:val="20"/>
                <w:szCs w:val="20"/>
                <w:color w:val="auto"/>
              </w:rPr>
            </w:pPr>
            <w:r>
              <w:rPr>
                <w:rFonts w:ascii="Arial" w:cs="Arial" w:eastAsia="Arial" w:hAnsi="Arial"/>
                <w:sz w:val="14"/>
                <w:szCs w:val="14"/>
                <w:color w:val="FFFFFF"/>
              </w:rPr>
              <w:t>Items</w:t>
            </w:r>
          </w:p>
        </w:tc>
        <w:tc>
          <w:tcPr>
            <w:tcW w:w="4080" w:type="dxa"/>
            <w:vAlign w:val="bottom"/>
          </w:tcPr>
          <w:p>
            <w:pPr>
              <w:spacing w:after="0"/>
              <w:rPr>
                <w:sz w:val="16"/>
                <w:szCs w:val="16"/>
                <w:color w:val="auto"/>
              </w:rPr>
            </w:pPr>
          </w:p>
        </w:tc>
        <w:tc>
          <w:tcPr>
            <w:tcW w:w="2300" w:type="dxa"/>
            <w:vAlign w:val="bottom"/>
          </w:tcPr>
          <w:p>
            <w:pPr>
              <w:jc w:val="center"/>
              <w:ind w:left="1061"/>
              <w:spacing w:after="0"/>
              <w:rPr>
                <w:sz w:val="20"/>
                <w:szCs w:val="20"/>
                <w:color w:val="auto"/>
              </w:rPr>
            </w:pPr>
            <w:r>
              <w:rPr>
                <w:rFonts w:ascii="Arial" w:cs="Arial" w:eastAsia="Arial" w:hAnsi="Arial"/>
                <w:sz w:val="14"/>
                <w:szCs w:val="14"/>
                <w:color w:val="FFFFFF"/>
              </w:rPr>
              <w:t>Recommendation</w:t>
            </w:r>
          </w:p>
        </w:tc>
        <w:tc>
          <w:tcPr>
            <w:tcW w:w="0" w:type="dxa"/>
            <w:vAlign w:val="bottom"/>
          </w:tcPr>
          <w:p>
            <w:pPr>
              <w:spacing w:after="0"/>
              <w:rPr>
                <w:sz w:val="1"/>
                <w:szCs w:val="1"/>
                <w:color w:val="auto"/>
              </w:rPr>
            </w:pPr>
          </w:p>
        </w:tc>
      </w:tr>
      <w:tr>
        <w:trPr>
          <w:trHeight w:val="170"/>
        </w:trPr>
        <w:tc>
          <w:tcPr>
            <w:tcW w:w="160" w:type="dxa"/>
            <w:vAlign w:val="bottom"/>
            <w:shd w:val="clear" w:color="auto" w:fill="0B3C61"/>
          </w:tcPr>
          <w:p>
            <w:pPr>
              <w:spacing w:after="0"/>
              <w:rPr>
                <w:sz w:val="14"/>
                <w:szCs w:val="14"/>
                <w:color w:val="auto"/>
              </w:rPr>
            </w:pPr>
          </w:p>
        </w:tc>
        <w:tc>
          <w:tcPr>
            <w:tcW w:w="4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620" w:type="dxa"/>
            <w:vAlign w:val="bottom"/>
            <w:gridSpan w:val="2"/>
            <w:vMerge w:val="restart"/>
          </w:tcPr>
          <w:p>
            <w:pPr>
              <w:jc w:val="center"/>
              <w:spacing w:after="0"/>
              <w:rPr>
                <w:sz w:val="20"/>
                <w:szCs w:val="20"/>
                <w:color w:val="auto"/>
              </w:rPr>
            </w:pPr>
            <w:r>
              <w:rPr>
                <w:rFonts w:ascii="Arial" w:cs="Arial" w:eastAsia="Arial" w:hAnsi="Arial"/>
                <w:sz w:val="40"/>
                <w:szCs w:val="40"/>
                <w:color w:val="EA1D2D"/>
                <w:w w:val="98"/>
              </w:rPr>
              <w:t>1</w:t>
            </w:r>
          </w:p>
        </w:tc>
        <w:tc>
          <w:tcPr>
            <w:tcW w:w="4080" w:type="dxa"/>
            <w:vAlign w:val="bottom"/>
          </w:tcPr>
          <w:p>
            <w:pPr>
              <w:ind w:left="120"/>
              <w:spacing w:after="0"/>
              <w:rPr>
                <w:sz w:val="20"/>
                <w:szCs w:val="20"/>
                <w:color w:val="auto"/>
              </w:rPr>
            </w:pPr>
            <w:r>
              <w:rPr>
                <w:rFonts w:ascii="Arial" w:cs="Arial" w:eastAsia="Arial" w:hAnsi="Arial"/>
                <w:sz w:val="14"/>
                <w:szCs w:val="14"/>
                <w:color w:val="54565B"/>
              </w:rPr>
              <w:t>Election of 12</w:t>
            </w:r>
          </w:p>
        </w:tc>
        <w:tc>
          <w:tcPr>
            <w:tcW w:w="2300" w:type="dxa"/>
            <w:vAlign w:val="bottom"/>
          </w:tcPr>
          <w:p>
            <w:pPr>
              <w:jc w:val="center"/>
              <w:ind w:left="1001"/>
              <w:spacing w:after="0"/>
              <w:rPr>
                <w:sz w:val="20"/>
                <w:szCs w:val="20"/>
                <w:color w:val="auto"/>
              </w:rPr>
            </w:pPr>
            <w:r>
              <w:rPr>
                <w:rFonts w:ascii="Arial" w:cs="Arial" w:eastAsia="Arial" w:hAnsi="Arial"/>
                <w:sz w:val="25"/>
                <w:szCs w:val="25"/>
                <w:color w:val="0B3C61"/>
                <w:w w:val="98"/>
              </w:rPr>
              <w:t>FOR</w:t>
            </w:r>
          </w:p>
        </w:tc>
        <w:tc>
          <w:tcPr>
            <w:tcW w:w="0" w:type="dxa"/>
            <w:vAlign w:val="bottom"/>
          </w:tcPr>
          <w:p>
            <w:pPr>
              <w:spacing w:after="0"/>
              <w:rPr>
                <w:sz w:val="1"/>
                <w:szCs w:val="1"/>
                <w:color w:val="auto"/>
              </w:rPr>
            </w:pPr>
          </w:p>
        </w:tc>
      </w:tr>
      <w:tr>
        <w:trPr>
          <w:trHeight w:val="263"/>
        </w:trPr>
        <w:tc>
          <w:tcPr>
            <w:tcW w:w="620" w:type="dxa"/>
            <w:vAlign w:val="bottom"/>
            <w:gridSpan w:val="2"/>
            <w:vMerge w:val="continue"/>
          </w:tcPr>
          <w:p>
            <w:pPr>
              <w:spacing w:after="0"/>
              <w:rPr>
                <w:sz w:val="22"/>
                <w:szCs w:val="22"/>
                <w:color w:val="auto"/>
              </w:rPr>
            </w:pPr>
          </w:p>
        </w:tc>
        <w:tc>
          <w:tcPr>
            <w:tcW w:w="4080" w:type="dxa"/>
            <w:vAlign w:val="bottom"/>
          </w:tcPr>
          <w:p>
            <w:pPr>
              <w:ind w:left="120"/>
              <w:spacing w:after="0"/>
              <w:rPr>
                <w:sz w:val="20"/>
                <w:szCs w:val="20"/>
                <w:color w:val="auto"/>
              </w:rPr>
            </w:pPr>
            <w:r>
              <w:rPr>
                <w:rFonts w:ascii="Arial" w:cs="Arial" w:eastAsia="Arial" w:hAnsi="Arial"/>
                <w:sz w:val="14"/>
                <w:szCs w:val="14"/>
                <w:color w:val="54565B"/>
              </w:rPr>
              <w:t>Director Nominees</w:t>
            </w:r>
          </w:p>
        </w:tc>
        <w:tc>
          <w:tcPr>
            <w:tcW w:w="2300" w:type="dxa"/>
            <w:vAlign w:val="bottom"/>
          </w:tcPr>
          <w:p>
            <w:pPr>
              <w:jc w:val="center"/>
              <w:ind w:left="1061"/>
              <w:spacing w:after="0"/>
              <w:rPr>
                <w:sz w:val="20"/>
                <w:szCs w:val="20"/>
                <w:color w:val="auto"/>
              </w:rPr>
            </w:pPr>
            <w:r>
              <w:rPr>
                <w:rFonts w:ascii="Arial" w:cs="Arial" w:eastAsia="Arial" w:hAnsi="Arial"/>
                <w:sz w:val="14"/>
                <w:szCs w:val="14"/>
                <w:color w:val="54565B"/>
              </w:rPr>
              <w:t>each nominee</w:t>
            </w:r>
          </w:p>
        </w:tc>
        <w:tc>
          <w:tcPr>
            <w:tcW w:w="0" w:type="dxa"/>
            <w:vAlign w:val="bottom"/>
          </w:tcPr>
          <w:p>
            <w:pPr>
              <w:spacing w:after="0"/>
              <w:rPr>
                <w:sz w:val="1"/>
                <w:szCs w:val="1"/>
                <w:color w:val="auto"/>
              </w:rPr>
            </w:pPr>
          </w:p>
        </w:tc>
      </w:tr>
      <w:tr>
        <w:trPr>
          <w:trHeight w:val="551"/>
        </w:trPr>
        <w:tc>
          <w:tcPr>
            <w:tcW w:w="620" w:type="dxa"/>
            <w:vAlign w:val="bottom"/>
            <w:gridSpan w:val="2"/>
            <w:vMerge w:val="restart"/>
          </w:tcPr>
          <w:p>
            <w:pPr>
              <w:jc w:val="center"/>
              <w:spacing w:after="0"/>
              <w:rPr>
                <w:sz w:val="20"/>
                <w:szCs w:val="20"/>
                <w:color w:val="auto"/>
              </w:rPr>
            </w:pPr>
            <w:r>
              <w:rPr>
                <w:rFonts w:ascii="Arial" w:cs="Arial" w:eastAsia="Arial" w:hAnsi="Arial"/>
                <w:sz w:val="40"/>
                <w:szCs w:val="40"/>
                <w:color w:val="EA1D2D"/>
                <w:w w:val="98"/>
              </w:rPr>
              <w:t>2</w:t>
            </w:r>
          </w:p>
        </w:tc>
        <w:tc>
          <w:tcPr>
            <w:tcW w:w="4080" w:type="dxa"/>
            <w:vAlign w:val="bottom"/>
          </w:tcPr>
          <w:p>
            <w:pPr>
              <w:ind w:left="120"/>
              <w:spacing w:after="0"/>
              <w:rPr>
                <w:sz w:val="20"/>
                <w:szCs w:val="20"/>
                <w:color w:val="auto"/>
              </w:rPr>
            </w:pPr>
            <w:r>
              <w:rPr>
                <w:rFonts w:ascii="Arial" w:cs="Arial" w:eastAsia="Arial" w:hAnsi="Arial"/>
                <w:sz w:val="14"/>
                <w:szCs w:val="14"/>
                <w:color w:val="54565B"/>
              </w:rPr>
              <w:t>Ratification of Appointment of Independent</w:t>
            </w:r>
          </w:p>
        </w:tc>
        <w:tc>
          <w:tcPr>
            <w:tcW w:w="2300" w:type="dxa"/>
            <w:vAlign w:val="bottom"/>
            <w:vMerge w:val="restart"/>
          </w:tcPr>
          <w:p>
            <w:pPr>
              <w:jc w:val="center"/>
              <w:ind w:left="1061"/>
              <w:spacing w:after="0"/>
              <w:rPr>
                <w:sz w:val="20"/>
                <w:szCs w:val="20"/>
                <w:color w:val="auto"/>
              </w:rPr>
            </w:pPr>
            <w:r>
              <w:rPr>
                <w:rFonts w:ascii="Arial" w:cs="Arial" w:eastAsia="Arial" w:hAnsi="Arial"/>
                <w:sz w:val="25"/>
                <w:szCs w:val="25"/>
                <w:color w:val="0B3C61"/>
              </w:rPr>
              <w:t>FOR</w:t>
            </w:r>
          </w:p>
        </w:tc>
        <w:tc>
          <w:tcPr>
            <w:tcW w:w="0" w:type="dxa"/>
            <w:vAlign w:val="bottom"/>
          </w:tcPr>
          <w:p>
            <w:pPr>
              <w:spacing w:after="0"/>
              <w:rPr>
                <w:sz w:val="1"/>
                <w:szCs w:val="1"/>
                <w:color w:val="auto"/>
              </w:rPr>
            </w:pPr>
          </w:p>
        </w:tc>
      </w:tr>
      <w:tr>
        <w:trPr>
          <w:trHeight w:val="272"/>
        </w:trPr>
        <w:tc>
          <w:tcPr>
            <w:tcW w:w="620" w:type="dxa"/>
            <w:vAlign w:val="bottom"/>
            <w:gridSpan w:val="2"/>
            <w:vMerge w:val="continue"/>
          </w:tcPr>
          <w:p>
            <w:pPr>
              <w:spacing w:after="0"/>
              <w:rPr>
                <w:sz w:val="23"/>
                <w:szCs w:val="23"/>
                <w:color w:val="auto"/>
              </w:rPr>
            </w:pPr>
          </w:p>
        </w:tc>
        <w:tc>
          <w:tcPr>
            <w:tcW w:w="4080" w:type="dxa"/>
            <w:vAlign w:val="bottom"/>
          </w:tcPr>
          <w:p>
            <w:pPr>
              <w:ind w:left="120"/>
              <w:spacing w:after="0"/>
              <w:rPr>
                <w:sz w:val="20"/>
                <w:szCs w:val="20"/>
                <w:color w:val="auto"/>
              </w:rPr>
            </w:pPr>
            <w:r>
              <w:rPr>
                <w:rFonts w:ascii="Arial" w:cs="Arial" w:eastAsia="Arial" w:hAnsi="Arial"/>
                <w:sz w:val="14"/>
                <w:szCs w:val="14"/>
                <w:color w:val="54565B"/>
              </w:rPr>
              <w:t>Registered Public Accounting Firm</w:t>
            </w:r>
          </w:p>
        </w:tc>
        <w:tc>
          <w:tcPr>
            <w:tcW w:w="23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51"/>
        </w:trPr>
        <w:tc>
          <w:tcPr>
            <w:tcW w:w="620" w:type="dxa"/>
            <w:vAlign w:val="bottom"/>
            <w:gridSpan w:val="2"/>
            <w:vMerge w:val="restart"/>
          </w:tcPr>
          <w:p>
            <w:pPr>
              <w:jc w:val="center"/>
              <w:spacing w:after="0"/>
              <w:rPr>
                <w:sz w:val="20"/>
                <w:szCs w:val="20"/>
                <w:color w:val="auto"/>
              </w:rPr>
            </w:pPr>
            <w:r>
              <w:rPr>
                <w:rFonts w:ascii="Arial" w:cs="Arial" w:eastAsia="Arial" w:hAnsi="Arial"/>
                <w:sz w:val="40"/>
                <w:szCs w:val="40"/>
                <w:color w:val="EA1D2D"/>
                <w:w w:val="98"/>
              </w:rPr>
              <w:t>3</w:t>
            </w:r>
          </w:p>
        </w:tc>
        <w:tc>
          <w:tcPr>
            <w:tcW w:w="4080" w:type="dxa"/>
            <w:vAlign w:val="bottom"/>
          </w:tcPr>
          <w:p>
            <w:pPr>
              <w:ind w:left="120"/>
              <w:spacing w:after="0"/>
              <w:rPr>
                <w:sz w:val="20"/>
                <w:szCs w:val="20"/>
                <w:color w:val="auto"/>
              </w:rPr>
            </w:pPr>
            <w:r>
              <w:rPr>
                <w:rFonts w:ascii="Arial" w:cs="Arial" w:eastAsia="Arial" w:hAnsi="Arial"/>
                <w:sz w:val="14"/>
                <w:szCs w:val="14"/>
                <w:color w:val="54565B"/>
              </w:rPr>
              <w:t>Advisory Vote to Approve Compensation</w:t>
            </w:r>
          </w:p>
        </w:tc>
        <w:tc>
          <w:tcPr>
            <w:tcW w:w="2300" w:type="dxa"/>
            <w:vAlign w:val="bottom"/>
            <w:vMerge w:val="restart"/>
          </w:tcPr>
          <w:p>
            <w:pPr>
              <w:jc w:val="center"/>
              <w:ind w:left="1061"/>
              <w:spacing w:after="0"/>
              <w:rPr>
                <w:sz w:val="20"/>
                <w:szCs w:val="20"/>
                <w:color w:val="auto"/>
              </w:rPr>
            </w:pPr>
            <w:r>
              <w:rPr>
                <w:rFonts w:ascii="Arial" w:cs="Arial" w:eastAsia="Arial" w:hAnsi="Arial"/>
                <w:sz w:val="25"/>
                <w:szCs w:val="25"/>
                <w:color w:val="0B3C61"/>
              </w:rPr>
              <w:t>FOR</w:t>
            </w:r>
          </w:p>
        </w:tc>
        <w:tc>
          <w:tcPr>
            <w:tcW w:w="0" w:type="dxa"/>
            <w:vAlign w:val="bottom"/>
          </w:tcPr>
          <w:p>
            <w:pPr>
              <w:spacing w:after="0"/>
              <w:rPr>
                <w:sz w:val="1"/>
                <w:szCs w:val="1"/>
                <w:color w:val="auto"/>
              </w:rPr>
            </w:pPr>
          </w:p>
        </w:tc>
      </w:tr>
      <w:tr>
        <w:trPr>
          <w:trHeight w:val="272"/>
        </w:trPr>
        <w:tc>
          <w:tcPr>
            <w:tcW w:w="620" w:type="dxa"/>
            <w:vAlign w:val="bottom"/>
            <w:gridSpan w:val="2"/>
            <w:vMerge w:val="continue"/>
          </w:tcPr>
          <w:p>
            <w:pPr>
              <w:spacing w:after="0"/>
              <w:rPr>
                <w:sz w:val="23"/>
                <w:szCs w:val="23"/>
                <w:color w:val="auto"/>
              </w:rPr>
            </w:pPr>
          </w:p>
        </w:tc>
        <w:tc>
          <w:tcPr>
            <w:tcW w:w="4080" w:type="dxa"/>
            <w:vAlign w:val="bottom"/>
          </w:tcPr>
          <w:p>
            <w:pPr>
              <w:ind w:left="120"/>
              <w:spacing w:after="0"/>
              <w:rPr>
                <w:sz w:val="20"/>
                <w:szCs w:val="20"/>
                <w:color w:val="auto"/>
              </w:rPr>
            </w:pPr>
            <w:r>
              <w:rPr>
                <w:rFonts w:ascii="Arial" w:cs="Arial" w:eastAsia="Arial" w:hAnsi="Arial"/>
                <w:sz w:val="14"/>
                <w:szCs w:val="14"/>
                <w:color w:val="54565B"/>
              </w:rPr>
              <w:t>of Named Executive Officers (“Say-on-Pay”)</w:t>
            </w:r>
          </w:p>
        </w:tc>
        <w:tc>
          <w:tcPr>
            <w:tcW w:w="23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59664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-1795145</wp:posOffset>
            </wp:positionV>
            <wp:extent cx="5871845" cy="325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71845" cy="3257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-946785</wp:posOffset>
            </wp:positionV>
            <wp:extent cx="5966460" cy="523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6460" cy="523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0"/>
        <w:spacing w:after="0"/>
        <w:rPr>
          <w:sz w:val="20"/>
          <w:szCs w:val="20"/>
          <w:color w:val="auto"/>
        </w:rPr>
      </w:pPr>
      <w:r>
        <w:rPr>
          <w:rFonts w:ascii="Arial" w:cs="Arial" w:eastAsia="Arial" w:hAnsi="Arial"/>
          <w:sz w:val="14"/>
          <w:szCs w:val="14"/>
          <w:color w:val="FFFFFF"/>
        </w:rPr>
        <w:t>Page</w:t>
      </w: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4"/>
          <w:szCs w:val="14"/>
          <w:color w:val="54565B"/>
        </w:rPr>
        <w:t xml:space="preserve">Page </w:t>
      </w:r>
      <w:r>
        <w:rPr>
          <w:rFonts w:ascii="Arial" w:cs="Arial" w:eastAsia="Arial" w:hAnsi="Arial"/>
          <w:sz w:val="14"/>
          <w:szCs w:val="14"/>
          <w:u w:val="single" w:color="auto"/>
          <w:color w:val="0000EE"/>
        </w:rPr>
        <w:t>9</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54565B"/>
        </w:rPr>
        <w:t xml:space="preserve">Page </w:t>
      </w:r>
      <w:r>
        <w:rPr>
          <w:rFonts w:ascii="Arial" w:cs="Arial" w:eastAsia="Arial" w:hAnsi="Arial"/>
          <w:sz w:val="14"/>
          <w:szCs w:val="14"/>
          <w:u w:val="single" w:color="auto"/>
          <w:color w:val="0000EE"/>
        </w:rPr>
        <w:t>18</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54565B"/>
        </w:rPr>
        <w:t xml:space="preserve">Page </w:t>
      </w:r>
      <w:r>
        <w:rPr>
          <w:rFonts w:ascii="Arial" w:cs="Arial" w:eastAsia="Arial" w:hAnsi="Arial"/>
          <w:sz w:val="14"/>
          <w:szCs w:val="14"/>
          <w:u w:val="single" w:color="auto"/>
          <w:color w:val="0000EE"/>
        </w:rPr>
        <w:t>20</w:t>
      </w:r>
    </w:p>
    <w:p>
      <w:pPr>
        <w:spacing w:after="0" w:line="392" w:lineRule="exact"/>
        <w:rPr>
          <w:sz w:val="20"/>
          <w:szCs w:val="20"/>
          <w:color w:val="auto"/>
        </w:rPr>
      </w:pPr>
    </w:p>
    <w:p>
      <w:pPr>
        <w:sectPr>
          <w:pgSz w:w="11900" w:h="16838" w:orient="portrait"/>
          <w:cols w:equalWidth="0" w:num="2">
            <w:col w:w="7380" w:space="720"/>
            <w:col w:w="1300"/>
          </w:cols>
          <w:pgMar w:left="1240" w:top="114" w:right="1259" w:bottom="1440" w:gutter="0" w:footer="0" w:header="0"/>
          <w:type w:val="continuous"/>
        </w:sectPr>
      </w:pPr>
    </w:p>
    <w:p>
      <w:pPr>
        <w:spacing w:after="0" w:line="113" w:lineRule="exact"/>
        <w:rPr>
          <w:sz w:val="20"/>
          <w:szCs w:val="20"/>
          <w:color w:val="auto"/>
        </w:rPr>
      </w:pPr>
    </w:p>
    <w:p>
      <w:pPr>
        <w:ind w:left="6440"/>
        <w:spacing w:after="0"/>
        <w:rPr>
          <w:sz w:val="20"/>
          <w:szCs w:val="20"/>
          <w:color w:val="auto"/>
        </w:rPr>
      </w:pPr>
      <w:r>
        <w:rPr>
          <w:rFonts w:ascii="Arial" w:cs="Arial" w:eastAsia="Arial" w:hAnsi="Arial"/>
          <w:sz w:val="12"/>
          <w:szCs w:val="12"/>
          <w:color w:val="0B3C61"/>
        </w:rPr>
        <w:t xml:space="preserve">2026 Proxy Statement | American Financial Group   </w:t>
      </w:r>
      <w:r>
        <w:rPr>
          <w:rFonts w:ascii="Arial" w:cs="Arial" w:eastAsia="Arial" w:hAnsi="Arial"/>
          <w:sz w:val="12"/>
          <w:szCs w:val="12"/>
          <w:b w:val="1"/>
          <w:bCs w:val="1"/>
          <w:color w:val="EA1D2D"/>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154940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0B3C61"/>
        </w:rPr>
        <w:t>BOARD COMMUNICATIONS:</w:t>
      </w:r>
    </w:p>
    <w:p>
      <w:pPr>
        <w:spacing w:after="0" w:line="250" w:lineRule="exact"/>
        <w:rPr>
          <w:sz w:val="20"/>
          <w:szCs w:val="20"/>
          <w:color w:val="auto"/>
        </w:rPr>
      </w:pPr>
    </w:p>
    <w:tbl>
      <w:tblPr>
        <w:tblLayout w:type="fixed"/>
        <w:tblInd w:w="1100" w:type="dxa"/>
        <w:tblCellMar>
          <w:top w:w="0" w:type="dxa"/>
          <w:left w:w="0" w:type="dxa"/>
          <w:bottom w:w="0" w:type="dxa"/>
          <w:right w:w="0" w:type="dxa"/>
        </w:tblCellMar>
      </w:tblPr>
      <w:tr>
        <w:trPr>
          <w:trHeight w:val="162"/>
        </w:trPr>
        <w:tc>
          <w:tcPr>
            <w:tcW w:w="3580" w:type="dxa"/>
            <w:vAlign w:val="bottom"/>
          </w:tcPr>
          <w:p>
            <w:pPr>
              <w:jc w:val="center"/>
              <w:ind w:right="968"/>
              <w:spacing w:after="0"/>
              <w:rPr>
                <w:sz w:val="20"/>
                <w:szCs w:val="20"/>
                <w:color w:val="auto"/>
              </w:rPr>
            </w:pPr>
            <w:r>
              <w:rPr>
                <w:rFonts w:ascii="Arial" w:cs="Arial" w:eastAsia="Arial" w:hAnsi="Arial"/>
                <w:sz w:val="14"/>
                <w:szCs w:val="14"/>
                <w:color w:val="54565B"/>
              </w:rPr>
              <w:t>Joseph C. Alter</w:t>
            </w:r>
          </w:p>
        </w:tc>
        <w:tc>
          <w:tcPr>
            <w:tcW w:w="3600" w:type="dxa"/>
            <w:vAlign w:val="bottom"/>
          </w:tcPr>
          <w:p>
            <w:pPr>
              <w:jc w:val="center"/>
              <w:ind w:left="988"/>
              <w:spacing w:after="0"/>
              <w:rPr>
                <w:sz w:val="20"/>
                <w:szCs w:val="20"/>
                <w:color w:val="auto"/>
              </w:rPr>
            </w:pPr>
            <w:r>
              <w:rPr>
                <w:rFonts w:ascii="Arial" w:cs="Arial" w:eastAsia="Arial" w:hAnsi="Arial"/>
                <w:sz w:val="14"/>
                <w:szCs w:val="14"/>
                <w:color w:val="54565B"/>
              </w:rPr>
              <w:t>Gregory G. Joseph</w:t>
            </w:r>
          </w:p>
        </w:tc>
      </w:tr>
      <w:tr>
        <w:trPr>
          <w:trHeight w:val="162"/>
        </w:trPr>
        <w:tc>
          <w:tcPr>
            <w:tcW w:w="3580" w:type="dxa"/>
            <w:vAlign w:val="bottom"/>
          </w:tcPr>
          <w:p>
            <w:pPr>
              <w:jc w:val="center"/>
              <w:ind w:right="988"/>
              <w:spacing w:after="0"/>
              <w:rPr>
                <w:sz w:val="20"/>
                <w:szCs w:val="20"/>
                <w:color w:val="auto"/>
              </w:rPr>
            </w:pPr>
            <w:r>
              <w:rPr>
                <w:rFonts w:ascii="Arial" w:cs="Arial" w:eastAsia="Arial" w:hAnsi="Arial"/>
                <w:sz w:val="14"/>
                <w:szCs w:val="14"/>
                <w:color w:val="54565B"/>
              </w:rPr>
              <w:t>Vice President, Deputy General</w:t>
            </w:r>
          </w:p>
        </w:tc>
        <w:tc>
          <w:tcPr>
            <w:tcW w:w="3600" w:type="dxa"/>
            <w:vAlign w:val="bottom"/>
          </w:tcPr>
          <w:p>
            <w:pPr>
              <w:jc w:val="center"/>
              <w:ind w:left="988"/>
              <w:spacing w:after="0"/>
              <w:rPr>
                <w:sz w:val="20"/>
                <w:szCs w:val="20"/>
                <w:color w:val="auto"/>
              </w:rPr>
            </w:pPr>
            <w:r>
              <w:rPr>
                <w:rFonts w:ascii="Arial" w:cs="Arial" w:eastAsia="Arial" w:hAnsi="Arial"/>
                <w:sz w:val="14"/>
                <w:szCs w:val="14"/>
                <w:color w:val="54565B"/>
              </w:rPr>
              <w:t>Lead Independent Director</w:t>
            </w:r>
          </w:p>
        </w:tc>
      </w:tr>
      <w:tr>
        <w:trPr>
          <w:trHeight w:val="162"/>
        </w:trPr>
        <w:tc>
          <w:tcPr>
            <w:tcW w:w="3580" w:type="dxa"/>
            <w:vAlign w:val="bottom"/>
          </w:tcPr>
          <w:p>
            <w:pPr>
              <w:jc w:val="center"/>
              <w:ind w:right="988"/>
              <w:spacing w:after="0"/>
              <w:rPr>
                <w:sz w:val="20"/>
                <w:szCs w:val="20"/>
                <w:color w:val="auto"/>
              </w:rPr>
            </w:pPr>
            <w:r>
              <w:rPr>
                <w:rFonts w:ascii="Arial" w:cs="Arial" w:eastAsia="Arial" w:hAnsi="Arial"/>
                <w:sz w:val="14"/>
                <w:szCs w:val="14"/>
                <w:color w:val="54565B"/>
              </w:rPr>
              <w:t>Counsel &amp; Secretary</w:t>
            </w:r>
          </w:p>
        </w:tc>
        <w:tc>
          <w:tcPr>
            <w:tcW w:w="3600" w:type="dxa"/>
            <w:vAlign w:val="bottom"/>
          </w:tcPr>
          <w:p>
            <w:pPr>
              <w:jc w:val="center"/>
              <w:ind w:left="988"/>
              <w:spacing w:after="0"/>
              <w:rPr>
                <w:sz w:val="20"/>
                <w:szCs w:val="20"/>
                <w:color w:val="auto"/>
              </w:rPr>
            </w:pPr>
            <w:r>
              <w:rPr>
                <w:rFonts w:ascii="Arial" w:cs="Arial" w:eastAsia="Arial" w:hAnsi="Arial"/>
                <w:sz w:val="14"/>
                <w:szCs w:val="14"/>
                <w:color w:val="54565B"/>
              </w:rPr>
              <w:t>American Financial Group, Inc.</w:t>
            </w:r>
          </w:p>
        </w:tc>
      </w:tr>
      <w:tr>
        <w:trPr>
          <w:trHeight w:val="162"/>
        </w:trPr>
        <w:tc>
          <w:tcPr>
            <w:tcW w:w="3580" w:type="dxa"/>
            <w:vAlign w:val="bottom"/>
          </w:tcPr>
          <w:p>
            <w:pPr>
              <w:jc w:val="center"/>
              <w:ind w:right="988"/>
              <w:spacing w:after="0"/>
              <w:rPr>
                <w:sz w:val="20"/>
                <w:szCs w:val="20"/>
                <w:color w:val="auto"/>
              </w:rPr>
            </w:pPr>
            <w:r>
              <w:rPr>
                <w:rFonts w:ascii="Arial" w:cs="Arial" w:eastAsia="Arial" w:hAnsi="Arial"/>
                <w:sz w:val="14"/>
                <w:szCs w:val="14"/>
                <w:color w:val="54565B"/>
              </w:rPr>
              <w:t>American Financial Group, Inc.</w:t>
            </w:r>
          </w:p>
        </w:tc>
        <w:tc>
          <w:tcPr>
            <w:tcW w:w="3600" w:type="dxa"/>
            <w:vAlign w:val="bottom"/>
          </w:tcPr>
          <w:p>
            <w:pPr>
              <w:jc w:val="center"/>
              <w:ind w:left="988"/>
              <w:spacing w:after="0"/>
              <w:rPr>
                <w:sz w:val="20"/>
                <w:szCs w:val="20"/>
                <w:color w:val="auto"/>
              </w:rPr>
            </w:pPr>
            <w:r>
              <w:rPr>
                <w:rFonts w:ascii="Arial" w:cs="Arial" w:eastAsia="Arial" w:hAnsi="Arial"/>
                <w:sz w:val="14"/>
                <w:szCs w:val="14"/>
                <w:color w:val="54565B"/>
              </w:rPr>
              <w:t>Great American Insurance Group Tower</w:t>
            </w:r>
          </w:p>
        </w:tc>
      </w:tr>
      <w:tr>
        <w:trPr>
          <w:trHeight w:val="162"/>
        </w:trPr>
        <w:tc>
          <w:tcPr>
            <w:tcW w:w="3580" w:type="dxa"/>
            <w:vAlign w:val="bottom"/>
          </w:tcPr>
          <w:p>
            <w:pPr>
              <w:jc w:val="center"/>
              <w:ind w:right="968"/>
              <w:spacing w:after="0"/>
              <w:rPr>
                <w:sz w:val="20"/>
                <w:szCs w:val="20"/>
                <w:color w:val="auto"/>
              </w:rPr>
            </w:pPr>
            <w:r>
              <w:rPr>
                <w:rFonts w:ascii="Arial" w:cs="Arial" w:eastAsia="Arial" w:hAnsi="Arial"/>
                <w:sz w:val="14"/>
                <w:szCs w:val="14"/>
                <w:color w:val="54565B"/>
              </w:rPr>
              <w:t>Great American Insurance Group Tower</w:t>
            </w:r>
          </w:p>
        </w:tc>
        <w:tc>
          <w:tcPr>
            <w:tcW w:w="3600" w:type="dxa"/>
            <w:vAlign w:val="bottom"/>
          </w:tcPr>
          <w:p>
            <w:pPr>
              <w:jc w:val="center"/>
              <w:ind w:left="968"/>
              <w:spacing w:after="0"/>
              <w:rPr>
                <w:sz w:val="20"/>
                <w:szCs w:val="20"/>
                <w:color w:val="auto"/>
              </w:rPr>
            </w:pPr>
            <w:r>
              <w:rPr>
                <w:rFonts w:ascii="Arial" w:cs="Arial" w:eastAsia="Arial" w:hAnsi="Arial"/>
                <w:sz w:val="14"/>
                <w:szCs w:val="14"/>
                <w:color w:val="54565B"/>
              </w:rPr>
              <w:t>301 East Fourth Street</w:t>
            </w:r>
          </w:p>
        </w:tc>
      </w:tr>
      <w:tr>
        <w:trPr>
          <w:trHeight w:val="162"/>
        </w:trPr>
        <w:tc>
          <w:tcPr>
            <w:tcW w:w="3580" w:type="dxa"/>
            <w:vAlign w:val="bottom"/>
          </w:tcPr>
          <w:p>
            <w:pPr>
              <w:jc w:val="center"/>
              <w:ind w:right="988"/>
              <w:spacing w:after="0"/>
              <w:rPr>
                <w:sz w:val="20"/>
                <w:szCs w:val="20"/>
                <w:color w:val="auto"/>
              </w:rPr>
            </w:pPr>
            <w:r>
              <w:rPr>
                <w:rFonts w:ascii="Arial" w:cs="Arial" w:eastAsia="Arial" w:hAnsi="Arial"/>
                <w:sz w:val="14"/>
                <w:szCs w:val="14"/>
                <w:color w:val="54565B"/>
              </w:rPr>
              <w:t>301 East Fourth Street</w:t>
            </w:r>
          </w:p>
        </w:tc>
        <w:tc>
          <w:tcPr>
            <w:tcW w:w="3600" w:type="dxa"/>
            <w:vAlign w:val="bottom"/>
          </w:tcPr>
          <w:p>
            <w:pPr>
              <w:ind w:left="1620"/>
              <w:spacing w:after="0"/>
              <w:rPr>
                <w:sz w:val="20"/>
                <w:szCs w:val="20"/>
                <w:color w:val="auto"/>
              </w:rPr>
            </w:pPr>
            <w:r>
              <w:rPr>
                <w:rFonts w:ascii="Arial" w:cs="Arial" w:eastAsia="Arial" w:hAnsi="Arial"/>
                <w:sz w:val="14"/>
                <w:szCs w:val="14"/>
                <w:color w:val="54565B"/>
              </w:rPr>
              <w:t>Cincinnati, Ohio 45202</w:t>
            </w:r>
          </w:p>
        </w:tc>
      </w:tr>
      <w:tr>
        <w:trPr>
          <w:trHeight w:val="190"/>
        </w:trPr>
        <w:tc>
          <w:tcPr>
            <w:tcW w:w="3580" w:type="dxa"/>
            <w:vAlign w:val="bottom"/>
          </w:tcPr>
          <w:p>
            <w:pPr>
              <w:ind w:left="560"/>
              <w:spacing w:after="0"/>
              <w:rPr>
                <w:sz w:val="20"/>
                <w:szCs w:val="20"/>
                <w:color w:val="auto"/>
              </w:rPr>
            </w:pPr>
            <w:r>
              <w:rPr>
                <w:rFonts w:ascii="Arial" w:cs="Arial" w:eastAsia="Arial" w:hAnsi="Arial"/>
                <w:sz w:val="14"/>
                <w:szCs w:val="14"/>
                <w:color w:val="54565B"/>
              </w:rPr>
              <w:t>Cincinnati, Ohio 45202</w:t>
            </w:r>
          </w:p>
        </w:tc>
        <w:tc>
          <w:tcPr>
            <w:tcW w:w="3600" w:type="dxa"/>
            <w:vAlign w:val="bottom"/>
          </w:tcPr>
          <w:p>
            <w:pPr>
              <w:spacing w:after="0"/>
              <w:rPr>
                <w:sz w:val="16"/>
                <w:szCs w:val="16"/>
                <w:color w:val="auto"/>
              </w:rPr>
            </w:pPr>
          </w:p>
        </w:tc>
      </w:tr>
    </w:tbl>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54565B"/>
        </w:rPr>
        <w:t>Throughout this proxy statement, we refer to information and documents that are available on our website. The content posted on, or accessible through, our website is not incorporated by reference into this proxy statement or any of our filings with the SEC and may be revised by us (in whole or in part) at any time and from time to time.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0B3C61"/>
        </w:rPr>
        <w:t>OUR VALUES</w:t>
      </w:r>
    </w:p>
    <w:p>
      <w:pPr>
        <w:spacing w:after="0" w:line="9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54565B"/>
        </w:rPr>
        <w:t>Our values form the foundation of our business, shape our priorities, and set our expectations for how we conduct our business, service our customers and interact with each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612140</wp:posOffset>
            </wp:positionH>
            <wp:positionV relativeFrom="paragraph">
              <wp:posOffset>150495</wp:posOffset>
            </wp:positionV>
            <wp:extent cx="4749165" cy="47491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49165" cy="474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54565B"/>
        </w:rPr>
        <w:t xml:space="preserve">  </w:t>
      </w: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2 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40" w:top="114" w:right="1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0B3C61"/>
        </w:rPr>
        <w:t>OUR PURPOSE</w:t>
      </w:r>
    </w:p>
    <w:p>
      <w:pPr>
        <w:spacing w:after="0" w:line="8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54565B"/>
        </w:rPr>
        <w:t>We enable individuals and businesses to manage financial risk by providing insurance products and services tailored to meet their specific and ever-changing financial risk exposures. We build value for our investors through the strength of our customers’ satisfaction and by consistently producing superior operating results.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0B3C61"/>
        </w:rPr>
        <w:t>A HISTORY DATING BACK MORE THAN 150 YEARS</w:t>
      </w:r>
    </w:p>
    <w:p>
      <w:pPr>
        <w:spacing w:after="0" w:line="9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54565B"/>
        </w:rPr>
        <w:t>Our business operates under the Great American Insurance Group, whose history dates back to 1872, with the founding of Great American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142240</wp:posOffset>
            </wp:positionV>
            <wp:extent cx="5906135" cy="3086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06135"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54565B"/>
        </w:rPr>
        <w:t xml:space="preserve">  </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54565B"/>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55245</wp:posOffset>
            </wp:positionV>
            <wp:extent cx="8890" cy="16459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line="67" w:lineRule="exact"/>
        <w:rPr>
          <w:sz w:val="20"/>
          <w:szCs w:val="20"/>
          <w:color w:val="auto"/>
        </w:rPr>
      </w:pPr>
    </w:p>
    <w:tbl>
      <w:tblPr>
        <w:tblLayout w:type="fixed"/>
        <w:tblInd w:w="280" w:type="dxa"/>
        <w:tblCellMar>
          <w:top w:w="0" w:type="dxa"/>
          <w:left w:w="0" w:type="dxa"/>
          <w:bottom w:w="0" w:type="dxa"/>
          <w:right w:w="0" w:type="dxa"/>
        </w:tblCellMar>
      </w:tblPr>
      <w:tr>
        <w:trPr>
          <w:trHeight w:val="41"/>
        </w:trPr>
        <w:tc>
          <w:tcPr>
            <w:tcW w:w="2940" w:type="dxa"/>
            <w:vAlign w:val="bottom"/>
            <w:tcBorders>
              <w:right w:val="single" w:sz="8" w:color="0B3C61"/>
            </w:tcBorders>
            <w:vMerge w:val="restart"/>
          </w:tcPr>
          <w:p>
            <w:pPr>
              <w:spacing w:after="0"/>
              <w:rPr>
                <w:sz w:val="20"/>
                <w:szCs w:val="20"/>
                <w:color w:val="auto"/>
              </w:rPr>
            </w:pPr>
            <w:r>
              <w:rPr>
                <w:rFonts w:ascii="Arial" w:cs="Arial" w:eastAsia="Arial" w:hAnsi="Arial"/>
                <w:sz w:val="50"/>
                <w:szCs w:val="50"/>
                <w:color w:val="EA1D2D"/>
              </w:rPr>
              <w:t>7.6%</w:t>
            </w:r>
          </w:p>
        </w:tc>
        <w:tc>
          <w:tcPr>
            <w:tcW w:w="3200" w:type="dxa"/>
            <w:vAlign w:val="bottom"/>
            <w:vMerge w:val="restart"/>
          </w:tcPr>
          <w:p>
            <w:pPr>
              <w:ind w:left="280"/>
              <w:spacing w:after="0"/>
              <w:rPr>
                <w:sz w:val="20"/>
                <w:szCs w:val="20"/>
                <w:color w:val="auto"/>
              </w:rPr>
            </w:pPr>
            <w:r>
              <w:rPr>
                <w:rFonts w:ascii="Arial" w:cs="Arial" w:eastAsia="Arial" w:hAnsi="Arial"/>
                <w:sz w:val="50"/>
                <w:szCs w:val="50"/>
                <w:color w:val="EA1D2D"/>
              </w:rPr>
              <w:t>&gt;55%</w:t>
            </w:r>
          </w:p>
        </w:tc>
        <w:tc>
          <w:tcPr>
            <w:tcW w:w="20" w:type="dxa"/>
            <w:vAlign w:val="bottom"/>
          </w:tcPr>
          <w:p>
            <w:pPr>
              <w:spacing w:after="0"/>
              <w:rPr>
                <w:sz w:val="3"/>
                <w:szCs w:val="3"/>
                <w:color w:val="auto"/>
              </w:rPr>
            </w:pPr>
          </w:p>
        </w:tc>
        <w:tc>
          <w:tcPr>
            <w:tcW w:w="2640" w:type="dxa"/>
            <w:vAlign w:val="bottom"/>
            <w:vMerge w:val="restart"/>
          </w:tcPr>
          <w:p>
            <w:pPr>
              <w:ind w:left="260"/>
              <w:spacing w:after="0"/>
              <w:rPr>
                <w:sz w:val="20"/>
                <w:szCs w:val="20"/>
                <w:color w:val="auto"/>
              </w:rPr>
            </w:pPr>
            <w:r>
              <w:rPr>
                <w:rFonts w:ascii="Arial" w:cs="Arial" w:eastAsia="Arial" w:hAnsi="Arial"/>
                <w:sz w:val="50"/>
                <w:szCs w:val="50"/>
                <w:color w:val="EA1D2D"/>
              </w:rPr>
              <w:t>13 years</w:t>
            </w:r>
          </w:p>
        </w:tc>
        <w:tc>
          <w:tcPr>
            <w:tcW w:w="0" w:type="dxa"/>
            <w:vAlign w:val="bottom"/>
          </w:tcPr>
          <w:p>
            <w:pPr>
              <w:spacing w:after="0"/>
              <w:rPr>
                <w:sz w:val="1"/>
                <w:szCs w:val="1"/>
                <w:color w:val="auto"/>
              </w:rPr>
            </w:pPr>
          </w:p>
        </w:tc>
      </w:tr>
      <w:tr>
        <w:trPr>
          <w:trHeight w:val="666"/>
        </w:trPr>
        <w:tc>
          <w:tcPr>
            <w:tcW w:w="2940" w:type="dxa"/>
            <w:vAlign w:val="bottom"/>
            <w:tcBorders>
              <w:right w:val="single" w:sz="8" w:color="0B3C61"/>
            </w:tcBorders>
            <w:vMerge w:val="continue"/>
          </w:tcPr>
          <w:p>
            <w:pPr>
              <w:spacing w:after="0"/>
              <w:rPr>
                <w:sz w:val="24"/>
                <w:szCs w:val="24"/>
                <w:color w:val="auto"/>
              </w:rPr>
            </w:pPr>
          </w:p>
        </w:tc>
        <w:tc>
          <w:tcPr>
            <w:tcW w:w="3200" w:type="dxa"/>
            <w:vAlign w:val="bottom"/>
            <w:vMerge w:val="continue"/>
          </w:tcPr>
          <w:p>
            <w:pPr>
              <w:spacing w:after="0"/>
              <w:rPr>
                <w:sz w:val="24"/>
                <w:szCs w:val="24"/>
                <w:color w:val="auto"/>
              </w:rPr>
            </w:pPr>
          </w:p>
        </w:tc>
        <w:tc>
          <w:tcPr>
            <w:tcW w:w="20" w:type="dxa"/>
            <w:vAlign w:val="bottom"/>
            <w:shd w:val="clear" w:color="auto" w:fill="0B3C61"/>
          </w:tcPr>
          <w:p>
            <w:pPr>
              <w:spacing w:after="0"/>
              <w:rPr>
                <w:sz w:val="24"/>
                <w:szCs w:val="24"/>
                <w:color w:val="auto"/>
              </w:rPr>
            </w:pPr>
          </w:p>
        </w:tc>
        <w:tc>
          <w:tcPr>
            <w:tcW w:w="2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40" w:type="dxa"/>
            <w:vAlign w:val="bottom"/>
            <w:tcBorders>
              <w:right w:val="single" w:sz="8" w:color="0B3C61"/>
            </w:tcBorders>
          </w:tcPr>
          <w:p>
            <w:pPr>
              <w:spacing w:after="0"/>
              <w:rPr>
                <w:sz w:val="20"/>
                <w:szCs w:val="20"/>
                <w:color w:val="auto"/>
              </w:rPr>
            </w:pPr>
            <w:r>
              <w:rPr>
                <w:rFonts w:ascii="Arial" w:cs="Arial" w:eastAsia="Arial" w:hAnsi="Arial"/>
                <w:sz w:val="25"/>
                <w:szCs w:val="25"/>
                <w:color w:val="0B3C61"/>
              </w:rPr>
              <w:t>Points of Statutory</w:t>
            </w:r>
          </w:p>
        </w:tc>
        <w:tc>
          <w:tcPr>
            <w:tcW w:w="3200" w:type="dxa"/>
            <w:vAlign w:val="bottom"/>
          </w:tcPr>
          <w:p>
            <w:pPr>
              <w:ind w:left="280"/>
              <w:spacing w:after="0"/>
              <w:rPr>
                <w:sz w:val="20"/>
                <w:szCs w:val="20"/>
                <w:color w:val="auto"/>
              </w:rPr>
            </w:pPr>
            <w:r>
              <w:rPr>
                <w:rFonts w:ascii="Arial" w:cs="Arial" w:eastAsia="Arial" w:hAnsi="Arial"/>
                <w:sz w:val="25"/>
                <w:szCs w:val="25"/>
                <w:color w:val="0B3C61"/>
              </w:rPr>
              <w:t>Specialty P&amp;C</w:t>
            </w:r>
          </w:p>
        </w:tc>
        <w:tc>
          <w:tcPr>
            <w:tcW w:w="20" w:type="dxa"/>
            <w:vAlign w:val="bottom"/>
            <w:shd w:val="clear" w:color="auto" w:fill="0B3C61"/>
          </w:tcPr>
          <w:p>
            <w:pPr>
              <w:spacing w:after="0"/>
              <w:rPr>
                <w:sz w:val="24"/>
                <w:szCs w:val="24"/>
                <w:color w:val="auto"/>
              </w:rPr>
            </w:pPr>
          </w:p>
        </w:tc>
        <w:tc>
          <w:tcPr>
            <w:tcW w:w="2640" w:type="dxa"/>
            <w:vAlign w:val="bottom"/>
          </w:tcPr>
          <w:p>
            <w:pPr>
              <w:ind w:left="260"/>
              <w:spacing w:after="0"/>
              <w:rPr>
                <w:sz w:val="20"/>
                <w:szCs w:val="20"/>
                <w:color w:val="auto"/>
              </w:rPr>
            </w:pPr>
            <w:r>
              <w:rPr>
                <w:rFonts w:ascii="Arial" w:cs="Arial" w:eastAsia="Arial" w:hAnsi="Arial"/>
                <w:sz w:val="25"/>
                <w:szCs w:val="25"/>
                <w:color w:val="0B3C61"/>
              </w:rPr>
              <w:t>Consecutive years</w:t>
            </w:r>
          </w:p>
        </w:tc>
        <w:tc>
          <w:tcPr>
            <w:tcW w:w="0" w:type="dxa"/>
            <w:vAlign w:val="bottom"/>
          </w:tcPr>
          <w:p>
            <w:pPr>
              <w:spacing w:after="0"/>
              <w:rPr>
                <w:sz w:val="1"/>
                <w:szCs w:val="1"/>
                <w:color w:val="auto"/>
              </w:rPr>
            </w:pPr>
          </w:p>
        </w:tc>
      </w:tr>
      <w:tr>
        <w:trPr>
          <w:trHeight w:val="297"/>
        </w:trPr>
        <w:tc>
          <w:tcPr>
            <w:tcW w:w="2940" w:type="dxa"/>
            <w:vAlign w:val="bottom"/>
            <w:tcBorders>
              <w:right w:val="single" w:sz="8" w:color="0B3C61"/>
            </w:tcBorders>
          </w:tcPr>
          <w:p>
            <w:pPr>
              <w:spacing w:after="0"/>
              <w:rPr>
                <w:sz w:val="20"/>
                <w:szCs w:val="20"/>
                <w:color w:val="auto"/>
              </w:rPr>
            </w:pPr>
            <w:r>
              <w:rPr>
                <w:rFonts w:ascii="Arial" w:cs="Arial" w:eastAsia="Arial" w:hAnsi="Arial"/>
                <w:sz w:val="25"/>
                <w:szCs w:val="25"/>
                <w:color w:val="0B3C61"/>
              </w:rPr>
              <w:t>Combined Ratio</w:t>
            </w:r>
          </w:p>
        </w:tc>
        <w:tc>
          <w:tcPr>
            <w:tcW w:w="3200" w:type="dxa"/>
            <w:vAlign w:val="bottom"/>
          </w:tcPr>
          <w:p>
            <w:pPr>
              <w:ind w:left="280"/>
              <w:spacing w:after="0"/>
              <w:rPr>
                <w:sz w:val="20"/>
                <w:szCs w:val="20"/>
                <w:color w:val="auto"/>
              </w:rPr>
            </w:pPr>
            <w:r>
              <w:rPr>
                <w:rFonts w:ascii="Arial" w:cs="Arial" w:eastAsia="Arial" w:hAnsi="Arial"/>
                <w:sz w:val="25"/>
                <w:szCs w:val="25"/>
                <w:color w:val="0B3C61"/>
              </w:rPr>
              <w:t>Group gross written</w:t>
            </w:r>
          </w:p>
        </w:tc>
        <w:tc>
          <w:tcPr>
            <w:tcW w:w="20" w:type="dxa"/>
            <w:vAlign w:val="bottom"/>
            <w:shd w:val="clear" w:color="auto" w:fill="0B3C61"/>
          </w:tcPr>
          <w:p>
            <w:pPr>
              <w:spacing w:after="0"/>
              <w:rPr>
                <w:sz w:val="24"/>
                <w:szCs w:val="24"/>
                <w:color w:val="auto"/>
              </w:rPr>
            </w:pPr>
          </w:p>
        </w:tc>
        <w:tc>
          <w:tcPr>
            <w:tcW w:w="2640" w:type="dxa"/>
            <w:vAlign w:val="bottom"/>
          </w:tcPr>
          <w:p>
            <w:pPr>
              <w:ind w:left="260"/>
              <w:spacing w:after="0"/>
              <w:rPr>
                <w:sz w:val="20"/>
                <w:szCs w:val="20"/>
                <w:color w:val="auto"/>
              </w:rPr>
            </w:pPr>
            <w:r>
              <w:rPr>
                <w:rFonts w:ascii="Arial" w:cs="Arial" w:eastAsia="Arial" w:hAnsi="Arial"/>
                <w:sz w:val="25"/>
                <w:szCs w:val="25"/>
                <w:color w:val="0B3C61"/>
                <w:w w:val="99"/>
              </w:rPr>
              <w:t>Specialty P&amp;C GAAP</w:t>
            </w:r>
          </w:p>
        </w:tc>
        <w:tc>
          <w:tcPr>
            <w:tcW w:w="0" w:type="dxa"/>
            <w:vAlign w:val="bottom"/>
          </w:tcPr>
          <w:p>
            <w:pPr>
              <w:spacing w:after="0"/>
              <w:rPr>
                <w:sz w:val="1"/>
                <w:szCs w:val="1"/>
                <w:color w:val="auto"/>
              </w:rPr>
            </w:pPr>
          </w:p>
        </w:tc>
      </w:tr>
      <w:tr>
        <w:trPr>
          <w:trHeight w:val="297"/>
        </w:trPr>
        <w:tc>
          <w:tcPr>
            <w:tcW w:w="2940" w:type="dxa"/>
            <w:vAlign w:val="bottom"/>
            <w:tcBorders>
              <w:right w:val="single" w:sz="8" w:color="0B3C61"/>
            </w:tcBorders>
          </w:tcPr>
          <w:p>
            <w:pPr>
              <w:spacing w:after="0"/>
              <w:rPr>
                <w:sz w:val="20"/>
                <w:szCs w:val="20"/>
                <w:color w:val="auto"/>
              </w:rPr>
            </w:pPr>
            <w:r>
              <w:rPr>
                <w:rFonts w:ascii="Arial" w:cs="Arial" w:eastAsia="Arial" w:hAnsi="Arial"/>
                <w:sz w:val="25"/>
                <w:szCs w:val="25"/>
                <w:color w:val="0B3C61"/>
              </w:rPr>
              <w:t>outperformance</w:t>
            </w:r>
          </w:p>
        </w:tc>
        <w:tc>
          <w:tcPr>
            <w:tcW w:w="3200" w:type="dxa"/>
            <w:vAlign w:val="bottom"/>
          </w:tcPr>
          <w:p>
            <w:pPr>
              <w:ind w:left="280"/>
              <w:spacing w:after="0"/>
              <w:rPr>
                <w:sz w:val="20"/>
                <w:szCs w:val="20"/>
                <w:color w:val="auto"/>
              </w:rPr>
            </w:pPr>
            <w:r>
              <w:rPr>
                <w:rFonts w:ascii="Arial" w:cs="Arial" w:eastAsia="Arial" w:hAnsi="Arial"/>
                <w:sz w:val="25"/>
                <w:szCs w:val="25"/>
                <w:color w:val="0B3C61"/>
              </w:rPr>
              <w:t>premium produced</w:t>
            </w:r>
          </w:p>
        </w:tc>
        <w:tc>
          <w:tcPr>
            <w:tcW w:w="20" w:type="dxa"/>
            <w:vAlign w:val="bottom"/>
            <w:shd w:val="clear" w:color="auto" w:fill="0B3C61"/>
          </w:tcPr>
          <w:p>
            <w:pPr>
              <w:spacing w:after="0"/>
              <w:rPr>
                <w:sz w:val="24"/>
                <w:szCs w:val="24"/>
                <w:color w:val="auto"/>
              </w:rPr>
            </w:pPr>
          </w:p>
        </w:tc>
        <w:tc>
          <w:tcPr>
            <w:tcW w:w="2640" w:type="dxa"/>
            <w:vAlign w:val="bottom"/>
          </w:tcPr>
          <w:p>
            <w:pPr>
              <w:ind w:left="260"/>
              <w:spacing w:after="0"/>
              <w:rPr>
                <w:sz w:val="20"/>
                <w:szCs w:val="20"/>
                <w:color w:val="auto"/>
              </w:rPr>
            </w:pPr>
            <w:r>
              <w:rPr>
                <w:rFonts w:ascii="Arial" w:cs="Arial" w:eastAsia="Arial" w:hAnsi="Arial"/>
                <w:sz w:val="25"/>
                <w:szCs w:val="25"/>
                <w:color w:val="0B3C61"/>
              </w:rPr>
              <w:t>Combined Ratio has</w:t>
            </w:r>
          </w:p>
        </w:tc>
        <w:tc>
          <w:tcPr>
            <w:tcW w:w="0" w:type="dxa"/>
            <w:vAlign w:val="bottom"/>
          </w:tcPr>
          <w:p>
            <w:pPr>
              <w:spacing w:after="0"/>
              <w:rPr>
                <w:sz w:val="1"/>
                <w:szCs w:val="1"/>
                <w:color w:val="auto"/>
              </w:rPr>
            </w:pPr>
          </w:p>
        </w:tc>
      </w:tr>
      <w:tr>
        <w:trPr>
          <w:trHeight w:val="306"/>
        </w:trPr>
        <w:tc>
          <w:tcPr>
            <w:tcW w:w="2940" w:type="dxa"/>
            <w:vAlign w:val="bottom"/>
            <w:tcBorders>
              <w:right w:val="single" w:sz="8" w:color="0B3C61"/>
            </w:tcBorders>
          </w:tcPr>
          <w:p>
            <w:pPr>
              <w:spacing w:after="0" w:line="306" w:lineRule="exact"/>
              <w:rPr>
                <w:sz w:val="20"/>
                <w:szCs w:val="20"/>
                <w:color w:val="auto"/>
              </w:rPr>
            </w:pPr>
            <w:r>
              <w:rPr>
                <w:rFonts w:ascii="Arial" w:cs="Arial" w:eastAsia="Arial" w:hAnsi="Arial"/>
                <w:sz w:val="22"/>
                <w:szCs w:val="22"/>
                <w:color w:val="0B3C61"/>
              </w:rPr>
              <w:t>vs. peers</w:t>
            </w:r>
            <w:r>
              <w:rPr>
                <w:rFonts w:ascii="Arial" w:cs="Arial" w:eastAsia="Arial" w:hAnsi="Arial"/>
                <w:sz w:val="35"/>
                <w:szCs w:val="35"/>
                <w:color w:val="0B3C61"/>
                <w:vertAlign w:val="superscript"/>
              </w:rPr>
              <w:t>(1)</w:t>
            </w:r>
            <w:r>
              <w:rPr>
                <w:rFonts w:ascii="Arial" w:cs="Arial" w:eastAsia="Arial" w:hAnsi="Arial"/>
                <w:sz w:val="22"/>
                <w:szCs w:val="22"/>
                <w:color w:val="0B3C61"/>
              </w:rPr>
              <w:t xml:space="preserve"> over</w:t>
            </w:r>
          </w:p>
        </w:tc>
        <w:tc>
          <w:tcPr>
            <w:tcW w:w="3200" w:type="dxa"/>
            <w:vAlign w:val="bottom"/>
          </w:tcPr>
          <w:p>
            <w:pPr>
              <w:ind w:left="280"/>
              <w:spacing w:after="0"/>
              <w:rPr>
                <w:sz w:val="20"/>
                <w:szCs w:val="20"/>
                <w:color w:val="auto"/>
              </w:rPr>
            </w:pPr>
            <w:r>
              <w:rPr>
                <w:rFonts w:ascii="Arial" w:cs="Arial" w:eastAsia="Arial" w:hAnsi="Arial"/>
                <w:sz w:val="25"/>
                <w:szCs w:val="25"/>
                <w:color w:val="0B3C61"/>
              </w:rPr>
              <w:t>by businesses with</w:t>
            </w:r>
          </w:p>
        </w:tc>
        <w:tc>
          <w:tcPr>
            <w:tcW w:w="20" w:type="dxa"/>
            <w:vAlign w:val="bottom"/>
            <w:shd w:val="clear" w:color="auto" w:fill="0B3C61"/>
          </w:tcPr>
          <w:p>
            <w:pPr>
              <w:spacing w:after="0"/>
              <w:rPr>
                <w:sz w:val="24"/>
                <w:szCs w:val="24"/>
                <w:color w:val="auto"/>
              </w:rPr>
            </w:pPr>
          </w:p>
        </w:tc>
        <w:tc>
          <w:tcPr>
            <w:tcW w:w="2640" w:type="dxa"/>
            <w:vAlign w:val="bottom"/>
          </w:tcPr>
          <w:p>
            <w:pPr>
              <w:ind w:left="260"/>
              <w:spacing w:after="0"/>
              <w:rPr>
                <w:sz w:val="20"/>
                <w:szCs w:val="20"/>
                <w:color w:val="auto"/>
              </w:rPr>
            </w:pPr>
            <w:r>
              <w:rPr>
                <w:rFonts w:ascii="Arial" w:cs="Arial" w:eastAsia="Arial" w:hAnsi="Arial"/>
                <w:sz w:val="25"/>
                <w:szCs w:val="25"/>
                <w:color w:val="0B3C61"/>
              </w:rPr>
              <w:t>been under 94%</w:t>
            </w:r>
          </w:p>
        </w:tc>
        <w:tc>
          <w:tcPr>
            <w:tcW w:w="0" w:type="dxa"/>
            <w:vAlign w:val="bottom"/>
          </w:tcPr>
          <w:p>
            <w:pPr>
              <w:spacing w:after="0"/>
              <w:rPr>
                <w:sz w:val="1"/>
                <w:szCs w:val="1"/>
                <w:color w:val="auto"/>
              </w:rPr>
            </w:pPr>
          </w:p>
        </w:tc>
      </w:tr>
      <w:tr>
        <w:trPr>
          <w:trHeight w:val="81"/>
        </w:trPr>
        <w:tc>
          <w:tcPr>
            <w:tcW w:w="2940" w:type="dxa"/>
            <w:vAlign w:val="bottom"/>
            <w:tcBorders>
              <w:right w:val="single" w:sz="8" w:color="0B3C61"/>
            </w:tcBorders>
            <w:vMerge w:val="restart"/>
          </w:tcPr>
          <w:p>
            <w:pPr>
              <w:spacing w:after="0"/>
              <w:rPr>
                <w:sz w:val="20"/>
                <w:szCs w:val="20"/>
                <w:color w:val="auto"/>
              </w:rPr>
            </w:pPr>
            <w:r>
              <w:rPr>
                <w:rFonts w:ascii="Arial" w:cs="Arial" w:eastAsia="Arial" w:hAnsi="Arial"/>
                <w:sz w:val="25"/>
                <w:szCs w:val="25"/>
                <w:color w:val="0B3C61"/>
              </w:rPr>
              <w:t>10 year period ended</w:t>
            </w:r>
          </w:p>
        </w:tc>
        <w:tc>
          <w:tcPr>
            <w:tcW w:w="3200" w:type="dxa"/>
            <w:vAlign w:val="bottom"/>
            <w:vMerge w:val="restart"/>
          </w:tcPr>
          <w:p>
            <w:pPr>
              <w:ind w:left="280"/>
              <w:spacing w:after="0"/>
              <w:rPr>
                <w:sz w:val="20"/>
                <w:szCs w:val="20"/>
                <w:color w:val="auto"/>
              </w:rPr>
            </w:pPr>
            <w:r>
              <w:rPr>
                <w:rFonts w:ascii="Arial" w:cs="Arial" w:eastAsia="Arial" w:hAnsi="Arial"/>
                <w:sz w:val="25"/>
                <w:szCs w:val="25"/>
                <w:color w:val="0B3C61"/>
              </w:rPr>
              <w:t>“top 10” market</w:t>
            </w:r>
          </w:p>
        </w:tc>
        <w:tc>
          <w:tcPr>
            <w:tcW w:w="20" w:type="dxa"/>
            <w:vAlign w:val="bottom"/>
            <w:shd w:val="clear" w:color="auto" w:fill="0B3C61"/>
          </w:tcPr>
          <w:p>
            <w:pPr>
              <w:spacing w:after="0"/>
              <w:rPr>
                <w:sz w:val="7"/>
                <w:szCs w:val="7"/>
                <w:color w:val="auto"/>
              </w:rPr>
            </w:pPr>
          </w:p>
        </w:tc>
        <w:tc>
          <w:tcPr>
            <w:tcW w:w="2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940" w:type="dxa"/>
            <w:vAlign w:val="bottom"/>
            <w:tcBorders>
              <w:right w:val="single" w:sz="8" w:color="0B3C61"/>
            </w:tcBorders>
            <w:vMerge w:val="continue"/>
          </w:tcPr>
          <w:p>
            <w:pPr>
              <w:spacing w:after="0"/>
              <w:rPr>
                <w:sz w:val="18"/>
                <w:szCs w:val="18"/>
                <w:color w:val="auto"/>
              </w:rPr>
            </w:pPr>
          </w:p>
        </w:tc>
        <w:tc>
          <w:tcPr>
            <w:tcW w:w="3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2940" w:type="dxa"/>
            <w:vAlign w:val="bottom"/>
            <w:tcBorders>
              <w:right w:val="single" w:sz="8" w:color="0B3C61"/>
            </w:tcBorders>
          </w:tcPr>
          <w:p>
            <w:pPr>
              <w:spacing w:after="0"/>
              <w:rPr>
                <w:sz w:val="20"/>
                <w:szCs w:val="20"/>
                <w:color w:val="auto"/>
              </w:rPr>
            </w:pPr>
            <w:r>
              <w:rPr>
                <w:rFonts w:ascii="Arial" w:cs="Arial" w:eastAsia="Arial" w:hAnsi="Arial"/>
                <w:sz w:val="25"/>
                <w:szCs w:val="25"/>
                <w:color w:val="0B3C61"/>
              </w:rPr>
              <w:t>12/31/2025</w:t>
            </w:r>
          </w:p>
        </w:tc>
        <w:tc>
          <w:tcPr>
            <w:tcW w:w="3200" w:type="dxa"/>
            <w:vAlign w:val="bottom"/>
          </w:tcPr>
          <w:p>
            <w:pPr>
              <w:ind w:left="280"/>
              <w:spacing w:after="0"/>
              <w:rPr>
                <w:sz w:val="20"/>
                <w:szCs w:val="20"/>
                <w:color w:val="auto"/>
              </w:rPr>
            </w:pPr>
            <w:r>
              <w:rPr>
                <w:rFonts w:ascii="Arial" w:cs="Arial" w:eastAsia="Arial" w:hAnsi="Arial"/>
                <w:sz w:val="25"/>
                <w:szCs w:val="25"/>
                <w:color w:val="0B3C61"/>
              </w:rPr>
              <w:t>rankings</w:t>
            </w:r>
          </w:p>
        </w:tc>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3"/>
          <w:szCs w:val="13"/>
          <w:color w:val="54565B"/>
        </w:rPr>
        <w:t>(1)</w:t>
      </w:r>
      <w:r>
        <w:rPr>
          <w:sz w:val="20"/>
          <w:szCs w:val="20"/>
          <w:color w:val="auto"/>
        </w:rPr>
        <w:tab/>
      </w:r>
      <w:r>
        <w:rPr>
          <w:rFonts w:ascii="Arial" w:cs="Arial" w:eastAsia="Arial" w:hAnsi="Arial"/>
          <w:sz w:val="12"/>
          <w:szCs w:val="12"/>
          <w:color w:val="54565B"/>
        </w:rPr>
        <w:t>Commercial lines industry data based on AM Best’s Market Segment Report – February 23, 2026.</w:t>
      </w:r>
    </w:p>
    <w:p>
      <w:pPr>
        <w:spacing w:after="0" w:line="310" w:lineRule="exact"/>
        <w:rPr>
          <w:sz w:val="20"/>
          <w:szCs w:val="20"/>
          <w:color w:val="auto"/>
        </w:rPr>
      </w:pPr>
    </w:p>
    <w:p>
      <w:pPr>
        <w:ind w:left="6440"/>
        <w:spacing w:after="0"/>
        <w:rPr>
          <w:sz w:val="20"/>
          <w:szCs w:val="20"/>
          <w:color w:val="auto"/>
        </w:rPr>
      </w:pPr>
      <w:r>
        <w:rPr>
          <w:rFonts w:ascii="Arial" w:cs="Arial" w:eastAsia="Arial" w:hAnsi="Arial"/>
          <w:sz w:val="12"/>
          <w:szCs w:val="12"/>
          <w:color w:val="0B3C61"/>
        </w:rPr>
        <w:t xml:space="preserve">2026 Proxy Statement | American Financial Group   </w:t>
      </w:r>
      <w:r>
        <w:rPr>
          <w:rFonts w:ascii="Arial" w:cs="Arial" w:eastAsia="Arial" w:hAnsi="Arial"/>
          <w:sz w:val="12"/>
          <w:szCs w:val="12"/>
          <w:b w:val="1"/>
          <w:bCs w:val="1"/>
          <w:color w:val="EA1D2D"/>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163830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0B3C61"/>
        </w:rPr>
        <w:t>2025 FINANCIAL HIGHLIGHTS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54565B"/>
        </w:rPr>
        <w:t>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63500</wp:posOffset>
            </wp:positionV>
            <wp:extent cx="120015" cy="1491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1491615"/>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63500</wp:posOffset>
            </wp:positionV>
            <wp:extent cx="120015" cy="1491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149161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545"/>
        </w:trPr>
        <w:tc>
          <w:tcPr>
            <w:tcW w:w="320" w:type="dxa"/>
            <w:vAlign w:val="bottom"/>
            <w:tcBorders>
              <w:right w:val="single" w:sz="8" w:color="EAF7FA"/>
            </w:tcBorders>
            <w:shd w:val="clear" w:color="auto" w:fill="EAF7FA"/>
          </w:tcPr>
          <w:p>
            <w:pPr>
              <w:spacing w:after="0"/>
              <w:rPr>
                <w:sz w:val="24"/>
                <w:szCs w:val="24"/>
                <w:color w:val="auto"/>
              </w:rPr>
            </w:pPr>
          </w:p>
        </w:tc>
        <w:tc>
          <w:tcPr>
            <w:tcW w:w="3200" w:type="dxa"/>
            <w:vAlign w:val="bottom"/>
            <w:shd w:val="clear" w:color="auto" w:fill="EAF7FA"/>
          </w:tcPr>
          <w:p>
            <w:pPr>
              <w:ind w:left="180"/>
              <w:spacing w:after="0"/>
              <w:rPr>
                <w:sz w:val="20"/>
                <w:szCs w:val="20"/>
                <w:color w:val="auto"/>
              </w:rPr>
            </w:pPr>
            <w:r>
              <w:rPr>
                <w:rFonts w:ascii="Arial" w:cs="Arial" w:eastAsia="Arial" w:hAnsi="Arial"/>
                <w:sz w:val="25"/>
                <w:szCs w:val="25"/>
                <w:color w:val="0B3C61"/>
              </w:rPr>
              <w:t>Core Net Operating</w:t>
            </w:r>
          </w:p>
        </w:tc>
        <w:tc>
          <w:tcPr>
            <w:tcW w:w="240" w:type="dxa"/>
            <w:vAlign w:val="bottom"/>
            <w:shd w:val="clear" w:color="auto" w:fill="EAF7FA"/>
          </w:tcPr>
          <w:p>
            <w:pPr>
              <w:spacing w:after="0"/>
              <w:rPr>
                <w:sz w:val="24"/>
                <w:szCs w:val="24"/>
                <w:color w:val="auto"/>
              </w:rPr>
            </w:pPr>
          </w:p>
        </w:tc>
        <w:tc>
          <w:tcPr>
            <w:tcW w:w="2880" w:type="dxa"/>
            <w:vAlign w:val="bottom"/>
            <w:shd w:val="clear" w:color="auto" w:fill="EAF7FA"/>
          </w:tcPr>
          <w:p>
            <w:pPr>
              <w:ind w:left="120"/>
              <w:spacing w:after="0"/>
              <w:rPr>
                <w:sz w:val="20"/>
                <w:szCs w:val="20"/>
                <w:color w:val="auto"/>
              </w:rPr>
            </w:pPr>
            <w:r>
              <w:rPr>
                <w:rFonts w:ascii="Arial" w:cs="Arial" w:eastAsia="Arial" w:hAnsi="Arial"/>
                <w:sz w:val="25"/>
                <w:szCs w:val="25"/>
                <w:color w:val="0B3C61"/>
              </w:rPr>
              <w:t>Core Operating</w:t>
            </w:r>
          </w:p>
        </w:tc>
        <w:tc>
          <w:tcPr>
            <w:tcW w:w="100" w:type="dxa"/>
            <w:vAlign w:val="bottom"/>
            <w:shd w:val="clear" w:color="auto" w:fill="EAF7FA"/>
          </w:tcPr>
          <w:p>
            <w:pPr>
              <w:spacing w:after="0"/>
              <w:rPr>
                <w:sz w:val="24"/>
                <w:szCs w:val="24"/>
                <w:color w:val="auto"/>
              </w:rPr>
            </w:pPr>
          </w:p>
        </w:tc>
        <w:tc>
          <w:tcPr>
            <w:tcW w:w="180" w:type="dxa"/>
            <w:vAlign w:val="bottom"/>
            <w:shd w:val="clear" w:color="auto" w:fill="EAF7FA"/>
          </w:tcPr>
          <w:p>
            <w:pPr>
              <w:spacing w:after="0"/>
              <w:rPr>
                <w:sz w:val="24"/>
                <w:szCs w:val="24"/>
                <w:color w:val="auto"/>
              </w:rPr>
            </w:pPr>
          </w:p>
        </w:tc>
        <w:tc>
          <w:tcPr>
            <w:tcW w:w="2480" w:type="dxa"/>
            <w:vAlign w:val="bottom"/>
            <w:gridSpan w:val="2"/>
            <w:shd w:val="clear" w:color="auto" w:fill="EAF7FA"/>
          </w:tcPr>
          <w:p>
            <w:pPr>
              <w:spacing w:after="0"/>
              <w:rPr>
                <w:sz w:val="20"/>
                <w:szCs w:val="20"/>
                <w:color w:val="auto"/>
              </w:rPr>
            </w:pPr>
            <w:r>
              <w:rPr>
                <w:rFonts w:ascii="Arial" w:cs="Arial" w:eastAsia="Arial" w:hAnsi="Arial"/>
                <w:sz w:val="25"/>
                <w:szCs w:val="25"/>
                <w:color w:val="0B3C61"/>
              </w:rPr>
              <w:t>Statutory</w:t>
            </w:r>
          </w:p>
        </w:tc>
        <w:tc>
          <w:tcPr>
            <w:tcW w:w="0" w:type="dxa"/>
            <w:vAlign w:val="bottom"/>
          </w:tcPr>
          <w:p>
            <w:pPr>
              <w:spacing w:after="0"/>
              <w:rPr>
                <w:sz w:val="1"/>
                <w:szCs w:val="1"/>
                <w:color w:val="auto"/>
              </w:rPr>
            </w:pPr>
          </w:p>
        </w:tc>
      </w:tr>
      <w:tr>
        <w:trPr>
          <w:trHeight w:val="306"/>
        </w:trPr>
        <w:tc>
          <w:tcPr>
            <w:tcW w:w="320" w:type="dxa"/>
            <w:vAlign w:val="bottom"/>
            <w:tcBorders>
              <w:right w:val="single" w:sz="8" w:color="EAF7FA"/>
            </w:tcBorders>
            <w:shd w:val="clear" w:color="auto" w:fill="EAF7FA"/>
          </w:tcPr>
          <w:p>
            <w:pPr>
              <w:spacing w:after="0"/>
              <w:rPr>
                <w:sz w:val="24"/>
                <w:szCs w:val="24"/>
                <w:color w:val="auto"/>
              </w:rPr>
            </w:pPr>
          </w:p>
        </w:tc>
        <w:tc>
          <w:tcPr>
            <w:tcW w:w="3200" w:type="dxa"/>
            <w:vAlign w:val="bottom"/>
            <w:shd w:val="clear" w:color="auto" w:fill="EAF7FA"/>
          </w:tcPr>
          <w:p>
            <w:pPr>
              <w:ind w:left="180"/>
              <w:spacing w:after="0"/>
              <w:rPr>
                <w:sz w:val="20"/>
                <w:szCs w:val="20"/>
                <w:color w:val="auto"/>
              </w:rPr>
            </w:pPr>
            <w:r>
              <w:rPr>
                <w:rFonts w:ascii="Arial" w:cs="Arial" w:eastAsia="Arial" w:hAnsi="Arial"/>
                <w:sz w:val="25"/>
                <w:szCs w:val="25"/>
                <w:color w:val="0B3C61"/>
              </w:rPr>
              <w:t>Earnings Per Share</w:t>
            </w:r>
          </w:p>
        </w:tc>
        <w:tc>
          <w:tcPr>
            <w:tcW w:w="240" w:type="dxa"/>
            <w:vAlign w:val="bottom"/>
            <w:shd w:val="clear" w:color="auto" w:fill="EAF7FA"/>
          </w:tcPr>
          <w:p>
            <w:pPr>
              <w:spacing w:after="0"/>
              <w:rPr>
                <w:sz w:val="24"/>
                <w:szCs w:val="24"/>
                <w:color w:val="auto"/>
              </w:rPr>
            </w:pPr>
          </w:p>
        </w:tc>
        <w:tc>
          <w:tcPr>
            <w:tcW w:w="2880" w:type="dxa"/>
            <w:vAlign w:val="bottom"/>
            <w:shd w:val="clear" w:color="auto" w:fill="EAF7FA"/>
          </w:tcPr>
          <w:p>
            <w:pPr>
              <w:ind w:left="120"/>
              <w:spacing w:after="0" w:line="306" w:lineRule="exact"/>
              <w:rPr>
                <w:sz w:val="20"/>
                <w:szCs w:val="20"/>
                <w:color w:val="auto"/>
              </w:rPr>
            </w:pPr>
            <w:r>
              <w:rPr>
                <w:rFonts w:ascii="Arial" w:cs="Arial" w:eastAsia="Arial" w:hAnsi="Arial"/>
                <w:sz w:val="22"/>
                <w:szCs w:val="22"/>
                <w:color w:val="0B3C61"/>
              </w:rPr>
              <w:t>Return on Equity</w:t>
            </w:r>
            <w:r>
              <w:rPr>
                <w:rFonts w:ascii="Arial" w:cs="Arial" w:eastAsia="Arial" w:hAnsi="Arial"/>
                <w:sz w:val="35"/>
                <w:szCs w:val="35"/>
                <w:color w:val="0B3C61"/>
                <w:vertAlign w:val="superscript"/>
              </w:rPr>
              <w:t>(1)(2)</w:t>
            </w:r>
          </w:p>
        </w:tc>
        <w:tc>
          <w:tcPr>
            <w:tcW w:w="100" w:type="dxa"/>
            <w:vAlign w:val="bottom"/>
            <w:shd w:val="clear" w:color="auto" w:fill="EAF7FA"/>
          </w:tcPr>
          <w:p>
            <w:pPr>
              <w:spacing w:after="0"/>
              <w:rPr>
                <w:sz w:val="24"/>
                <w:szCs w:val="24"/>
                <w:color w:val="auto"/>
              </w:rPr>
            </w:pPr>
          </w:p>
        </w:tc>
        <w:tc>
          <w:tcPr>
            <w:tcW w:w="180" w:type="dxa"/>
            <w:vAlign w:val="bottom"/>
            <w:shd w:val="clear" w:color="auto" w:fill="EAF7FA"/>
          </w:tcPr>
          <w:p>
            <w:pPr>
              <w:spacing w:after="0"/>
              <w:rPr>
                <w:sz w:val="24"/>
                <w:szCs w:val="24"/>
                <w:color w:val="auto"/>
              </w:rPr>
            </w:pPr>
          </w:p>
        </w:tc>
        <w:tc>
          <w:tcPr>
            <w:tcW w:w="2480" w:type="dxa"/>
            <w:vAlign w:val="bottom"/>
            <w:gridSpan w:val="2"/>
            <w:shd w:val="clear" w:color="auto" w:fill="EAF7FA"/>
          </w:tcPr>
          <w:p>
            <w:pPr>
              <w:spacing w:after="0" w:line="306" w:lineRule="exact"/>
              <w:rPr>
                <w:sz w:val="20"/>
                <w:szCs w:val="20"/>
                <w:color w:val="auto"/>
              </w:rPr>
            </w:pPr>
            <w:r>
              <w:rPr>
                <w:rFonts w:ascii="Arial" w:cs="Arial" w:eastAsia="Arial" w:hAnsi="Arial"/>
                <w:sz w:val="22"/>
                <w:szCs w:val="22"/>
                <w:color w:val="0B3C61"/>
              </w:rPr>
              <w:t>Combined Ratio</w:t>
            </w:r>
            <w:r>
              <w:rPr>
                <w:rFonts w:ascii="Arial" w:cs="Arial" w:eastAsia="Arial" w:hAnsi="Arial"/>
                <w:sz w:val="35"/>
                <w:szCs w:val="35"/>
                <w:color w:val="0B3C61"/>
                <w:vertAlign w:val="superscript"/>
              </w:rPr>
              <w:t>(3)</w:t>
            </w:r>
          </w:p>
        </w:tc>
        <w:tc>
          <w:tcPr>
            <w:tcW w:w="0" w:type="dxa"/>
            <w:vAlign w:val="bottom"/>
          </w:tcPr>
          <w:p>
            <w:pPr>
              <w:spacing w:after="0"/>
              <w:rPr>
                <w:sz w:val="1"/>
                <w:szCs w:val="1"/>
                <w:color w:val="auto"/>
              </w:rPr>
            </w:pPr>
          </w:p>
        </w:tc>
      </w:tr>
      <w:tr>
        <w:trPr>
          <w:trHeight w:val="378"/>
        </w:trPr>
        <w:tc>
          <w:tcPr>
            <w:tcW w:w="320" w:type="dxa"/>
            <w:vAlign w:val="bottom"/>
            <w:tcBorders>
              <w:right w:val="single" w:sz="8" w:color="EAF7FA"/>
            </w:tcBorders>
            <w:shd w:val="clear" w:color="auto" w:fill="EAF7FA"/>
          </w:tcPr>
          <w:p>
            <w:pPr>
              <w:spacing w:after="0"/>
              <w:rPr>
                <w:sz w:val="24"/>
                <w:szCs w:val="24"/>
                <w:color w:val="auto"/>
              </w:rPr>
            </w:pPr>
          </w:p>
        </w:tc>
        <w:tc>
          <w:tcPr>
            <w:tcW w:w="3200" w:type="dxa"/>
            <w:vAlign w:val="bottom"/>
            <w:shd w:val="clear" w:color="auto" w:fill="EAF7FA"/>
          </w:tcPr>
          <w:p>
            <w:pPr>
              <w:ind w:left="180"/>
              <w:spacing w:after="0" w:line="378" w:lineRule="exact"/>
              <w:rPr>
                <w:sz w:val="20"/>
                <w:szCs w:val="20"/>
                <w:color w:val="auto"/>
              </w:rPr>
            </w:pPr>
            <w:r>
              <w:rPr>
                <w:rFonts w:ascii="Arial" w:cs="Arial" w:eastAsia="Arial" w:hAnsi="Arial"/>
                <w:sz w:val="25"/>
                <w:szCs w:val="25"/>
                <w:color w:val="0B3C61"/>
              </w:rPr>
              <w:t>(Non-GAAP)</w:t>
            </w:r>
            <w:r>
              <w:rPr>
                <w:rFonts w:ascii="Arial" w:cs="Arial" w:eastAsia="Arial" w:hAnsi="Arial"/>
                <w:sz w:val="41"/>
                <w:szCs w:val="41"/>
                <w:color w:val="0B3C61"/>
                <w:vertAlign w:val="superscript"/>
              </w:rPr>
              <w:t>(1)</w:t>
            </w:r>
          </w:p>
        </w:tc>
        <w:tc>
          <w:tcPr>
            <w:tcW w:w="240" w:type="dxa"/>
            <w:vAlign w:val="bottom"/>
            <w:shd w:val="clear" w:color="auto" w:fill="EAF7FA"/>
          </w:tcPr>
          <w:p>
            <w:pPr>
              <w:spacing w:after="0"/>
              <w:rPr>
                <w:sz w:val="24"/>
                <w:szCs w:val="24"/>
                <w:color w:val="auto"/>
              </w:rPr>
            </w:pPr>
          </w:p>
        </w:tc>
        <w:tc>
          <w:tcPr>
            <w:tcW w:w="2880" w:type="dxa"/>
            <w:vAlign w:val="bottom"/>
            <w:shd w:val="clear" w:color="auto" w:fill="EAF7FA"/>
          </w:tcPr>
          <w:p>
            <w:pPr>
              <w:spacing w:after="0"/>
              <w:rPr>
                <w:sz w:val="24"/>
                <w:szCs w:val="24"/>
                <w:color w:val="auto"/>
              </w:rPr>
            </w:pPr>
          </w:p>
        </w:tc>
        <w:tc>
          <w:tcPr>
            <w:tcW w:w="100" w:type="dxa"/>
            <w:vAlign w:val="bottom"/>
            <w:shd w:val="clear" w:color="auto" w:fill="EAF7FA"/>
          </w:tcPr>
          <w:p>
            <w:pPr>
              <w:spacing w:after="0"/>
              <w:rPr>
                <w:sz w:val="24"/>
                <w:szCs w:val="24"/>
                <w:color w:val="auto"/>
              </w:rPr>
            </w:pPr>
          </w:p>
        </w:tc>
        <w:tc>
          <w:tcPr>
            <w:tcW w:w="180" w:type="dxa"/>
            <w:vAlign w:val="bottom"/>
            <w:shd w:val="clear" w:color="auto" w:fill="EAF7FA"/>
          </w:tcPr>
          <w:p>
            <w:pPr>
              <w:spacing w:after="0"/>
              <w:rPr>
                <w:sz w:val="24"/>
                <w:szCs w:val="24"/>
                <w:color w:val="auto"/>
              </w:rPr>
            </w:pPr>
          </w:p>
        </w:tc>
        <w:tc>
          <w:tcPr>
            <w:tcW w:w="80" w:type="dxa"/>
            <w:vAlign w:val="bottom"/>
            <w:shd w:val="clear" w:color="auto" w:fill="EAF7FA"/>
          </w:tcPr>
          <w:p>
            <w:pPr>
              <w:spacing w:after="0"/>
              <w:rPr>
                <w:sz w:val="24"/>
                <w:szCs w:val="24"/>
                <w:color w:val="auto"/>
              </w:rPr>
            </w:pPr>
          </w:p>
        </w:tc>
        <w:tc>
          <w:tcPr>
            <w:tcW w:w="2400" w:type="dxa"/>
            <w:vAlign w:val="bottom"/>
            <w:shd w:val="clear" w:color="auto" w:fill="EAF7FA"/>
          </w:tcPr>
          <w:p>
            <w:pPr>
              <w:spacing w:after="0"/>
              <w:rPr>
                <w:sz w:val="24"/>
                <w:szCs w:val="24"/>
                <w:color w:val="auto"/>
              </w:rPr>
            </w:pPr>
          </w:p>
        </w:tc>
        <w:tc>
          <w:tcPr>
            <w:tcW w:w="0" w:type="dxa"/>
            <w:vAlign w:val="bottom"/>
          </w:tcPr>
          <w:p>
            <w:pPr>
              <w:spacing w:after="0"/>
              <w:rPr>
                <w:sz w:val="1"/>
                <w:szCs w:val="1"/>
                <w:color w:val="auto"/>
              </w:rPr>
            </w:pPr>
          </w:p>
        </w:tc>
      </w:tr>
      <w:tr>
        <w:trPr>
          <w:trHeight w:val="512"/>
        </w:trPr>
        <w:tc>
          <w:tcPr>
            <w:tcW w:w="320" w:type="dxa"/>
            <w:vAlign w:val="bottom"/>
            <w:tcBorders>
              <w:right w:val="single" w:sz="8" w:color="EAF7FA"/>
            </w:tcBorders>
            <w:shd w:val="clear" w:color="auto" w:fill="EAF7FA"/>
          </w:tcPr>
          <w:p>
            <w:pPr>
              <w:spacing w:after="0"/>
              <w:rPr>
                <w:sz w:val="24"/>
                <w:szCs w:val="24"/>
                <w:color w:val="auto"/>
              </w:rPr>
            </w:pPr>
          </w:p>
        </w:tc>
        <w:tc>
          <w:tcPr>
            <w:tcW w:w="3200" w:type="dxa"/>
            <w:vAlign w:val="bottom"/>
            <w:shd w:val="clear" w:color="auto" w:fill="EAF7FA"/>
          </w:tcPr>
          <w:p>
            <w:pPr>
              <w:ind w:left="180"/>
              <w:spacing w:after="0" w:line="512" w:lineRule="exact"/>
              <w:rPr>
                <w:sz w:val="20"/>
                <w:szCs w:val="20"/>
                <w:color w:val="auto"/>
              </w:rPr>
            </w:pPr>
            <w:r>
              <w:rPr>
                <w:rFonts w:ascii="Arial" w:cs="Arial" w:eastAsia="Arial" w:hAnsi="Arial"/>
                <w:sz w:val="46"/>
                <w:szCs w:val="46"/>
                <w:color w:val="0B3C61"/>
              </w:rPr>
              <w:t>$10.29</w:t>
            </w:r>
          </w:p>
        </w:tc>
        <w:tc>
          <w:tcPr>
            <w:tcW w:w="240" w:type="dxa"/>
            <w:vAlign w:val="bottom"/>
            <w:shd w:val="clear" w:color="auto" w:fill="EAF7FA"/>
          </w:tcPr>
          <w:p>
            <w:pPr>
              <w:spacing w:after="0"/>
              <w:rPr>
                <w:sz w:val="24"/>
                <w:szCs w:val="24"/>
                <w:color w:val="auto"/>
              </w:rPr>
            </w:pPr>
          </w:p>
        </w:tc>
        <w:tc>
          <w:tcPr>
            <w:tcW w:w="2880" w:type="dxa"/>
            <w:vAlign w:val="bottom"/>
            <w:shd w:val="clear" w:color="auto" w:fill="EAF7FA"/>
          </w:tcPr>
          <w:p>
            <w:pPr>
              <w:ind w:left="120"/>
              <w:spacing w:after="0" w:line="512" w:lineRule="exact"/>
              <w:rPr>
                <w:sz w:val="20"/>
                <w:szCs w:val="20"/>
                <w:color w:val="auto"/>
              </w:rPr>
            </w:pPr>
            <w:r>
              <w:rPr>
                <w:rFonts w:ascii="Arial" w:cs="Arial" w:eastAsia="Arial" w:hAnsi="Arial"/>
                <w:sz w:val="46"/>
                <w:szCs w:val="46"/>
                <w:color w:val="0B3C61"/>
              </w:rPr>
              <w:t>18​.2%</w:t>
            </w:r>
          </w:p>
        </w:tc>
        <w:tc>
          <w:tcPr>
            <w:tcW w:w="100" w:type="dxa"/>
            <w:vAlign w:val="bottom"/>
            <w:shd w:val="clear" w:color="auto" w:fill="EAF7FA"/>
          </w:tcPr>
          <w:p>
            <w:pPr>
              <w:spacing w:after="0"/>
              <w:rPr>
                <w:sz w:val="24"/>
                <w:szCs w:val="24"/>
                <w:color w:val="auto"/>
              </w:rPr>
            </w:pPr>
          </w:p>
        </w:tc>
        <w:tc>
          <w:tcPr>
            <w:tcW w:w="180" w:type="dxa"/>
            <w:vAlign w:val="bottom"/>
            <w:shd w:val="clear" w:color="auto" w:fill="EAF7FA"/>
          </w:tcPr>
          <w:p>
            <w:pPr>
              <w:spacing w:after="0"/>
              <w:rPr>
                <w:sz w:val="24"/>
                <w:szCs w:val="24"/>
                <w:color w:val="auto"/>
              </w:rPr>
            </w:pPr>
          </w:p>
        </w:tc>
        <w:tc>
          <w:tcPr>
            <w:tcW w:w="2480" w:type="dxa"/>
            <w:vAlign w:val="bottom"/>
            <w:gridSpan w:val="2"/>
            <w:shd w:val="clear" w:color="auto" w:fill="EAF7FA"/>
          </w:tcPr>
          <w:p>
            <w:pPr>
              <w:spacing w:after="0" w:line="512" w:lineRule="exact"/>
              <w:rPr>
                <w:sz w:val="20"/>
                <w:szCs w:val="20"/>
                <w:color w:val="auto"/>
              </w:rPr>
            </w:pPr>
            <w:r>
              <w:rPr>
                <w:rFonts w:ascii="Arial" w:cs="Arial" w:eastAsia="Arial" w:hAnsi="Arial"/>
                <w:sz w:val="46"/>
                <w:szCs w:val="46"/>
                <w:color w:val="0B3C61"/>
              </w:rPr>
              <w:t>91.3%</w:t>
            </w:r>
          </w:p>
        </w:tc>
        <w:tc>
          <w:tcPr>
            <w:tcW w:w="0" w:type="dxa"/>
            <w:vAlign w:val="bottom"/>
          </w:tcPr>
          <w:p>
            <w:pPr>
              <w:spacing w:after="0"/>
              <w:rPr>
                <w:sz w:val="1"/>
                <w:szCs w:val="1"/>
                <w:color w:val="auto"/>
              </w:rPr>
            </w:pPr>
          </w:p>
        </w:tc>
      </w:tr>
      <w:tr>
        <w:trPr>
          <w:trHeight w:val="189"/>
        </w:trPr>
        <w:tc>
          <w:tcPr>
            <w:tcW w:w="320" w:type="dxa"/>
            <w:vAlign w:val="bottom"/>
            <w:tcBorders>
              <w:right w:val="single" w:sz="8" w:color="EAF7FA"/>
            </w:tcBorders>
            <w:shd w:val="clear" w:color="auto" w:fill="EAF7FA"/>
          </w:tcPr>
          <w:p>
            <w:pPr>
              <w:spacing w:after="0"/>
              <w:rPr>
                <w:sz w:val="16"/>
                <w:szCs w:val="16"/>
                <w:color w:val="auto"/>
              </w:rPr>
            </w:pPr>
          </w:p>
        </w:tc>
        <w:tc>
          <w:tcPr>
            <w:tcW w:w="3200" w:type="dxa"/>
            <w:vAlign w:val="bottom"/>
            <w:shd w:val="clear" w:color="auto" w:fill="EAF7FA"/>
          </w:tcPr>
          <w:p>
            <w:pPr>
              <w:spacing w:after="0"/>
              <w:rPr>
                <w:sz w:val="16"/>
                <w:szCs w:val="16"/>
                <w:color w:val="auto"/>
              </w:rPr>
            </w:pPr>
          </w:p>
        </w:tc>
        <w:tc>
          <w:tcPr>
            <w:tcW w:w="240" w:type="dxa"/>
            <w:vAlign w:val="bottom"/>
            <w:shd w:val="clear" w:color="auto" w:fill="EAF7FA"/>
          </w:tcPr>
          <w:p>
            <w:pPr>
              <w:spacing w:after="0"/>
              <w:rPr>
                <w:sz w:val="16"/>
                <w:szCs w:val="16"/>
                <w:color w:val="auto"/>
              </w:rPr>
            </w:pPr>
          </w:p>
        </w:tc>
        <w:tc>
          <w:tcPr>
            <w:tcW w:w="2880" w:type="dxa"/>
            <w:vAlign w:val="bottom"/>
            <w:shd w:val="clear" w:color="auto" w:fill="EAF7FA"/>
          </w:tcPr>
          <w:p>
            <w:pPr>
              <w:spacing w:after="0"/>
              <w:rPr>
                <w:sz w:val="16"/>
                <w:szCs w:val="16"/>
                <w:color w:val="auto"/>
              </w:rPr>
            </w:pPr>
          </w:p>
        </w:tc>
        <w:tc>
          <w:tcPr>
            <w:tcW w:w="100" w:type="dxa"/>
            <w:vAlign w:val="bottom"/>
            <w:shd w:val="clear" w:color="auto" w:fill="EAF7FA"/>
          </w:tcPr>
          <w:p>
            <w:pPr>
              <w:spacing w:after="0"/>
              <w:rPr>
                <w:sz w:val="16"/>
                <w:szCs w:val="16"/>
                <w:color w:val="auto"/>
              </w:rPr>
            </w:pPr>
          </w:p>
        </w:tc>
        <w:tc>
          <w:tcPr>
            <w:tcW w:w="180" w:type="dxa"/>
            <w:vAlign w:val="bottom"/>
            <w:shd w:val="clear" w:color="auto" w:fill="EAF7FA"/>
          </w:tcPr>
          <w:p>
            <w:pPr>
              <w:spacing w:after="0"/>
              <w:rPr>
                <w:sz w:val="16"/>
                <w:szCs w:val="16"/>
                <w:color w:val="auto"/>
              </w:rPr>
            </w:pPr>
          </w:p>
        </w:tc>
        <w:tc>
          <w:tcPr>
            <w:tcW w:w="2480" w:type="dxa"/>
            <w:vAlign w:val="bottom"/>
            <w:gridSpan w:val="2"/>
            <w:shd w:val="clear" w:color="auto" w:fill="EAF7FA"/>
          </w:tcPr>
          <w:p>
            <w:pPr>
              <w:spacing w:after="0"/>
              <w:rPr>
                <w:sz w:val="20"/>
                <w:szCs w:val="20"/>
                <w:color w:val="auto"/>
              </w:rPr>
            </w:pPr>
            <w:r>
              <w:rPr>
                <w:rFonts w:ascii="Arial" w:cs="Arial" w:eastAsia="Arial" w:hAnsi="Arial"/>
                <w:sz w:val="16"/>
                <w:szCs w:val="16"/>
                <w:color w:val="0B3C61"/>
              </w:rPr>
              <w:t>Compared to 95.8% for the</w:t>
            </w:r>
          </w:p>
        </w:tc>
        <w:tc>
          <w:tcPr>
            <w:tcW w:w="0" w:type="dxa"/>
            <w:vAlign w:val="bottom"/>
          </w:tcPr>
          <w:p>
            <w:pPr>
              <w:spacing w:after="0"/>
              <w:rPr>
                <w:sz w:val="1"/>
                <w:szCs w:val="1"/>
                <w:color w:val="auto"/>
              </w:rPr>
            </w:pPr>
          </w:p>
        </w:tc>
      </w:tr>
      <w:tr>
        <w:trPr>
          <w:trHeight w:val="215"/>
        </w:trPr>
        <w:tc>
          <w:tcPr>
            <w:tcW w:w="320" w:type="dxa"/>
            <w:vAlign w:val="bottom"/>
            <w:tcBorders>
              <w:right w:val="single" w:sz="8" w:color="EAF7FA"/>
            </w:tcBorders>
            <w:shd w:val="clear" w:color="auto" w:fill="EAF7FA"/>
          </w:tcPr>
          <w:p>
            <w:pPr>
              <w:spacing w:after="0"/>
              <w:rPr>
                <w:sz w:val="18"/>
                <w:szCs w:val="18"/>
                <w:color w:val="auto"/>
              </w:rPr>
            </w:pPr>
          </w:p>
        </w:tc>
        <w:tc>
          <w:tcPr>
            <w:tcW w:w="3200" w:type="dxa"/>
            <w:vAlign w:val="bottom"/>
            <w:shd w:val="clear" w:color="auto" w:fill="EAF7FA"/>
          </w:tcPr>
          <w:p>
            <w:pPr>
              <w:spacing w:after="0"/>
              <w:rPr>
                <w:sz w:val="18"/>
                <w:szCs w:val="18"/>
                <w:color w:val="auto"/>
              </w:rPr>
            </w:pPr>
          </w:p>
        </w:tc>
        <w:tc>
          <w:tcPr>
            <w:tcW w:w="240" w:type="dxa"/>
            <w:vAlign w:val="bottom"/>
            <w:shd w:val="clear" w:color="auto" w:fill="EAF7FA"/>
          </w:tcPr>
          <w:p>
            <w:pPr>
              <w:spacing w:after="0"/>
              <w:rPr>
                <w:sz w:val="18"/>
                <w:szCs w:val="18"/>
                <w:color w:val="auto"/>
              </w:rPr>
            </w:pPr>
          </w:p>
        </w:tc>
        <w:tc>
          <w:tcPr>
            <w:tcW w:w="2880" w:type="dxa"/>
            <w:vAlign w:val="bottom"/>
            <w:shd w:val="clear" w:color="auto" w:fill="EAF7FA"/>
          </w:tcPr>
          <w:p>
            <w:pPr>
              <w:spacing w:after="0"/>
              <w:rPr>
                <w:sz w:val="18"/>
                <w:szCs w:val="18"/>
                <w:color w:val="auto"/>
              </w:rPr>
            </w:pPr>
          </w:p>
        </w:tc>
        <w:tc>
          <w:tcPr>
            <w:tcW w:w="100" w:type="dxa"/>
            <w:vAlign w:val="bottom"/>
            <w:shd w:val="clear" w:color="auto" w:fill="EAF7FA"/>
          </w:tcPr>
          <w:p>
            <w:pPr>
              <w:spacing w:after="0"/>
              <w:rPr>
                <w:sz w:val="18"/>
                <w:szCs w:val="18"/>
                <w:color w:val="auto"/>
              </w:rPr>
            </w:pPr>
          </w:p>
        </w:tc>
        <w:tc>
          <w:tcPr>
            <w:tcW w:w="180" w:type="dxa"/>
            <w:vAlign w:val="bottom"/>
            <w:shd w:val="clear" w:color="auto" w:fill="EAF7FA"/>
          </w:tcPr>
          <w:p>
            <w:pPr>
              <w:spacing w:after="0"/>
              <w:rPr>
                <w:sz w:val="18"/>
                <w:szCs w:val="18"/>
                <w:color w:val="auto"/>
              </w:rPr>
            </w:pPr>
          </w:p>
        </w:tc>
        <w:tc>
          <w:tcPr>
            <w:tcW w:w="2480" w:type="dxa"/>
            <w:vAlign w:val="bottom"/>
            <w:gridSpan w:val="2"/>
            <w:shd w:val="clear" w:color="auto" w:fill="EAF7FA"/>
          </w:tcPr>
          <w:p>
            <w:pPr>
              <w:spacing w:after="0"/>
              <w:rPr>
                <w:sz w:val="20"/>
                <w:szCs w:val="20"/>
                <w:color w:val="auto"/>
              </w:rPr>
            </w:pPr>
            <w:r>
              <w:rPr>
                <w:rFonts w:ascii="Arial" w:cs="Arial" w:eastAsia="Arial" w:hAnsi="Arial"/>
                <w:sz w:val="16"/>
                <w:szCs w:val="16"/>
                <w:color w:val="0B3C61"/>
              </w:rPr>
              <w:t>commercial lines industry</w:t>
            </w:r>
          </w:p>
        </w:tc>
        <w:tc>
          <w:tcPr>
            <w:tcW w:w="0" w:type="dxa"/>
            <w:vAlign w:val="bottom"/>
          </w:tcPr>
          <w:p>
            <w:pPr>
              <w:spacing w:after="0"/>
              <w:rPr>
                <w:sz w:val="1"/>
                <w:szCs w:val="1"/>
                <w:color w:val="auto"/>
              </w:rPr>
            </w:pPr>
          </w:p>
        </w:tc>
      </w:tr>
      <w:tr>
        <w:trPr>
          <w:trHeight w:val="205"/>
        </w:trPr>
        <w:tc>
          <w:tcPr>
            <w:tcW w:w="320" w:type="dxa"/>
            <w:vAlign w:val="bottom"/>
            <w:tcBorders>
              <w:right w:val="single" w:sz="8" w:color="EAF7FA"/>
            </w:tcBorders>
            <w:shd w:val="clear" w:color="auto" w:fill="EAF7FA"/>
          </w:tcPr>
          <w:p>
            <w:pPr>
              <w:spacing w:after="0"/>
              <w:rPr>
                <w:sz w:val="17"/>
                <w:szCs w:val="17"/>
                <w:color w:val="auto"/>
              </w:rPr>
            </w:pPr>
          </w:p>
        </w:tc>
        <w:tc>
          <w:tcPr>
            <w:tcW w:w="3200" w:type="dxa"/>
            <w:vAlign w:val="bottom"/>
            <w:shd w:val="clear" w:color="auto" w:fill="EAF7FA"/>
          </w:tcPr>
          <w:p>
            <w:pPr>
              <w:spacing w:after="0"/>
              <w:rPr>
                <w:sz w:val="17"/>
                <w:szCs w:val="17"/>
                <w:color w:val="auto"/>
              </w:rPr>
            </w:pPr>
          </w:p>
        </w:tc>
        <w:tc>
          <w:tcPr>
            <w:tcW w:w="240" w:type="dxa"/>
            <w:vAlign w:val="bottom"/>
            <w:shd w:val="clear" w:color="auto" w:fill="EAF7FA"/>
          </w:tcPr>
          <w:p>
            <w:pPr>
              <w:spacing w:after="0"/>
              <w:rPr>
                <w:sz w:val="17"/>
                <w:szCs w:val="17"/>
                <w:color w:val="auto"/>
              </w:rPr>
            </w:pPr>
          </w:p>
        </w:tc>
        <w:tc>
          <w:tcPr>
            <w:tcW w:w="2880" w:type="dxa"/>
            <w:vAlign w:val="bottom"/>
            <w:shd w:val="clear" w:color="auto" w:fill="EAF7FA"/>
          </w:tcPr>
          <w:p>
            <w:pPr>
              <w:spacing w:after="0"/>
              <w:rPr>
                <w:sz w:val="17"/>
                <w:szCs w:val="17"/>
                <w:color w:val="auto"/>
              </w:rPr>
            </w:pPr>
          </w:p>
        </w:tc>
        <w:tc>
          <w:tcPr>
            <w:tcW w:w="100" w:type="dxa"/>
            <w:vAlign w:val="bottom"/>
            <w:shd w:val="clear" w:color="auto" w:fill="EAF7FA"/>
          </w:tcPr>
          <w:p>
            <w:pPr>
              <w:spacing w:after="0"/>
              <w:rPr>
                <w:sz w:val="17"/>
                <w:szCs w:val="17"/>
                <w:color w:val="auto"/>
              </w:rPr>
            </w:pPr>
          </w:p>
        </w:tc>
        <w:tc>
          <w:tcPr>
            <w:tcW w:w="180" w:type="dxa"/>
            <w:vAlign w:val="bottom"/>
            <w:shd w:val="clear" w:color="auto" w:fill="EAF7FA"/>
          </w:tcPr>
          <w:p>
            <w:pPr>
              <w:spacing w:after="0"/>
              <w:rPr>
                <w:sz w:val="17"/>
                <w:szCs w:val="17"/>
                <w:color w:val="auto"/>
              </w:rPr>
            </w:pPr>
          </w:p>
        </w:tc>
        <w:tc>
          <w:tcPr>
            <w:tcW w:w="80" w:type="dxa"/>
            <w:vAlign w:val="bottom"/>
            <w:shd w:val="clear" w:color="auto" w:fill="EAF7FA"/>
          </w:tcPr>
          <w:p>
            <w:pPr>
              <w:spacing w:after="0"/>
              <w:rPr>
                <w:sz w:val="17"/>
                <w:szCs w:val="17"/>
                <w:color w:val="auto"/>
              </w:rPr>
            </w:pPr>
          </w:p>
        </w:tc>
        <w:tc>
          <w:tcPr>
            <w:tcW w:w="2400" w:type="dxa"/>
            <w:vAlign w:val="bottom"/>
            <w:shd w:val="clear" w:color="auto" w:fill="EAF7F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0" w:type="dxa"/>
            <w:vAlign w:val="bottom"/>
            <w:tcBorders>
              <w:right w:val="single" w:sz="8" w:color="EAF7FA"/>
            </w:tcBorders>
            <w:shd w:val="clear" w:color="auto" w:fill="EAF7FA"/>
          </w:tcPr>
          <w:p>
            <w:pPr>
              <w:spacing w:after="0"/>
              <w:rPr>
                <w:sz w:val="23"/>
                <w:szCs w:val="23"/>
                <w:color w:val="auto"/>
              </w:rPr>
            </w:pPr>
          </w:p>
        </w:tc>
        <w:tc>
          <w:tcPr>
            <w:tcW w:w="3200" w:type="dxa"/>
            <w:vAlign w:val="bottom"/>
            <w:vMerge w:val="restart"/>
            <w:shd w:val="clear" w:color="auto" w:fill="EAF7FA"/>
          </w:tcPr>
          <w:p>
            <w:pPr>
              <w:ind w:left="140"/>
              <w:spacing w:after="0"/>
              <w:rPr>
                <w:sz w:val="20"/>
                <w:szCs w:val="20"/>
                <w:color w:val="auto"/>
              </w:rPr>
            </w:pPr>
            <w:r>
              <w:rPr>
                <w:rFonts w:ascii="Arial" w:cs="Arial" w:eastAsia="Arial" w:hAnsi="Arial"/>
                <w:sz w:val="25"/>
                <w:szCs w:val="25"/>
                <w:color w:val="0B3C61"/>
              </w:rPr>
              <w:t>Total Capital Returned</w:t>
            </w:r>
          </w:p>
        </w:tc>
        <w:tc>
          <w:tcPr>
            <w:tcW w:w="240" w:type="dxa"/>
            <w:vAlign w:val="bottom"/>
            <w:shd w:val="clear" w:color="auto" w:fill="EAF7FA"/>
          </w:tcPr>
          <w:p>
            <w:pPr>
              <w:spacing w:after="0"/>
              <w:rPr>
                <w:sz w:val="23"/>
                <w:szCs w:val="23"/>
                <w:color w:val="auto"/>
              </w:rPr>
            </w:pPr>
          </w:p>
        </w:tc>
        <w:tc>
          <w:tcPr>
            <w:tcW w:w="2880" w:type="dxa"/>
            <w:vAlign w:val="bottom"/>
            <w:vMerge w:val="restart"/>
            <w:shd w:val="clear" w:color="auto" w:fill="EAF7FA"/>
          </w:tcPr>
          <w:p>
            <w:pPr>
              <w:spacing w:after="0"/>
              <w:rPr>
                <w:sz w:val="20"/>
                <w:szCs w:val="20"/>
                <w:color w:val="auto"/>
              </w:rPr>
            </w:pPr>
            <w:r>
              <w:rPr>
                <w:rFonts w:ascii="Arial" w:cs="Arial" w:eastAsia="Arial" w:hAnsi="Arial"/>
                <w:sz w:val="25"/>
                <w:szCs w:val="25"/>
                <w:color w:val="0B3C61"/>
              </w:rPr>
              <w:t>Growth in</w:t>
            </w:r>
          </w:p>
        </w:tc>
        <w:tc>
          <w:tcPr>
            <w:tcW w:w="100" w:type="dxa"/>
            <w:vAlign w:val="bottom"/>
            <w:shd w:val="clear" w:color="auto" w:fill="EAF7FA"/>
          </w:tcPr>
          <w:p>
            <w:pPr>
              <w:spacing w:after="0"/>
              <w:rPr>
                <w:sz w:val="23"/>
                <w:szCs w:val="23"/>
                <w:color w:val="auto"/>
              </w:rPr>
            </w:pPr>
          </w:p>
        </w:tc>
        <w:tc>
          <w:tcPr>
            <w:tcW w:w="180" w:type="dxa"/>
            <w:vAlign w:val="bottom"/>
            <w:shd w:val="clear" w:color="auto" w:fill="EAF7FA"/>
          </w:tcPr>
          <w:p>
            <w:pPr>
              <w:spacing w:after="0"/>
              <w:rPr>
                <w:sz w:val="23"/>
                <w:szCs w:val="23"/>
                <w:color w:val="auto"/>
              </w:rPr>
            </w:pPr>
          </w:p>
        </w:tc>
        <w:tc>
          <w:tcPr>
            <w:tcW w:w="80" w:type="dxa"/>
            <w:vAlign w:val="bottom"/>
            <w:shd w:val="clear" w:color="auto" w:fill="EAF7FA"/>
          </w:tcPr>
          <w:p>
            <w:pPr>
              <w:spacing w:after="0"/>
              <w:rPr>
                <w:sz w:val="23"/>
                <w:szCs w:val="23"/>
                <w:color w:val="auto"/>
              </w:rPr>
            </w:pPr>
          </w:p>
        </w:tc>
        <w:tc>
          <w:tcPr>
            <w:tcW w:w="2400" w:type="dxa"/>
            <w:vAlign w:val="bottom"/>
            <w:vMerge w:val="restart"/>
            <w:shd w:val="clear" w:color="auto" w:fill="EAF7FA"/>
          </w:tcPr>
          <w:p>
            <w:pPr>
              <w:spacing w:after="0"/>
              <w:rPr>
                <w:sz w:val="20"/>
                <w:szCs w:val="20"/>
                <w:color w:val="auto"/>
              </w:rPr>
            </w:pPr>
            <w:r>
              <w:rPr>
                <w:rFonts w:ascii="Arial" w:cs="Arial" w:eastAsia="Arial" w:hAnsi="Arial"/>
                <w:sz w:val="25"/>
                <w:szCs w:val="25"/>
                <w:color w:val="0B3C61"/>
              </w:rPr>
              <w:t>5​-Year Total</w:t>
            </w:r>
          </w:p>
        </w:tc>
        <w:tc>
          <w:tcPr>
            <w:tcW w:w="0" w:type="dxa"/>
            <w:vAlign w:val="bottom"/>
          </w:tcPr>
          <w:p>
            <w:pPr>
              <w:spacing w:after="0"/>
              <w:rPr>
                <w:sz w:val="1"/>
                <w:szCs w:val="1"/>
                <w:color w:val="auto"/>
              </w:rPr>
            </w:pPr>
          </w:p>
        </w:tc>
      </w:tr>
      <w:tr>
        <w:trPr>
          <w:trHeight w:val="275"/>
        </w:trPr>
        <w:tc>
          <w:tcPr>
            <w:tcW w:w="320" w:type="dxa"/>
            <w:vAlign w:val="bottom"/>
            <w:tcBorders>
              <w:right w:val="single" w:sz="8" w:color="EAF7FA"/>
            </w:tcBorders>
          </w:tcPr>
          <w:p>
            <w:pPr>
              <w:spacing w:after="0"/>
              <w:rPr>
                <w:sz w:val="23"/>
                <w:szCs w:val="23"/>
                <w:color w:val="auto"/>
              </w:rPr>
            </w:pPr>
          </w:p>
        </w:tc>
        <w:tc>
          <w:tcPr>
            <w:tcW w:w="3200" w:type="dxa"/>
            <w:vAlign w:val="bottom"/>
            <w:vMerge w:val="continue"/>
            <w:shd w:val="clear" w:color="auto" w:fill="EAF7FA"/>
          </w:tcPr>
          <w:p>
            <w:pPr>
              <w:spacing w:after="0"/>
              <w:rPr>
                <w:sz w:val="23"/>
                <w:szCs w:val="23"/>
                <w:color w:val="auto"/>
              </w:rPr>
            </w:pPr>
          </w:p>
        </w:tc>
        <w:tc>
          <w:tcPr>
            <w:tcW w:w="240" w:type="dxa"/>
            <w:vAlign w:val="bottom"/>
          </w:tcPr>
          <w:p>
            <w:pPr>
              <w:spacing w:after="0"/>
              <w:rPr>
                <w:sz w:val="23"/>
                <w:szCs w:val="23"/>
                <w:color w:val="auto"/>
              </w:rPr>
            </w:pPr>
          </w:p>
        </w:tc>
        <w:tc>
          <w:tcPr>
            <w:tcW w:w="2880" w:type="dxa"/>
            <w:vAlign w:val="bottom"/>
            <w:vMerge w:val="continue"/>
            <w:shd w:val="clear" w:color="auto" w:fill="EAF7FA"/>
          </w:tcPr>
          <w:p>
            <w:pPr>
              <w:spacing w:after="0"/>
              <w:rPr>
                <w:sz w:val="23"/>
                <w:szCs w:val="23"/>
                <w:color w:val="auto"/>
              </w:rPr>
            </w:pPr>
          </w:p>
        </w:tc>
        <w:tc>
          <w:tcPr>
            <w:tcW w:w="100" w:type="dxa"/>
            <w:vAlign w:val="bottom"/>
            <w:shd w:val="clear" w:color="auto" w:fill="EAF7FA"/>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0" w:type="dxa"/>
            <w:vAlign w:val="bottom"/>
            <w:vMerge w:val="continue"/>
            <w:shd w:val="clear" w:color="auto" w:fill="EAF7FA"/>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20" w:type="dxa"/>
            <w:vAlign w:val="bottom"/>
            <w:tcBorders>
              <w:right w:val="single" w:sz="8" w:color="EAF7FA"/>
            </w:tcBorders>
          </w:tcPr>
          <w:p>
            <w:pPr>
              <w:spacing w:after="0"/>
              <w:rPr>
                <w:sz w:val="24"/>
                <w:szCs w:val="24"/>
                <w:color w:val="auto"/>
              </w:rPr>
            </w:pPr>
          </w:p>
        </w:tc>
        <w:tc>
          <w:tcPr>
            <w:tcW w:w="3200" w:type="dxa"/>
            <w:vAlign w:val="bottom"/>
            <w:shd w:val="clear" w:color="auto" w:fill="EAF7FA"/>
          </w:tcPr>
          <w:p>
            <w:pPr>
              <w:ind w:left="140"/>
              <w:spacing w:after="0"/>
              <w:rPr>
                <w:sz w:val="20"/>
                <w:szCs w:val="20"/>
                <w:color w:val="auto"/>
              </w:rPr>
            </w:pPr>
            <w:r>
              <w:rPr>
                <w:rFonts w:ascii="Arial" w:cs="Arial" w:eastAsia="Arial" w:hAnsi="Arial"/>
                <w:sz w:val="25"/>
                <w:szCs w:val="25"/>
                <w:color w:val="0B3C61"/>
              </w:rPr>
              <w:t>to Shareholders</w:t>
            </w:r>
          </w:p>
        </w:tc>
        <w:tc>
          <w:tcPr>
            <w:tcW w:w="240" w:type="dxa"/>
            <w:vAlign w:val="bottom"/>
          </w:tcPr>
          <w:p>
            <w:pPr>
              <w:spacing w:after="0"/>
              <w:rPr>
                <w:sz w:val="24"/>
                <w:szCs w:val="24"/>
                <w:color w:val="auto"/>
              </w:rPr>
            </w:pPr>
          </w:p>
        </w:tc>
        <w:tc>
          <w:tcPr>
            <w:tcW w:w="2880" w:type="dxa"/>
            <w:vAlign w:val="bottom"/>
            <w:shd w:val="clear" w:color="auto" w:fill="EAF7FA"/>
          </w:tcPr>
          <w:p>
            <w:pPr>
              <w:spacing w:after="0"/>
              <w:rPr>
                <w:sz w:val="20"/>
                <w:szCs w:val="20"/>
                <w:color w:val="auto"/>
              </w:rPr>
            </w:pPr>
            <w:r>
              <w:rPr>
                <w:rFonts w:ascii="Arial" w:cs="Arial" w:eastAsia="Arial" w:hAnsi="Arial"/>
                <w:sz w:val="25"/>
                <w:szCs w:val="25"/>
                <w:color w:val="0B3C61"/>
              </w:rPr>
              <w:t>Book Value per Share</w:t>
            </w:r>
          </w:p>
        </w:tc>
        <w:tc>
          <w:tcPr>
            <w:tcW w:w="100" w:type="dxa"/>
            <w:vAlign w:val="bottom"/>
            <w:shd w:val="clear" w:color="auto" w:fill="EAF7FA"/>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shd w:val="clear" w:color="auto" w:fill="EAF7FA"/>
          </w:tcPr>
          <w:p>
            <w:pPr>
              <w:spacing w:after="0"/>
              <w:rPr>
                <w:sz w:val="20"/>
                <w:szCs w:val="20"/>
                <w:color w:val="auto"/>
              </w:rPr>
            </w:pPr>
            <w:r>
              <w:rPr>
                <w:rFonts w:ascii="Arial" w:cs="Arial" w:eastAsia="Arial" w:hAnsi="Arial"/>
                <w:sz w:val="25"/>
                <w:szCs w:val="25"/>
                <w:color w:val="0B3C61"/>
              </w:rPr>
              <w:t>Shareholder Return</w:t>
            </w:r>
          </w:p>
        </w:tc>
        <w:tc>
          <w:tcPr>
            <w:tcW w:w="0" w:type="dxa"/>
            <w:vAlign w:val="bottom"/>
          </w:tcPr>
          <w:p>
            <w:pPr>
              <w:spacing w:after="0"/>
              <w:rPr>
                <w:sz w:val="1"/>
                <w:szCs w:val="1"/>
                <w:color w:val="auto"/>
              </w:rPr>
            </w:pPr>
          </w:p>
        </w:tc>
      </w:tr>
      <w:tr>
        <w:trPr>
          <w:trHeight w:val="340"/>
        </w:trPr>
        <w:tc>
          <w:tcPr>
            <w:tcW w:w="320" w:type="dxa"/>
            <w:vAlign w:val="bottom"/>
            <w:tcBorders>
              <w:right w:val="single" w:sz="8" w:color="EAF7FA"/>
            </w:tcBorders>
          </w:tcPr>
          <w:p>
            <w:pPr>
              <w:spacing w:after="0"/>
              <w:rPr>
                <w:sz w:val="24"/>
                <w:szCs w:val="24"/>
                <w:color w:val="auto"/>
              </w:rPr>
            </w:pPr>
          </w:p>
        </w:tc>
        <w:tc>
          <w:tcPr>
            <w:tcW w:w="3200" w:type="dxa"/>
            <w:vAlign w:val="bottom"/>
            <w:tcBorders>
              <w:bottom w:val="single" w:sz="8" w:color="EAF7FA"/>
            </w:tcBorders>
            <w:shd w:val="clear" w:color="auto" w:fill="EAF7FA"/>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tcBorders>
              <w:bottom w:val="single" w:sz="8" w:color="EAF7FA"/>
            </w:tcBorders>
            <w:shd w:val="clear" w:color="auto" w:fill="EAF7FA"/>
          </w:tcPr>
          <w:p>
            <w:pPr>
              <w:spacing w:after="0"/>
              <w:rPr>
                <w:sz w:val="20"/>
                <w:szCs w:val="20"/>
                <w:color w:val="auto"/>
              </w:rPr>
            </w:pPr>
            <w:r>
              <w:rPr>
                <w:rFonts w:ascii="Arial" w:cs="Arial" w:eastAsia="Arial" w:hAnsi="Arial"/>
                <w:sz w:val="25"/>
                <w:szCs w:val="25"/>
                <w:color w:val="0B3C61"/>
              </w:rPr>
              <w:t>+ Dividends</w:t>
            </w:r>
          </w:p>
        </w:tc>
        <w:tc>
          <w:tcPr>
            <w:tcW w:w="100" w:type="dxa"/>
            <w:vAlign w:val="bottom"/>
            <w:tcBorders>
              <w:bottom w:val="single" w:sz="8" w:color="EAF7FA"/>
            </w:tcBorders>
            <w:shd w:val="clear" w:color="auto" w:fill="EAF7FA"/>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Borders>
              <w:bottom w:val="single" w:sz="8" w:color="EAF7FA"/>
            </w:tcBorders>
            <w:shd w:val="clear" w:color="auto" w:fill="EAF7FA"/>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20" w:type="dxa"/>
            <w:vAlign w:val="bottom"/>
          </w:tcPr>
          <w:p>
            <w:pPr>
              <w:spacing w:after="0"/>
              <w:rPr>
                <w:sz w:val="24"/>
                <w:szCs w:val="24"/>
                <w:color w:val="auto"/>
              </w:rPr>
            </w:pPr>
          </w:p>
        </w:tc>
        <w:tc>
          <w:tcPr>
            <w:tcW w:w="3200" w:type="dxa"/>
            <w:vAlign w:val="bottom"/>
          </w:tcPr>
          <w:p>
            <w:pPr>
              <w:ind w:left="140"/>
              <w:spacing w:after="0"/>
              <w:rPr>
                <w:sz w:val="20"/>
                <w:szCs w:val="20"/>
                <w:color w:val="auto"/>
              </w:rPr>
            </w:pPr>
            <w:r>
              <w:rPr>
                <w:rFonts w:ascii="Arial" w:cs="Arial" w:eastAsia="Arial" w:hAnsi="Arial"/>
                <w:sz w:val="45"/>
                <w:szCs w:val="45"/>
                <w:color w:val="0B3C61"/>
              </w:rPr>
              <w:t>$707 million</w:t>
            </w:r>
          </w:p>
        </w:tc>
        <w:tc>
          <w:tcPr>
            <w:tcW w:w="240" w:type="dxa"/>
            <w:vAlign w:val="bottom"/>
          </w:tcPr>
          <w:p>
            <w:pPr>
              <w:spacing w:after="0"/>
              <w:rPr>
                <w:sz w:val="24"/>
                <w:szCs w:val="24"/>
                <w:color w:val="auto"/>
              </w:rPr>
            </w:pPr>
          </w:p>
        </w:tc>
        <w:tc>
          <w:tcPr>
            <w:tcW w:w="2880" w:type="dxa"/>
            <w:vAlign w:val="bottom"/>
          </w:tcPr>
          <w:p>
            <w:pPr>
              <w:spacing w:after="0"/>
              <w:rPr>
                <w:sz w:val="20"/>
                <w:szCs w:val="20"/>
                <w:color w:val="auto"/>
              </w:rPr>
            </w:pPr>
            <w:r>
              <w:rPr>
                <w:rFonts w:ascii="Arial" w:cs="Arial" w:eastAsia="Arial" w:hAnsi="Arial"/>
                <w:sz w:val="45"/>
                <w:szCs w:val="45"/>
                <w:color w:val="0B3C61"/>
              </w:rPr>
              <w:t>17​.2%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45"/>
                <w:szCs w:val="45"/>
                <w:color w:val="0B3C61"/>
              </w:rPr>
              <w:t>160​.8%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-1115060</wp:posOffset>
            </wp:positionV>
            <wp:extent cx="5966460" cy="2091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6460" cy="20916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jc w:val="both"/>
        <w:ind w:left="460" w:right="40"/>
        <w:spacing w:after="0" w:line="246" w:lineRule="auto"/>
        <w:rPr>
          <w:sz w:val="20"/>
          <w:szCs w:val="20"/>
          <w:color w:val="auto"/>
        </w:rPr>
      </w:pPr>
      <w:r>
        <w:rPr>
          <w:rFonts w:ascii="Arial" w:cs="Arial" w:eastAsia="Arial" w:hAnsi="Arial"/>
          <w:sz w:val="16"/>
          <w:szCs w:val="16"/>
          <w:color w:val="0B3C61"/>
        </w:rPr>
        <w:t>-  $274 million in regular dividends -  $334 million in special dividends -  $99 million in share repurchases -  Regular dividend rate increased</w:t>
      </w:r>
    </w:p>
    <w:p>
      <w:pPr>
        <w:spacing w:after="0" w:line="2" w:lineRule="exact"/>
        <w:rPr>
          <w:sz w:val="20"/>
          <w:szCs w:val="20"/>
          <w:color w:val="auto"/>
        </w:rPr>
      </w:pPr>
    </w:p>
    <w:p>
      <w:pPr>
        <w:ind w:left="660" w:right="220"/>
        <w:spacing w:after="0" w:line="256" w:lineRule="auto"/>
        <w:rPr>
          <w:sz w:val="20"/>
          <w:szCs w:val="20"/>
          <w:color w:val="auto"/>
        </w:rPr>
      </w:pPr>
      <w:r>
        <w:rPr>
          <w:rFonts w:ascii="Arial" w:cs="Arial" w:eastAsia="Arial" w:hAnsi="Arial"/>
          <w:sz w:val="16"/>
          <w:szCs w:val="16"/>
          <w:color w:val="0B3C61"/>
        </w:rPr>
        <w:t>10.0% in October 2025, representing 20th consecutive annual dividend increase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860" w:type="dxa"/>
            <w:vAlign w:val="bottom"/>
          </w:tcPr>
          <w:p>
            <w:pPr>
              <w:spacing w:after="0" w:line="173" w:lineRule="exact"/>
              <w:rPr>
                <w:sz w:val="20"/>
                <w:szCs w:val="20"/>
                <w:color w:val="auto"/>
              </w:rPr>
            </w:pPr>
            <w:r>
              <w:rPr>
                <w:rFonts w:ascii="Arial" w:cs="Arial" w:eastAsia="Arial" w:hAnsi="Arial"/>
                <w:sz w:val="16"/>
                <w:szCs w:val="16"/>
                <w:color w:val="0B3C61"/>
              </w:rPr>
              <w:t>Based on 12/31/25 book value per</w:t>
            </w:r>
          </w:p>
        </w:tc>
        <w:tc>
          <w:tcPr>
            <w:tcW w:w="2540" w:type="dxa"/>
            <w:vAlign w:val="bottom"/>
          </w:tcPr>
          <w:p>
            <w:pPr>
              <w:ind w:left="380"/>
              <w:spacing w:after="0" w:line="173" w:lineRule="exact"/>
              <w:rPr>
                <w:sz w:val="20"/>
                <w:szCs w:val="20"/>
                <w:color w:val="auto"/>
              </w:rPr>
            </w:pPr>
            <w:r>
              <w:rPr>
                <w:rFonts w:ascii="Arial" w:cs="Arial" w:eastAsia="Arial" w:hAnsi="Arial"/>
                <w:sz w:val="16"/>
                <w:szCs w:val="16"/>
                <w:color w:val="0B3C61"/>
              </w:rPr>
              <w:t>Compared to 96.0% and</w:t>
            </w:r>
          </w:p>
        </w:tc>
      </w:tr>
      <w:tr>
        <w:trPr>
          <w:trHeight w:val="189"/>
        </w:trPr>
        <w:tc>
          <w:tcPr>
            <w:tcW w:w="2860" w:type="dxa"/>
            <w:vAlign w:val="bottom"/>
          </w:tcPr>
          <w:p>
            <w:pPr>
              <w:spacing w:after="0"/>
              <w:rPr>
                <w:sz w:val="20"/>
                <w:szCs w:val="20"/>
                <w:color w:val="auto"/>
              </w:rPr>
            </w:pPr>
            <w:r>
              <w:rPr>
                <w:rFonts w:ascii="Arial" w:cs="Arial" w:eastAsia="Arial" w:hAnsi="Arial"/>
                <w:sz w:val="16"/>
                <w:szCs w:val="16"/>
                <w:color w:val="0B3C61"/>
              </w:rPr>
              <w:t>share (excluding AOCI) of $58.38</w:t>
            </w:r>
          </w:p>
        </w:tc>
        <w:tc>
          <w:tcPr>
            <w:tcW w:w="2540" w:type="dxa"/>
            <w:vAlign w:val="bottom"/>
          </w:tcPr>
          <w:p>
            <w:pPr>
              <w:ind w:left="380"/>
              <w:spacing w:after="0"/>
              <w:rPr>
                <w:sz w:val="20"/>
                <w:szCs w:val="20"/>
                <w:color w:val="auto"/>
              </w:rPr>
            </w:pPr>
            <w:r>
              <w:rPr>
                <w:rFonts w:ascii="Arial" w:cs="Arial" w:eastAsia="Arial" w:hAnsi="Arial"/>
                <w:sz w:val="16"/>
                <w:szCs w:val="16"/>
                <w:color w:val="0B3C61"/>
              </w:rPr>
              <w:t>128.8%, respectively, for the</w:t>
            </w:r>
          </w:p>
        </w:tc>
      </w:tr>
      <w:tr>
        <w:trPr>
          <w:trHeight w:val="189"/>
        </w:trPr>
        <w:tc>
          <w:tcPr>
            <w:tcW w:w="2860" w:type="dxa"/>
            <w:vAlign w:val="bottom"/>
          </w:tcPr>
          <w:p>
            <w:pPr>
              <w:spacing w:after="0"/>
              <w:rPr>
                <w:sz w:val="20"/>
                <w:szCs w:val="20"/>
                <w:color w:val="auto"/>
              </w:rPr>
            </w:pPr>
            <w:r>
              <w:rPr>
                <w:rFonts w:ascii="Arial" w:cs="Arial" w:eastAsia="Arial" w:hAnsi="Arial"/>
                <w:sz w:val="16"/>
                <w:szCs w:val="16"/>
                <w:color w:val="0B3C61"/>
              </w:rPr>
              <w:t>and 2025 dividends of $7.28 per</w:t>
            </w:r>
          </w:p>
        </w:tc>
        <w:tc>
          <w:tcPr>
            <w:tcW w:w="2540" w:type="dxa"/>
            <w:vAlign w:val="bottom"/>
          </w:tcPr>
          <w:p>
            <w:pPr>
              <w:ind w:left="380"/>
              <w:spacing w:after="0"/>
              <w:rPr>
                <w:sz w:val="20"/>
                <w:szCs w:val="20"/>
                <w:color w:val="auto"/>
              </w:rPr>
            </w:pPr>
            <w:r>
              <w:rPr>
                <w:rFonts w:ascii="Arial" w:cs="Arial" w:eastAsia="Arial" w:hAnsi="Arial"/>
                <w:sz w:val="16"/>
                <w:szCs w:val="16"/>
                <w:color w:val="0B3C61"/>
              </w:rPr>
              <w:t>S&amp;P 500 and S&amp;P 500</w:t>
            </w:r>
          </w:p>
        </w:tc>
      </w:tr>
      <w:tr>
        <w:trPr>
          <w:trHeight w:val="215"/>
        </w:trPr>
        <w:tc>
          <w:tcPr>
            <w:tcW w:w="2860" w:type="dxa"/>
            <w:vAlign w:val="bottom"/>
          </w:tcPr>
          <w:p>
            <w:pPr>
              <w:spacing w:after="0"/>
              <w:rPr>
                <w:sz w:val="20"/>
                <w:szCs w:val="20"/>
                <w:color w:val="auto"/>
              </w:rPr>
            </w:pPr>
            <w:r>
              <w:rPr>
                <w:rFonts w:ascii="Arial" w:cs="Arial" w:eastAsia="Arial" w:hAnsi="Arial"/>
                <w:sz w:val="16"/>
                <w:szCs w:val="16"/>
                <w:color w:val="0B3C61"/>
              </w:rPr>
              <w:t>share</w:t>
            </w:r>
          </w:p>
        </w:tc>
        <w:tc>
          <w:tcPr>
            <w:tcW w:w="2540" w:type="dxa"/>
            <w:vAlign w:val="bottom"/>
          </w:tcPr>
          <w:p>
            <w:pPr>
              <w:ind w:left="380"/>
              <w:spacing w:after="0"/>
              <w:rPr>
                <w:sz w:val="20"/>
                <w:szCs w:val="20"/>
                <w:color w:val="auto"/>
              </w:rPr>
            </w:pPr>
            <w:r>
              <w:rPr>
                <w:rFonts w:ascii="Arial" w:cs="Arial" w:eastAsia="Arial" w:hAnsi="Arial"/>
                <w:sz w:val="16"/>
                <w:szCs w:val="16"/>
                <w:color w:val="0B3C61"/>
              </w:rPr>
              <w:t>Property and Casualty Indices</w:t>
            </w:r>
          </w:p>
        </w:tc>
      </w:tr>
    </w:tbl>
    <w:p>
      <w:pPr>
        <w:spacing w:after="0" w:line="779" w:lineRule="exact"/>
        <w:rPr>
          <w:sz w:val="20"/>
          <w:szCs w:val="20"/>
          <w:color w:val="auto"/>
        </w:rPr>
      </w:pPr>
    </w:p>
    <w:p>
      <w:pPr>
        <w:sectPr>
          <w:pgSz w:w="11900" w:h="16838" w:orient="portrait"/>
          <w:cols w:equalWidth="0" w:num="2">
            <w:col w:w="3040" w:space="720"/>
            <w:col w:w="5640"/>
          </w:cols>
          <w:pgMar w:left="1240" w:top="114" w:right="1259" w:bottom="1440" w:gutter="0" w:footer="0" w:header="0"/>
          <w:type w:val="continuous"/>
        </w:sectPr>
      </w:pP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352"/>
        </w:trPr>
        <w:tc>
          <w:tcPr>
            <w:tcW w:w="3220" w:type="dxa"/>
            <w:vAlign w:val="bottom"/>
          </w:tcPr>
          <w:p>
            <w:pPr>
              <w:spacing w:after="0"/>
              <w:rPr>
                <w:sz w:val="20"/>
                <w:szCs w:val="20"/>
                <w:color w:val="auto"/>
              </w:rPr>
            </w:pPr>
            <w:r>
              <w:rPr>
                <w:rFonts w:ascii="Arial" w:cs="Arial" w:eastAsia="Arial" w:hAnsi="Arial"/>
                <w:sz w:val="16"/>
                <w:szCs w:val="16"/>
                <w:b w:val="1"/>
                <w:bCs w:val="1"/>
                <w:color w:val="54565B"/>
              </w:rPr>
              <w:t>FINANCIAL STRENGTH:</w:t>
            </w:r>
            <w:r>
              <w:rPr>
                <w:rFonts w:ascii="Arial" w:cs="Arial" w:eastAsia="Arial" w:hAnsi="Arial"/>
                <w:sz w:val="26"/>
                <w:szCs w:val="26"/>
                <w:b w:val="1"/>
                <w:bCs w:val="1"/>
                <w:color w:val="54565B"/>
                <w:vertAlign w:val="superscript"/>
              </w:rPr>
              <w:t>(4)</w:t>
            </w:r>
          </w:p>
        </w:tc>
        <w:tc>
          <w:tcPr>
            <w:tcW w:w="3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11"/>
        </w:trPr>
        <w:tc>
          <w:tcPr>
            <w:tcW w:w="3220" w:type="dxa"/>
            <w:vAlign w:val="bottom"/>
            <w:tcBorders>
              <w:left w:val="single" w:sz="8" w:color="0B3C61"/>
              <w:right w:val="single" w:sz="8" w:color="0B3C61"/>
            </w:tcBorders>
          </w:tcPr>
          <w:p>
            <w:pPr>
              <w:ind w:left="280"/>
              <w:spacing w:after="0"/>
              <w:rPr>
                <w:sz w:val="20"/>
                <w:szCs w:val="20"/>
                <w:color w:val="auto"/>
              </w:rPr>
            </w:pPr>
            <w:r>
              <w:rPr>
                <w:rFonts w:ascii="Arial" w:cs="Arial" w:eastAsia="Arial" w:hAnsi="Arial"/>
                <w:sz w:val="22"/>
                <w:szCs w:val="22"/>
                <w:color w:val="0B3C61"/>
              </w:rPr>
              <w:t>AM Best</w:t>
            </w:r>
          </w:p>
        </w:tc>
        <w:tc>
          <w:tcPr>
            <w:tcW w:w="3220" w:type="dxa"/>
            <w:vAlign w:val="bottom"/>
            <w:tcBorders>
              <w:right w:val="single" w:sz="8" w:color="0B3C61"/>
            </w:tcBorders>
          </w:tcPr>
          <w:p>
            <w:pPr>
              <w:ind w:left="280"/>
              <w:spacing w:after="0"/>
              <w:rPr>
                <w:sz w:val="20"/>
                <w:szCs w:val="20"/>
                <w:color w:val="auto"/>
              </w:rPr>
            </w:pPr>
            <w:r>
              <w:rPr>
                <w:rFonts w:ascii="Arial" w:cs="Arial" w:eastAsia="Arial" w:hAnsi="Arial"/>
                <w:sz w:val="22"/>
                <w:szCs w:val="22"/>
                <w:color w:val="0B3C61"/>
              </w:rPr>
              <w:t>Standard &amp; Poor’s</w:t>
            </w:r>
          </w:p>
        </w:tc>
        <w:tc>
          <w:tcPr>
            <w:tcW w:w="1060" w:type="dxa"/>
            <w:vAlign w:val="bottom"/>
          </w:tcPr>
          <w:p>
            <w:pPr>
              <w:ind w:left="260"/>
              <w:spacing w:after="0"/>
              <w:rPr>
                <w:sz w:val="20"/>
                <w:szCs w:val="20"/>
                <w:color w:val="auto"/>
              </w:rPr>
            </w:pPr>
            <w:r>
              <w:rPr>
                <w:rFonts w:ascii="Arial" w:cs="Arial" w:eastAsia="Arial" w:hAnsi="Arial"/>
                <w:sz w:val="22"/>
                <w:szCs w:val="22"/>
                <w:color w:val="0B3C61"/>
                <w:w w:val="95"/>
              </w:rPr>
              <w:t>Moody’s</w:t>
            </w:r>
          </w:p>
        </w:tc>
      </w:tr>
      <w:tr>
        <w:trPr>
          <w:trHeight w:val="702"/>
        </w:trPr>
        <w:tc>
          <w:tcPr>
            <w:tcW w:w="3220" w:type="dxa"/>
            <w:vAlign w:val="bottom"/>
            <w:tcBorders>
              <w:left w:val="single" w:sz="8" w:color="0B3C61"/>
              <w:right w:val="single" w:sz="8" w:color="0B3C61"/>
            </w:tcBorders>
          </w:tcPr>
          <w:p>
            <w:pPr>
              <w:ind w:left="280"/>
              <w:spacing w:after="0"/>
              <w:rPr>
                <w:sz w:val="20"/>
                <w:szCs w:val="20"/>
                <w:color w:val="auto"/>
              </w:rPr>
            </w:pPr>
            <w:r>
              <w:rPr>
                <w:rFonts w:ascii="Arial" w:cs="Arial" w:eastAsia="Arial" w:hAnsi="Arial"/>
                <w:sz w:val="45"/>
                <w:szCs w:val="45"/>
                <w:color w:val="0B3C61"/>
              </w:rPr>
              <w:t>A+(Superior)</w:t>
            </w:r>
          </w:p>
        </w:tc>
        <w:tc>
          <w:tcPr>
            <w:tcW w:w="3220" w:type="dxa"/>
            <w:vAlign w:val="bottom"/>
            <w:tcBorders>
              <w:right w:val="single" w:sz="8" w:color="0B3C61"/>
            </w:tcBorders>
          </w:tcPr>
          <w:p>
            <w:pPr>
              <w:ind w:left="280"/>
              <w:spacing w:after="0"/>
              <w:rPr>
                <w:sz w:val="20"/>
                <w:szCs w:val="20"/>
                <w:color w:val="auto"/>
              </w:rPr>
            </w:pPr>
            <w:r>
              <w:rPr>
                <w:rFonts w:ascii="Arial" w:cs="Arial" w:eastAsia="Arial" w:hAnsi="Arial"/>
                <w:sz w:val="45"/>
                <w:szCs w:val="45"/>
                <w:color w:val="0B3C61"/>
              </w:rPr>
              <w:t>A+ (Strong)</w:t>
            </w:r>
          </w:p>
        </w:tc>
        <w:tc>
          <w:tcPr>
            <w:tcW w:w="1060" w:type="dxa"/>
            <w:vAlign w:val="bottom"/>
          </w:tcPr>
          <w:p>
            <w:pPr>
              <w:ind w:left="260"/>
              <w:spacing w:after="0"/>
              <w:rPr>
                <w:sz w:val="20"/>
                <w:szCs w:val="20"/>
                <w:color w:val="auto"/>
              </w:rPr>
            </w:pPr>
            <w:r>
              <w:rPr>
                <w:rFonts w:ascii="Arial" w:cs="Arial" w:eastAsia="Arial" w:hAnsi="Arial"/>
                <w:sz w:val="45"/>
                <w:szCs w:val="45"/>
                <w:color w:val="0B3C61"/>
              </w:rPr>
              <w:t>A1</w:t>
            </w:r>
          </w:p>
        </w:tc>
      </w:tr>
    </w:tbl>
    <w:p>
      <w:pPr>
        <w:spacing w:after="0" w:line="345" w:lineRule="exact"/>
        <w:rPr>
          <w:sz w:val="20"/>
          <w:szCs w:val="20"/>
          <w:color w:val="auto"/>
        </w:rPr>
      </w:pPr>
    </w:p>
    <w:p>
      <w:pPr>
        <w:ind w:left="280" w:right="700"/>
        <w:spacing w:after="0" w:line="259" w:lineRule="auto"/>
        <w:rPr>
          <w:sz w:val="20"/>
          <w:szCs w:val="20"/>
          <w:color w:val="auto"/>
        </w:rPr>
      </w:pPr>
      <w:r>
        <w:rPr>
          <w:rFonts w:ascii="Arial" w:cs="Arial" w:eastAsia="Arial" w:hAnsi="Arial"/>
          <w:sz w:val="45"/>
          <w:szCs w:val="45"/>
          <w:color w:val="0B3C61"/>
        </w:rPr>
        <w:t>Rated “A” (Excellent) or better by AM Best for more than 115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-636270</wp:posOffset>
            </wp:positionV>
            <wp:extent cx="8890" cy="7797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77978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color w:val="0B3C61"/>
        </w:rPr>
        <w:t>One of only four companies to achieve this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194945</wp:posOffset>
            </wp:positionV>
            <wp:extent cx="8229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3" w:lineRule="exact"/>
        <w:rPr>
          <w:sz w:val="20"/>
          <w:szCs w:val="20"/>
          <w:color w:val="auto"/>
        </w:rPr>
      </w:pPr>
    </w:p>
    <w:p>
      <w:pPr>
        <w:ind w:left="520" w:hanging="352"/>
        <w:spacing w:after="0" w:line="236" w:lineRule="auto"/>
        <w:tabs>
          <w:tab w:leader="none" w:pos="520" w:val="left"/>
        </w:tabs>
        <w:numPr>
          <w:ilvl w:val="0"/>
          <w:numId w:val="5"/>
        </w:numPr>
        <w:rPr>
          <w:rFonts w:ascii="Arial" w:cs="Arial" w:eastAsia="Arial" w:hAnsi="Arial"/>
          <w:sz w:val="13"/>
          <w:szCs w:val="13"/>
          <w:color w:val="54565B"/>
        </w:rPr>
      </w:pPr>
      <w:r>
        <w:rPr>
          <w:rFonts w:ascii="Arial" w:cs="Arial" w:eastAsia="Arial" w:hAnsi="Arial"/>
          <w:sz w:val="13"/>
          <w:szCs w:val="13"/>
          <w:color w:val="54565B"/>
        </w:rPr>
        <w:t>AFG’s net earnings attributable to shareholders, a GAAP financial measure, include certain items that may not be indicative of its ongoing core operations. AFG believes that its core net operating earnings, a non-GAAP financial measure, provides management, financial analysts, ratings agencies and investors with an understanding of the results from the ongoing operations of the Company by excluding net realized gains and losses and other items that are not necessarily indicative of operating trends. AFG’s management uses core net operating earnings to evaluate financial performance against historical results because it believes this provides a more comparable measure of its continuing business. A reconciliation of net earnings attributable to shareholders to core net operating earnings can be found under “Management’s Discussion and Analysis of Financial Condition and Results of Operations — Results of Operations — General” on page 49 of AFG’s Annual Report on Form 10-K for the year ended December 31, 2025.</w:t>
      </w:r>
    </w:p>
    <w:p>
      <w:pPr>
        <w:spacing w:after="0" w:line="10" w:lineRule="exact"/>
        <w:rPr>
          <w:rFonts w:ascii="Arial" w:cs="Arial" w:eastAsia="Arial" w:hAnsi="Arial"/>
          <w:sz w:val="13"/>
          <w:szCs w:val="13"/>
          <w:color w:val="54565B"/>
        </w:rPr>
      </w:pPr>
    </w:p>
    <w:p>
      <w:pPr>
        <w:ind w:left="520" w:hanging="352"/>
        <w:spacing w:after="0"/>
        <w:tabs>
          <w:tab w:leader="none" w:pos="520" w:val="left"/>
        </w:tabs>
        <w:numPr>
          <w:ilvl w:val="0"/>
          <w:numId w:val="5"/>
        </w:numPr>
        <w:rPr>
          <w:rFonts w:ascii="Arial" w:cs="Arial" w:eastAsia="Arial" w:hAnsi="Arial"/>
          <w:sz w:val="12"/>
          <w:szCs w:val="12"/>
          <w:color w:val="54565B"/>
        </w:rPr>
      </w:pPr>
      <w:r>
        <w:rPr>
          <w:rFonts w:ascii="Arial" w:cs="Arial" w:eastAsia="Arial" w:hAnsi="Arial"/>
          <w:sz w:val="12"/>
          <w:szCs w:val="12"/>
          <w:color w:val="54565B"/>
        </w:rPr>
        <w:t>Based on core net operating earnings and using a five-quarter average of ending shareholders’ equity excluding accumulated other comprehensive income.</w:t>
      </w:r>
    </w:p>
    <w:p>
      <w:pPr>
        <w:spacing w:after="0" w:line="37" w:lineRule="exact"/>
        <w:rPr>
          <w:rFonts w:ascii="Arial" w:cs="Arial" w:eastAsia="Arial" w:hAnsi="Arial"/>
          <w:sz w:val="12"/>
          <w:szCs w:val="12"/>
          <w:color w:val="54565B"/>
        </w:rPr>
      </w:pPr>
    </w:p>
    <w:p>
      <w:pPr>
        <w:ind w:left="520" w:hanging="352"/>
        <w:spacing w:after="0"/>
        <w:tabs>
          <w:tab w:leader="none" w:pos="520" w:val="left"/>
        </w:tabs>
        <w:numPr>
          <w:ilvl w:val="0"/>
          <w:numId w:val="5"/>
        </w:numPr>
        <w:rPr>
          <w:rFonts w:ascii="Arial" w:cs="Arial" w:eastAsia="Arial" w:hAnsi="Arial"/>
          <w:sz w:val="13"/>
          <w:szCs w:val="13"/>
          <w:color w:val="54565B"/>
        </w:rPr>
      </w:pPr>
      <w:r>
        <w:rPr>
          <w:rFonts w:ascii="Arial" w:cs="Arial" w:eastAsia="Arial" w:hAnsi="Arial"/>
          <w:sz w:val="13"/>
          <w:szCs w:val="13"/>
          <w:color w:val="54565B"/>
        </w:rPr>
        <w:t>Commercial lines industry data based on ©2026 AM Best Company’s Review &amp; Preview Reports.</w:t>
      </w:r>
    </w:p>
    <w:p>
      <w:pPr>
        <w:spacing w:after="0" w:line="26" w:lineRule="exact"/>
        <w:rPr>
          <w:rFonts w:ascii="Arial" w:cs="Arial" w:eastAsia="Arial" w:hAnsi="Arial"/>
          <w:sz w:val="13"/>
          <w:szCs w:val="13"/>
          <w:color w:val="54565B"/>
        </w:rPr>
      </w:pPr>
    </w:p>
    <w:p>
      <w:pPr>
        <w:ind w:left="520" w:hanging="352"/>
        <w:spacing w:after="0"/>
        <w:tabs>
          <w:tab w:leader="none" w:pos="520" w:val="left"/>
        </w:tabs>
        <w:numPr>
          <w:ilvl w:val="0"/>
          <w:numId w:val="5"/>
        </w:numPr>
        <w:rPr>
          <w:rFonts w:ascii="Arial" w:cs="Arial" w:eastAsia="Arial" w:hAnsi="Arial"/>
          <w:sz w:val="13"/>
          <w:szCs w:val="13"/>
          <w:color w:val="54565B"/>
        </w:rPr>
      </w:pPr>
      <w:r>
        <w:rPr>
          <w:rFonts w:ascii="Arial" w:cs="Arial" w:eastAsia="Arial" w:hAnsi="Arial"/>
          <w:sz w:val="13"/>
          <w:szCs w:val="13"/>
          <w:color w:val="54565B"/>
        </w:rPr>
        <w:t>Ratings of the Company’s U.S.-based property and casualty insurance companies, where rated.</w:t>
      </w: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4 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222885</wp:posOffset>
            </wp:positionV>
            <wp:extent cx="59664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50"/>
          <w:szCs w:val="50"/>
          <w:color w:val="0B3C61"/>
        </w:rPr>
        <w:t>Corporate Governance Highlights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0B3C61"/>
        </w:rPr>
        <w:t>CORPORATE GOVERNANCE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53340</wp:posOffset>
            </wp:positionV>
            <wp:extent cx="5966460" cy="11398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6460" cy="113982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240"/>
        <w:spacing w:after="0"/>
        <w:rPr>
          <w:sz w:val="20"/>
          <w:szCs w:val="20"/>
          <w:color w:val="auto"/>
        </w:rPr>
      </w:pPr>
      <w:r>
        <w:rPr>
          <w:rFonts w:ascii="Arial" w:cs="Arial" w:eastAsia="Arial" w:hAnsi="Arial"/>
          <w:sz w:val="25"/>
          <w:szCs w:val="25"/>
          <w:color w:val="0B3C61"/>
        </w:rPr>
        <w:t>Board</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25"/>
          <w:szCs w:val="25"/>
          <w:color w:val="0B3C61"/>
        </w:rPr>
        <w:t>Independence</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25"/>
          <w:szCs w:val="25"/>
          <w:color w:val="0B3C61"/>
        </w:rPr>
        <w:t>and Leadership</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40"/>
        <w:spacing w:after="0"/>
        <w:rPr>
          <w:sz w:val="20"/>
          <w:szCs w:val="20"/>
          <w:color w:val="auto"/>
        </w:rPr>
      </w:pPr>
      <w:r>
        <w:rPr>
          <w:rFonts w:ascii="Arial" w:cs="Arial" w:eastAsia="Arial" w:hAnsi="Arial"/>
          <w:sz w:val="25"/>
          <w:szCs w:val="25"/>
          <w:color w:val="0B3C61"/>
        </w:rPr>
        <w:t>Shareholder</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25"/>
          <w:szCs w:val="25"/>
          <w:color w:val="0B3C61"/>
        </w:rPr>
        <w:t>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40"/>
        <w:spacing w:after="0"/>
        <w:rPr>
          <w:sz w:val="20"/>
          <w:szCs w:val="20"/>
          <w:color w:val="auto"/>
        </w:rPr>
      </w:pPr>
      <w:r>
        <w:rPr>
          <w:rFonts w:ascii="Arial" w:cs="Arial" w:eastAsia="Arial" w:hAnsi="Arial"/>
          <w:sz w:val="25"/>
          <w:szCs w:val="25"/>
          <w:color w:val="0B3C61"/>
        </w:rPr>
        <w:t>Board</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25"/>
          <w:szCs w:val="25"/>
          <w:color w:val="0B3C61"/>
        </w:rPr>
        <w:t>Effectiveness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right="300"/>
        <w:spacing w:after="0" w:line="285" w:lineRule="auto"/>
        <w:rPr>
          <w:sz w:val="20"/>
          <w:szCs w:val="20"/>
          <w:color w:val="auto"/>
        </w:rPr>
      </w:pPr>
      <w:r>
        <w:rPr>
          <w:rFonts w:ascii="Arial" w:cs="Arial" w:eastAsia="Arial" w:hAnsi="Arial"/>
          <w:sz w:val="14"/>
          <w:szCs w:val="14"/>
          <w:color w:val="54565B"/>
        </w:rPr>
        <w:t>All key board committees (Audit, Compensation and Corporate Governance) are chaired by and entirely comprised of independent directors.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54565B"/>
        </w:rPr>
        <w:t>Lead independent director empowered with broadly defined authorities and responsibilities.</w:t>
      </w:r>
    </w:p>
    <w:p>
      <w:pPr>
        <w:spacing w:after="0" w:line="82" w:lineRule="exact"/>
        <w:rPr>
          <w:sz w:val="20"/>
          <w:szCs w:val="20"/>
          <w:color w:val="auto"/>
        </w:rPr>
      </w:pPr>
    </w:p>
    <w:p>
      <w:pPr>
        <w:ind w:right="600"/>
        <w:spacing w:after="0" w:line="285" w:lineRule="auto"/>
        <w:rPr>
          <w:sz w:val="20"/>
          <w:szCs w:val="20"/>
          <w:color w:val="auto"/>
        </w:rPr>
      </w:pPr>
      <w:r>
        <w:rPr>
          <w:rFonts w:ascii="Arial" w:cs="Arial" w:eastAsia="Arial" w:hAnsi="Arial"/>
          <w:sz w:val="14"/>
          <w:szCs w:val="14"/>
          <w:color w:val="54565B"/>
        </w:rPr>
        <w:t>Regular (at least quarterly) executive sessions of independent directors chaired by our lead independent director.</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54565B"/>
        </w:rPr>
        <w:t>Regular (at least twice annually) independent director executive sessions with the Co-CEOs.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54565B"/>
        </w:rPr>
        <w:t>Strong board oversight of enterprise risk.</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54565B"/>
        </w:rPr>
        <w:t>Individual directors required to tender resignation if they fail to receive a majority of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-69850</wp:posOffset>
            </wp:positionV>
            <wp:extent cx="6858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5969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54565B"/>
        </w:rPr>
        <w:t>Shareholders have a right to call a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-69850</wp:posOffset>
            </wp:positionV>
            <wp:extent cx="6858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5969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54565B"/>
        </w:rPr>
        <w:t>No poison pill.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-69850</wp:posOffset>
            </wp:positionV>
            <wp:extent cx="5966460" cy="1654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6460" cy="1654175"/>
                    </a:xfrm>
                    <a:prstGeom prst="rect">
                      <a:avLst/>
                    </a:prstGeom>
                    <a:noFill/>
                  </pic:spPr>
                </pic:pic>
              </a:graphicData>
            </a:graphic>
          </wp:anchor>
        </w:drawing>
      </w:r>
    </w:p>
    <w:p>
      <w:pPr>
        <w:spacing w:after="0" w:line="292" w:lineRule="exact"/>
        <w:rPr>
          <w:sz w:val="20"/>
          <w:szCs w:val="20"/>
          <w:color w:val="auto"/>
        </w:rPr>
      </w:pPr>
    </w:p>
    <w:p>
      <w:pPr>
        <w:ind w:right="220"/>
        <w:spacing w:after="0" w:line="256" w:lineRule="auto"/>
        <w:rPr>
          <w:sz w:val="20"/>
          <w:szCs w:val="20"/>
          <w:color w:val="auto"/>
        </w:rPr>
      </w:pPr>
      <w:r>
        <w:rPr>
          <w:rFonts w:ascii="Arial" w:cs="Arial" w:eastAsia="Arial" w:hAnsi="Arial"/>
          <w:sz w:val="14"/>
          <w:szCs w:val="14"/>
          <w:color w:val="54565B"/>
        </w:rPr>
        <w:t>Our Corporate Governance guidelines provide that we will consider Board candidates with a broad range of expertise, experience and qualifications, including candidates from both corporate positions and non-traditional environments such as government, academia and nonprofit organizations.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54565B"/>
        </w:rPr>
        <w:t>Our Board consists of directors with a wide variety of skills, experience and attributes.</w:t>
      </w:r>
    </w:p>
    <w:p>
      <w:pPr>
        <w:spacing w:after="0" w:line="82" w:lineRule="exact"/>
        <w:rPr>
          <w:sz w:val="20"/>
          <w:szCs w:val="20"/>
          <w:color w:val="auto"/>
        </w:rPr>
      </w:pPr>
    </w:p>
    <w:p>
      <w:pPr>
        <w:ind w:right="480"/>
        <w:spacing w:after="0" w:line="285" w:lineRule="auto"/>
        <w:rPr>
          <w:sz w:val="20"/>
          <w:szCs w:val="20"/>
          <w:color w:val="auto"/>
        </w:rPr>
      </w:pPr>
      <w:r>
        <w:rPr>
          <w:rFonts w:ascii="Arial" w:cs="Arial" w:eastAsia="Arial" w:hAnsi="Arial"/>
          <w:sz w:val="14"/>
          <w:szCs w:val="14"/>
          <w:color w:val="54565B"/>
        </w:rPr>
        <w:t>Our Board and Board committees undertake a robust annual self-evaluation conducted by an outside third-party.</w:t>
      </w:r>
    </w:p>
    <w:p>
      <w:pPr>
        <w:spacing w:after="0" w:line="50" w:lineRule="exact"/>
        <w:rPr>
          <w:sz w:val="20"/>
          <w:szCs w:val="20"/>
          <w:color w:val="auto"/>
        </w:rPr>
      </w:pPr>
    </w:p>
    <w:p>
      <w:pPr>
        <w:ind w:right="460"/>
        <w:spacing w:after="0" w:line="285" w:lineRule="auto"/>
        <w:rPr>
          <w:sz w:val="20"/>
          <w:szCs w:val="20"/>
          <w:color w:val="auto"/>
        </w:rPr>
      </w:pPr>
      <w:r>
        <w:rPr>
          <w:rFonts w:ascii="Arial" w:cs="Arial" w:eastAsia="Arial" w:hAnsi="Arial"/>
          <w:sz w:val="14"/>
          <w:szCs w:val="14"/>
          <w:color w:val="54565B"/>
        </w:rPr>
        <w:t>Comprehensive director orientation program for new directors; existing directors typically also attend as opportunity to deepen knowledge and enhance engagement.</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54565B"/>
        </w:rPr>
        <w:t>Ongoing Board education sessions on varied and timely topics.</w:t>
      </w:r>
    </w:p>
    <w:p>
      <w:pPr>
        <w:spacing w:after="0" w:line="312" w:lineRule="exact"/>
        <w:rPr>
          <w:sz w:val="20"/>
          <w:szCs w:val="20"/>
          <w:color w:val="auto"/>
        </w:rPr>
      </w:pPr>
    </w:p>
    <w:p>
      <w:pPr>
        <w:ind w:right="520"/>
        <w:spacing w:after="0" w:line="259" w:lineRule="auto"/>
        <w:rPr>
          <w:sz w:val="20"/>
          <w:szCs w:val="20"/>
          <w:color w:val="auto"/>
        </w:rPr>
      </w:pPr>
      <w:r>
        <w:rPr>
          <w:rFonts w:ascii="Arial" w:cs="Arial" w:eastAsia="Arial" w:hAnsi="Arial"/>
          <w:sz w:val="14"/>
          <w:szCs w:val="14"/>
          <w:color w:val="54565B"/>
        </w:rPr>
        <w:t>Independent directors’ stock ownership guidelines require owning Company shares having a value of at least three times their annual cash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-188595</wp:posOffset>
            </wp:positionV>
            <wp:extent cx="6858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596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280" w:space="720"/>
            <w:col w:w="6400"/>
          </w:cols>
          <w:pgMar w:left="1240" w:top="114" w:right="1259" w:bottom="1440" w:gutter="0" w:footer="0" w:header="0"/>
          <w:type w:val="continuous"/>
        </w:sectPr>
      </w:pPr>
    </w:p>
    <w:p>
      <w:pPr>
        <w:ind w:left="240"/>
        <w:spacing w:after="0"/>
        <w:rPr>
          <w:sz w:val="20"/>
          <w:szCs w:val="20"/>
          <w:color w:val="auto"/>
        </w:rPr>
      </w:pPr>
      <w:r>
        <w:rPr>
          <w:rFonts w:ascii="Arial" w:cs="Arial" w:eastAsia="Arial" w:hAnsi="Arial"/>
          <w:sz w:val="25"/>
          <w:szCs w:val="25"/>
          <w:color w:val="0B3C61"/>
        </w:rPr>
        <w:t>Director and</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25"/>
          <w:szCs w:val="25"/>
          <w:color w:val="0B3C61"/>
        </w:rPr>
        <w:t>Officer Stock</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25"/>
          <w:szCs w:val="25"/>
          <w:color w:val="0B3C61"/>
        </w:rPr>
        <w:t>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40" w:right="400"/>
        <w:spacing w:after="0" w:line="285" w:lineRule="auto"/>
        <w:rPr>
          <w:sz w:val="20"/>
          <w:szCs w:val="20"/>
          <w:color w:val="auto"/>
        </w:rPr>
      </w:pPr>
      <w:r>
        <w:rPr>
          <w:rFonts w:ascii="Arial" w:cs="Arial" w:eastAsia="Arial" w:hAnsi="Arial"/>
          <w:sz w:val="25"/>
          <w:szCs w:val="25"/>
          <w:color w:val="0B3C61"/>
        </w:rPr>
        <w:t>Compensation Governance</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54565B"/>
        </w:rPr>
        <w:t>Each Co-CEO is required to own five times his base salary in Company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-69850</wp:posOffset>
            </wp:positionV>
            <wp:extent cx="6858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59690"/>
                    </a:xfrm>
                    <a:prstGeom prst="rect">
                      <a:avLst/>
                    </a:prstGeom>
                    <a:noFill/>
                  </pic:spPr>
                </pic:pic>
              </a:graphicData>
            </a:graphic>
          </wp:anchor>
        </w:drawing>
      </w:r>
    </w:p>
    <w:p>
      <w:pPr>
        <w:spacing w:after="0" w:line="62" w:lineRule="exact"/>
        <w:rPr>
          <w:sz w:val="20"/>
          <w:szCs w:val="20"/>
          <w:color w:val="auto"/>
        </w:rPr>
      </w:pPr>
    </w:p>
    <w:p>
      <w:pPr>
        <w:ind w:right="220"/>
        <w:spacing w:after="0" w:line="285" w:lineRule="auto"/>
        <w:rPr>
          <w:sz w:val="20"/>
          <w:szCs w:val="20"/>
          <w:color w:val="auto"/>
        </w:rPr>
      </w:pPr>
      <w:r>
        <w:rPr>
          <w:rFonts w:ascii="Arial" w:cs="Arial" w:eastAsia="Arial" w:hAnsi="Arial"/>
          <w:sz w:val="14"/>
          <w:szCs w:val="14"/>
          <w:color w:val="54565B"/>
        </w:rPr>
        <w:t>All other named executive officers, as well as Company senior management, must own Company shares having a value in excess of one times his or her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-210820</wp:posOffset>
            </wp:positionV>
            <wp:extent cx="6858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59690"/>
                    </a:xfrm>
                    <a:prstGeom prst="rect">
                      <a:avLst/>
                    </a:prstGeom>
                    <a:noFill/>
                  </pic:spPr>
                </pic:pic>
              </a:graphicData>
            </a:graphic>
          </wp:anchor>
        </w:drawing>
      </w:r>
    </w:p>
    <w:p>
      <w:pPr>
        <w:spacing w:after="0" w:line="30" w:lineRule="exact"/>
        <w:rPr>
          <w:sz w:val="20"/>
          <w:szCs w:val="20"/>
          <w:color w:val="auto"/>
        </w:rPr>
      </w:pPr>
    </w:p>
    <w:p>
      <w:pPr>
        <w:ind w:right="320"/>
        <w:spacing w:after="0" w:line="263" w:lineRule="auto"/>
        <w:rPr>
          <w:sz w:val="20"/>
          <w:szCs w:val="20"/>
          <w:color w:val="auto"/>
        </w:rPr>
      </w:pPr>
      <w:r>
        <w:rPr>
          <w:rFonts w:ascii="Arial" w:cs="Arial" w:eastAsia="Arial" w:hAnsi="Arial"/>
          <w:sz w:val="14"/>
          <w:szCs w:val="14"/>
          <w:color w:val="54565B"/>
        </w:rPr>
        <w:t>Our executive officers and directors as a group own a substantial percentage of our outstanding common shares, which directly aligns the interests of our executive officers and directors with those of our other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-304165</wp:posOffset>
            </wp:positionV>
            <wp:extent cx="68580" cy="603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6032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64135</wp:posOffset>
            </wp:positionV>
            <wp:extent cx="5966460" cy="2117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6460" cy="2117090"/>
                    </a:xfrm>
                    <a:prstGeom prst="rect">
                      <a:avLst/>
                    </a:prstGeom>
                    <a:noFill/>
                  </pic:spPr>
                </pic:pic>
              </a:graphicData>
            </a:graphic>
          </wp:anchor>
        </w:drawing>
      </w:r>
    </w:p>
    <w:p>
      <w:pPr>
        <w:spacing w:after="0" w:line="247" w:lineRule="exact"/>
        <w:rPr>
          <w:sz w:val="20"/>
          <w:szCs w:val="20"/>
          <w:color w:val="auto"/>
        </w:rPr>
      </w:pPr>
    </w:p>
    <w:p>
      <w:pPr>
        <w:ind w:right="220"/>
        <w:spacing w:after="0" w:line="285" w:lineRule="auto"/>
        <w:rPr>
          <w:sz w:val="20"/>
          <w:szCs w:val="20"/>
          <w:color w:val="auto"/>
        </w:rPr>
      </w:pPr>
      <w:r>
        <w:rPr>
          <w:rFonts w:ascii="Arial" w:cs="Arial" w:eastAsia="Arial" w:hAnsi="Arial"/>
          <w:sz w:val="14"/>
          <w:szCs w:val="14"/>
          <w:color w:val="54565B"/>
        </w:rPr>
        <w:t>Compensation Committee consisting entirely of independent directors oversees all aspects of our named executive officer compensation program.</w:t>
      </w:r>
    </w:p>
    <w:p>
      <w:pPr>
        <w:spacing w:after="0" w:line="23" w:lineRule="exact"/>
        <w:rPr>
          <w:sz w:val="20"/>
          <w:szCs w:val="20"/>
          <w:color w:val="auto"/>
        </w:rPr>
      </w:pPr>
    </w:p>
    <w:p>
      <w:pPr>
        <w:ind w:right="220"/>
        <w:spacing w:after="0" w:line="285" w:lineRule="auto"/>
        <w:rPr>
          <w:sz w:val="20"/>
          <w:szCs w:val="20"/>
          <w:color w:val="auto"/>
        </w:rPr>
      </w:pPr>
      <w:r>
        <w:rPr>
          <w:rFonts w:ascii="Arial" w:cs="Arial" w:eastAsia="Arial" w:hAnsi="Arial"/>
          <w:sz w:val="14"/>
          <w:szCs w:val="14"/>
          <w:color w:val="54565B"/>
        </w:rPr>
        <w:t>Periodic engagement of independent compensation consultant to advise regarding compensation program structure.</w:t>
      </w:r>
    </w:p>
    <w:p>
      <w:pPr>
        <w:spacing w:after="0" w:line="50" w:lineRule="exact"/>
        <w:rPr>
          <w:sz w:val="20"/>
          <w:szCs w:val="20"/>
          <w:color w:val="auto"/>
        </w:rPr>
      </w:pPr>
    </w:p>
    <w:p>
      <w:pPr>
        <w:ind w:right="620"/>
        <w:spacing w:after="0" w:line="285" w:lineRule="auto"/>
        <w:rPr>
          <w:sz w:val="20"/>
          <w:szCs w:val="20"/>
          <w:color w:val="auto"/>
        </w:rPr>
      </w:pPr>
      <w:r>
        <w:rPr>
          <w:rFonts w:ascii="Arial" w:cs="Arial" w:eastAsia="Arial" w:hAnsi="Arial"/>
          <w:sz w:val="14"/>
          <w:szCs w:val="14"/>
          <w:color w:val="54565B"/>
        </w:rPr>
        <w:t>Performance-based compensation is a majority of Co-CEOs’ potential compensation and a significant portion of our other named executive officers’ compensation.</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54565B"/>
        </w:rPr>
        <w:t>Annual shareholder advisory vote to approve named executive officer compensation.</w:t>
      </w:r>
    </w:p>
    <w:p>
      <w:pPr>
        <w:spacing w:after="0" w:line="82" w:lineRule="exact"/>
        <w:rPr>
          <w:sz w:val="20"/>
          <w:szCs w:val="20"/>
          <w:color w:val="auto"/>
        </w:rPr>
      </w:pPr>
    </w:p>
    <w:p>
      <w:pPr>
        <w:ind w:right="200"/>
        <w:spacing w:after="0" w:line="285" w:lineRule="auto"/>
        <w:rPr>
          <w:sz w:val="20"/>
          <w:szCs w:val="20"/>
          <w:color w:val="auto"/>
        </w:rPr>
      </w:pPr>
      <w:r>
        <w:rPr>
          <w:rFonts w:ascii="Arial" w:cs="Arial" w:eastAsia="Arial" w:hAnsi="Arial"/>
          <w:sz w:val="14"/>
          <w:szCs w:val="14"/>
          <w:color w:val="54565B"/>
        </w:rPr>
        <w:t>No employment agreements, severance agreements or change-in-control agreements with any of our executive officers.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54565B"/>
        </w:rPr>
        <w:t>Double-trigger vesting provisions for all equity awards following a change of control.</w:t>
      </w:r>
    </w:p>
    <w:p>
      <w:pPr>
        <w:spacing w:after="0" w:line="82" w:lineRule="exact"/>
        <w:rPr>
          <w:sz w:val="20"/>
          <w:szCs w:val="20"/>
          <w:color w:val="auto"/>
        </w:rPr>
      </w:pPr>
    </w:p>
    <w:p>
      <w:pPr>
        <w:ind w:right="280"/>
        <w:spacing w:after="0" w:line="285" w:lineRule="auto"/>
        <w:rPr>
          <w:sz w:val="20"/>
          <w:szCs w:val="20"/>
          <w:color w:val="auto"/>
        </w:rPr>
      </w:pPr>
      <w:r>
        <w:rPr>
          <w:rFonts w:ascii="Arial" w:cs="Arial" w:eastAsia="Arial" w:hAnsi="Arial"/>
          <w:sz w:val="14"/>
          <w:szCs w:val="14"/>
          <w:color w:val="54565B"/>
        </w:rPr>
        <w:t>Executive Clawback Policy for executive officers and recoupment policy for performance awards applicable to senior management employees beyond the executive officers.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54565B"/>
        </w:rPr>
        <w:t>The Corporate Governance Committee annually reviews director compensation.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54565B"/>
        </w:rPr>
        <w:t>Annual equity grant to directors is a substantial portion of their annual compensation.</w:t>
      </w:r>
    </w:p>
    <w:p>
      <w:pPr>
        <w:spacing w:after="0" w:line="200" w:lineRule="exact"/>
        <w:rPr>
          <w:sz w:val="20"/>
          <w:szCs w:val="20"/>
          <w:color w:val="auto"/>
        </w:rPr>
      </w:pPr>
    </w:p>
    <w:p>
      <w:pPr>
        <w:sectPr>
          <w:pgSz w:w="11900" w:h="16838" w:orient="portrait"/>
          <w:cols w:equalWidth="0" w:num="2">
            <w:col w:w="2280" w:space="720"/>
            <w:col w:w="6400"/>
          </w:cols>
          <w:pgMar w:left="1240" w:top="114" w:right="1259" w:bottom="1440" w:gutter="0" w:footer="0" w:header="0"/>
          <w:type w:val="continuous"/>
        </w:sectPr>
      </w:pPr>
    </w:p>
    <w:p>
      <w:pPr>
        <w:spacing w:after="0" w:line="251" w:lineRule="exact"/>
        <w:rPr>
          <w:sz w:val="20"/>
          <w:szCs w:val="20"/>
          <w:color w:val="auto"/>
        </w:rPr>
      </w:pPr>
    </w:p>
    <w:p>
      <w:pPr>
        <w:ind w:left="6440"/>
        <w:spacing w:after="0"/>
        <w:rPr>
          <w:sz w:val="20"/>
          <w:szCs w:val="20"/>
          <w:color w:val="auto"/>
        </w:rPr>
      </w:pPr>
      <w:r>
        <w:rPr>
          <w:rFonts w:ascii="Arial" w:cs="Arial" w:eastAsia="Arial" w:hAnsi="Arial"/>
          <w:sz w:val="12"/>
          <w:szCs w:val="12"/>
          <w:color w:val="0B3C61"/>
        </w:rPr>
        <w:t xml:space="preserve">2026 Proxy Statement | American Financial Group   </w:t>
      </w:r>
      <w:r>
        <w:rPr>
          <w:rFonts w:ascii="Arial" w:cs="Arial" w:eastAsia="Arial" w:hAnsi="Arial"/>
          <w:sz w:val="12"/>
          <w:szCs w:val="12"/>
          <w:b w:val="1"/>
          <w:bCs w:val="1"/>
          <w:color w:val="EA1D2D"/>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163830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40"/>
        <w:spacing w:after="0"/>
        <w:rPr>
          <w:sz w:val="20"/>
          <w:szCs w:val="20"/>
          <w:color w:val="auto"/>
        </w:rPr>
      </w:pPr>
      <w:r>
        <w:rPr>
          <w:rFonts w:ascii="Arial" w:cs="Arial" w:eastAsia="Arial" w:hAnsi="Arial"/>
          <w:sz w:val="25"/>
          <w:szCs w:val="25"/>
          <w:color w:val="0B3C61"/>
        </w:rPr>
        <w:t>Ethics and</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25"/>
          <w:szCs w:val="25"/>
          <w:color w:val="0B3C61"/>
        </w:rPr>
        <w:t>Corporate</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25"/>
          <w:szCs w:val="25"/>
          <w:color w:val="0B3C61"/>
        </w:rPr>
        <w:t>Responsibilities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79"/>
        <w:spacing w:after="0" w:line="285" w:lineRule="auto"/>
        <w:rPr>
          <w:sz w:val="20"/>
          <w:szCs w:val="20"/>
          <w:color w:val="auto"/>
        </w:rPr>
      </w:pPr>
      <w:r>
        <w:rPr>
          <w:rFonts w:ascii="Arial" w:cs="Arial" w:eastAsia="Arial" w:hAnsi="Arial"/>
          <w:sz w:val="14"/>
          <w:szCs w:val="14"/>
          <w:color w:val="54565B"/>
        </w:rPr>
        <w:t>Code of Ethics and Business Conduct, which applies to all officers, employees and directors, is rooted in our values and is designed to promote the highest standards of ethical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-219075</wp:posOffset>
            </wp:positionV>
            <wp:extent cx="6858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59690"/>
                    </a:xfrm>
                    <a:prstGeom prst="rect">
                      <a:avLst/>
                    </a:prstGeom>
                    <a:noFill/>
                  </pic:spPr>
                </pic:pic>
              </a:graphicData>
            </a:graphic>
          </wp:anchor>
        </w:drawing>
      </w:r>
    </w:p>
    <w:p>
      <w:pPr>
        <w:spacing w:after="0" w:line="3" w:lineRule="exact"/>
        <w:rPr>
          <w:sz w:val="20"/>
          <w:szCs w:val="20"/>
          <w:color w:val="auto"/>
        </w:rPr>
      </w:pPr>
    </w:p>
    <w:p>
      <w:pPr>
        <w:ind w:right="339"/>
        <w:spacing w:after="0" w:line="285" w:lineRule="auto"/>
        <w:rPr>
          <w:sz w:val="20"/>
          <w:szCs w:val="20"/>
          <w:color w:val="auto"/>
        </w:rPr>
      </w:pPr>
      <w:r>
        <w:rPr>
          <w:rFonts w:ascii="Arial" w:cs="Arial" w:eastAsia="Arial" w:hAnsi="Arial"/>
          <w:sz w:val="14"/>
          <w:szCs w:val="14"/>
          <w:color w:val="54565B"/>
        </w:rPr>
        <w:t>Active and robust ethics and compliance program, which includes required regular employee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-219075</wp:posOffset>
            </wp:positionV>
            <wp:extent cx="6858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596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54565B"/>
        </w:rPr>
        <w:t>All employees complete annual conflict of interest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-78740</wp:posOffset>
            </wp:positionV>
            <wp:extent cx="6858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59690"/>
                    </a:xfrm>
                    <a:prstGeom prst="rect">
                      <a:avLst/>
                    </a:prstGeom>
                    <a:noFill/>
                  </pic:spPr>
                </pic:pic>
              </a:graphicData>
            </a:graphic>
          </wp:anchor>
        </w:drawing>
      </w:r>
    </w:p>
    <w:p>
      <w:pPr>
        <w:spacing w:after="0" w:line="62" w:lineRule="exact"/>
        <w:rPr>
          <w:sz w:val="20"/>
          <w:szCs w:val="20"/>
          <w:color w:val="auto"/>
        </w:rPr>
      </w:pPr>
    </w:p>
    <w:p>
      <w:pPr>
        <w:ind w:right="299"/>
        <w:spacing w:after="0" w:line="285" w:lineRule="auto"/>
        <w:rPr>
          <w:sz w:val="20"/>
          <w:szCs w:val="20"/>
          <w:color w:val="auto"/>
        </w:rPr>
      </w:pPr>
      <w:r>
        <w:rPr>
          <w:rFonts w:ascii="Arial" w:cs="Arial" w:eastAsia="Arial" w:hAnsi="Arial"/>
          <w:sz w:val="14"/>
          <w:szCs w:val="14"/>
          <w:color w:val="54565B"/>
        </w:rPr>
        <w:t>​Required Code of Ethics and Business Conduct training for and certification by all employees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-219075</wp:posOffset>
            </wp:positionV>
            <wp:extent cx="6858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59690"/>
                    </a:xfrm>
                    <a:prstGeom prst="rect">
                      <a:avLst/>
                    </a:prstGeom>
                    <a:noFill/>
                  </pic:spPr>
                </pic:pic>
              </a:graphicData>
            </a:graphic>
          </wp:anchor>
        </w:drawing>
      </w:r>
    </w:p>
    <w:p>
      <w:pPr>
        <w:spacing w:after="0" w:line="30" w:lineRule="exact"/>
        <w:rPr>
          <w:sz w:val="20"/>
          <w:szCs w:val="20"/>
          <w:color w:val="auto"/>
        </w:rPr>
      </w:pPr>
    </w:p>
    <w:p>
      <w:pPr>
        <w:ind w:right="79"/>
        <w:spacing w:after="0" w:line="285" w:lineRule="auto"/>
        <w:rPr>
          <w:sz w:val="20"/>
          <w:szCs w:val="20"/>
          <w:color w:val="auto"/>
        </w:rPr>
      </w:pPr>
      <w:r>
        <w:rPr>
          <w:rFonts w:ascii="Arial" w:cs="Arial" w:eastAsia="Arial" w:hAnsi="Arial"/>
          <w:sz w:val="14"/>
          <w:szCs w:val="14"/>
          <w:color w:val="54565B"/>
        </w:rPr>
        <w:t>Committed to corporate responsibility and annual Corporate Social Responsibility Report and Sustainability Accounting Standards Board (SASB) Report, which are accessible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54610</wp:posOffset>
            </wp:positionV>
            <wp:extent cx="59664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-219075</wp:posOffset>
            </wp:positionV>
            <wp:extent cx="6858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59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720"/>
            <w:col w:w="6219"/>
          </w:cols>
          <w:pgMar w:left="1240" w:top="114" w:right="1440" w:bottom="1440" w:gutter="0" w:footer="0" w:header="0"/>
          <w:type w:val="continuous"/>
        </w:sectPr>
      </w:pP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b w:val="1"/>
          <w:bCs w:val="1"/>
          <w:color w:val="EA1D2D"/>
        </w:rPr>
        <w:t xml:space="preserve">6   </w:t>
      </w:r>
      <w:r>
        <w:rPr>
          <w:rFonts w:ascii="Arial" w:cs="Arial" w:eastAsia="Arial" w:hAnsi="Arial"/>
          <w:sz w:val="12"/>
          <w:szCs w:val="12"/>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154940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OVERVIEW OF 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50"/>
          <w:szCs w:val="50"/>
          <w:color w:val="0B3C61"/>
        </w:rPr>
        <w:t>Overview of Board Nominees</w:t>
      </w: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color w:val="0B3C61"/>
        </w:rPr>
        <w:t>Board Nominees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80645</wp:posOffset>
            </wp:positionV>
            <wp:extent cx="5966460" cy="52120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6460" cy="5212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54565B"/>
        </w:rPr>
        <w:t xml:space="preserve">  </w:t>
      </w:r>
    </w:p>
    <w:p>
      <w:pPr>
        <w:spacing w:after="0" w:line="325" w:lineRule="exact"/>
        <w:rPr>
          <w:sz w:val="20"/>
          <w:szCs w:val="20"/>
          <w:color w:val="auto"/>
        </w:rPr>
      </w:pPr>
    </w:p>
    <w:p>
      <w:pPr>
        <w:ind w:left="6440"/>
        <w:spacing w:after="0"/>
        <w:rPr>
          <w:sz w:val="20"/>
          <w:szCs w:val="20"/>
          <w:color w:val="auto"/>
        </w:rPr>
      </w:pPr>
      <w:r>
        <w:rPr>
          <w:rFonts w:ascii="Arial" w:cs="Arial" w:eastAsia="Arial" w:hAnsi="Arial"/>
          <w:sz w:val="12"/>
          <w:szCs w:val="12"/>
          <w:color w:val="0B3C61"/>
        </w:rPr>
        <w:t xml:space="preserve">2026 Proxy Statement | American Financial Group   </w:t>
      </w:r>
      <w:r>
        <w:rPr>
          <w:rFonts w:ascii="Arial" w:cs="Arial" w:eastAsia="Arial" w:hAnsi="Arial"/>
          <w:sz w:val="12"/>
          <w:szCs w:val="12"/>
          <w:b w:val="1"/>
          <w:bCs w:val="1"/>
          <w:color w:val="EA1D2D"/>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154940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OVERVIEW OF 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5"/>
          <w:szCs w:val="25"/>
          <w:color w:val="0B3C61"/>
        </w:rPr>
        <w:t>Board Nominee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140335</wp:posOffset>
            </wp:positionV>
            <wp:extent cx="5803265" cy="1637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0326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54565B"/>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612140</wp:posOffset>
            </wp:positionH>
            <wp:positionV relativeFrom="paragraph">
              <wp:posOffset>183515</wp:posOffset>
            </wp:positionV>
            <wp:extent cx="4757420" cy="40976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57420" cy="409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54565B"/>
        </w:rPr>
        <w:t> </w:t>
      </w:r>
    </w:p>
    <w:p>
      <w:pPr>
        <w:spacing w:after="0" w:line="325" w:lineRule="exact"/>
        <w:rPr>
          <w:sz w:val="20"/>
          <w:szCs w:val="20"/>
          <w:color w:val="auto"/>
        </w:rPr>
      </w:pPr>
    </w:p>
    <w:p>
      <w:pPr>
        <w:spacing w:after="0"/>
        <w:rPr>
          <w:sz w:val="20"/>
          <w:szCs w:val="20"/>
          <w:color w:val="auto"/>
        </w:rPr>
      </w:pPr>
      <w:r>
        <w:rPr>
          <w:rFonts w:ascii="Arial" w:cs="Arial" w:eastAsia="Arial" w:hAnsi="Arial"/>
          <w:sz w:val="12"/>
          <w:szCs w:val="12"/>
          <w:b w:val="1"/>
          <w:bCs w:val="1"/>
          <w:color w:val="EA1D2D"/>
        </w:rPr>
        <w:t xml:space="preserve">8   </w:t>
      </w:r>
      <w:r>
        <w:rPr>
          <w:rFonts w:ascii="Arial" w:cs="Arial" w:eastAsia="Arial" w:hAnsi="Arial"/>
          <w:sz w:val="12"/>
          <w:szCs w:val="12"/>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163830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222885</wp:posOffset>
            </wp:positionV>
            <wp:extent cx="59664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50"/>
          <w:szCs w:val="50"/>
          <w:color w:val="0B3C61"/>
        </w:rPr>
        <w:t>Proposal No. 1</w:t>
      </w:r>
    </w:p>
    <w:p>
      <w:pPr>
        <w:spacing w:after="0" w:line="159" w:lineRule="exact"/>
        <w:rPr>
          <w:sz w:val="20"/>
          <w:szCs w:val="20"/>
          <w:color w:val="auto"/>
        </w:rPr>
      </w:pPr>
    </w:p>
    <w:p>
      <w:pPr>
        <w:spacing w:after="0"/>
        <w:rPr>
          <w:sz w:val="20"/>
          <w:szCs w:val="20"/>
          <w:color w:val="auto"/>
        </w:rPr>
      </w:pPr>
      <w:r>
        <w:rPr>
          <w:rFonts w:ascii="Arial" w:cs="Arial" w:eastAsia="Arial" w:hAnsi="Arial"/>
          <w:sz w:val="32"/>
          <w:szCs w:val="32"/>
          <w:color w:val="EA1D2D"/>
        </w:rPr>
        <w:t>Election of 12 Directors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54565B"/>
        </w:rPr>
        <w:t> </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54565B"/>
        </w:rPr>
        <w:t>The Board of Directors oversees the management of the Company on your behalf. The Board reviews AFG’s long-term strategic plans and exercises direct decision-making authority in key areas such as choosing the Co-Chief Executive Officers, setting the scope of their authority to manage the Company’s business day-to-day, and evaluating senior management performance.</w:t>
      </w:r>
    </w:p>
    <w:p>
      <w:pPr>
        <w:spacing w:after="0" w:line="58"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54565B"/>
        </w:rPr>
        <w:t>Upon the recommendation of the Corporate Governance Committee, the Board of Directors has nominated 12 individuals, each of whom is an incumbent director, to hold office until the next annual meeting of shareholders and until their successors are elected and qualified. If any of the nominees should become unable to serve as a director, the proxies will be voted for any substitute nominee designated by the Board of Directors but, in any event, no proxy may be voted for more than 12 nominees.</w:t>
      </w:r>
    </w:p>
    <w:p>
      <w:pPr>
        <w:spacing w:after="0" w:line="60" w:lineRule="exact"/>
        <w:rPr>
          <w:sz w:val="20"/>
          <w:szCs w:val="20"/>
          <w:color w:val="auto"/>
        </w:rPr>
      </w:pPr>
    </w:p>
    <w:p>
      <w:pPr>
        <w:spacing w:after="0" w:line="249" w:lineRule="auto"/>
        <w:rPr>
          <w:sz w:val="20"/>
          <w:szCs w:val="20"/>
          <w:color w:val="auto"/>
        </w:rPr>
      </w:pPr>
      <w:r>
        <w:rPr>
          <w:rFonts w:ascii="Arial" w:cs="Arial" w:eastAsia="Arial" w:hAnsi="Arial"/>
          <w:sz w:val="16"/>
          <w:szCs w:val="16"/>
          <w:color w:val="54565B"/>
        </w:rPr>
        <w:t>Each nominee brings a strong and unique background and set of qualifications to the Board, giving the Board as a whole competence and experience in a wide variety of areas, including corporate governance and board service, nonprofit, governmental, executive management and entrepreneurial experience as well as insurance, finance and accounting expertise. In addition, the nominees’ experiences span multiple regions of the United States and countries around the world, with several bringing broad experience shaped by leadership roles and professional engagement, including international living and working experience. This breadth of perspective supports thoughtful oversight of AFG’s nationwide operations, investment activities and the evolving risk environment, and strengthens the Board’s ability to evaluate strategic opportunities and risks across the Company’s operating footprint. We believe that having multiple independent directors who have served through many insurance cycles (that often last upward of five to seven years) enhances their ability to effectively respond to ever-changing conditions in the property and casualty insurance industry.</w:t>
      </w:r>
    </w:p>
    <w:p>
      <w:pPr>
        <w:spacing w:after="0" w:line="55"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54565B"/>
        </w:rPr>
        <w:t>In evaluating the nominees, the Board considered both individual qualifications and how the collective skills, experiences and perspectives of the nominee directors support effective oversight of AFG’s strategy, risk profile and long-term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430530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0"/>
        <w:spacing w:after="0"/>
        <w:rPr>
          <w:sz w:val="20"/>
          <w:szCs w:val="20"/>
          <w:color w:val="auto"/>
        </w:rPr>
      </w:pPr>
      <w:r>
        <w:rPr>
          <w:rFonts w:ascii="Arial" w:cs="Arial" w:eastAsia="Arial" w:hAnsi="Arial"/>
          <w:sz w:val="25"/>
          <w:szCs w:val="25"/>
          <w:color w:val="0B3C61"/>
        </w:rPr>
        <w:t>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-441960</wp:posOffset>
            </wp:positionV>
            <wp:extent cx="1851660" cy="1817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51660" cy="1817370"/>
                    </a:xfrm>
                    <a:prstGeom prst="rect">
                      <a:avLst/>
                    </a:prstGeom>
                    <a:noFill/>
                  </pic:spPr>
                </pic:pic>
              </a:graphicData>
            </a:graphic>
          </wp:anchor>
        </w:drawing>
      </w:r>
    </w:p>
    <w:p>
      <w:pPr>
        <w:spacing w:after="0" w:line="14" w:lineRule="exact"/>
        <w:rPr>
          <w:sz w:val="20"/>
          <w:szCs w:val="20"/>
          <w:color w:val="auto"/>
        </w:rPr>
      </w:pPr>
    </w:p>
    <w:p>
      <w:pPr>
        <w:ind w:left="520"/>
        <w:spacing w:after="0"/>
        <w:rPr>
          <w:sz w:val="20"/>
          <w:szCs w:val="20"/>
          <w:color w:val="auto"/>
        </w:rPr>
      </w:pPr>
      <w:r>
        <w:rPr>
          <w:rFonts w:ascii="Arial" w:cs="Arial" w:eastAsia="Arial" w:hAnsi="Arial"/>
          <w:sz w:val="25"/>
          <w:szCs w:val="25"/>
          <w:color w:val="0B3C61"/>
        </w:rPr>
        <w:t>Directors</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25"/>
          <w:szCs w:val="25"/>
          <w:color w:val="0B3C61"/>
        </w:rPr>
        <w:t>recommends that</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25"/>
          <w:szCs w:val="25"/>
          <w:color w:val="0B3C61"/>
        </w:rPr>
        <w:t>shareholders vote</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25"/>
          <w:szCs w:val="25"/>
          <w:color w:val="0B3C61"/>
        </w:rPr>
        <w:t>FOR the election of</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25"/>
          <w:szCs w:val="25"/>
          <w:color w:val="0B3C61"/>
        </w:rPr>
        <w:t>these 12 nominees</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25"/>
          <w:szCs w:val="25"/>
          <w:color w:val="0B3C61"/>
        </w:rPr>
        <w:t>as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color w:val="0B3C61"/>
        </w:rPr>
        <w:t xml:space="preserve">2026 Proxy Statement | American Financial Group   </w:t>
      </w:r>
      <w:r>
        <w:rPr>
          <w:rFonts w:ascii="Arial" w:cs="Arial" w:eastAsia="Arial" w:hAnsi="Arial"/>
          <w:sz w:val="12"/>
          <w:szCs w:val="12"/>
          <w:b w:val="1"/>
          <w:bCs w:val="1"/>
          <w:color w:val="EA1D2D"/>
        </w:rPr>
        <w:t>9</w:t>
      </w:r>
    </w:p>
    <w:p>
      <w:pPr>
        <w:sectPr>
          <w:pgSz w:w="11900" w:h="16838" w:orient="portrait"/>
          <w:cols w:equalWidth="0" w:num="2">
            <w:col w:w="6240" w:space="200"/>
            <w:col w:w="2960"/>
          </w:cols>
          <w:pgMar w:left="1240" w:top="114" w:right="12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54565B"/>
        </w:rPr>
        <w:t>The nominees for election to the Board of Directors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5966460" cy="22720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6460" cy="2272030"/>
                    </a:xfrm>
                    <a:prstGeom prst="rect">
                      <a:avLst/>
                    </a:prstGeom>
                    <a:noFill/>
                  </pic:spPr>
                </pic:pic>
              </a:graphicData>
            </a:graphic>
          </wp:anchor>
        </w:drawing>
      </w:r>
    </w:p>
    <w:p>
      <w:pPr>
        <w:sectPr>
          <w:pgSz w:w="11900" w:h="16838" w:orient="portrait"/>
          <w:cols w:equalWidth="0" w:num="1">
            <w:col w:w="9260"/>
          </w:cols>
          <w:pgMar w:left="1240" w:top="114"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0B3C61"/>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B3C61"/>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Age | </w:t>
      </w:r>
      <w:r>
        <w:rPr>
          <w:rFonts w:ascii="Arial" w:cs="Arial" w:eastAsia="Arial" w:hAnsi="Arial"/>
          <w:sz w:val="16"/>
          <w:szCs w:val="16"/>
          <w:color w:val="54565B"/>
        </w:rPr>
        <w:t>72</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Director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Since | </w:t>
      </w:r>
      <w:r>
        <w:rPr>
          <w:rFonts w:ascii="Arial" w:cs="Arial" w:eastAsia="Arial" w:hAnsi="Arial"/>
          <w:sz w:val="16"/>
          <w:szCs w:val="16"/>
          <w:color w:val="54565B"/>
        </w:rPr>
        <w:t>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833755</wp:posOffset>
            </wp:positionV>
            <wp:extent cx="968375" cy="9683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68375" cy="968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32"/>
          <w:szCs w:val="32"/>
          <w:color w:val="EA1D2D"/>
        </w:rPr>
        <w:t>Carl H. Lindner III</w:t>
      </w:r>
    </w:p>
    <w:p>
      <w:pPr>
        <w:spacing w:after="0" w:line="21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0B3C61"/>
        </w:rPr>
        <w:t>Mr. Lindner has been Co-Chief Executive Officer since January 2005 and served as Co-President from 1996 until June 2023. Until 2010, for over ten years, Mr. Lindner served as President, and since 2010, Mr. Lindner has served as CEO of AFG’s Property and Casualty Insurance Group and has been principally responsible for the Company’s property and casualty insurance operations.</w:t>
      </w:r>
    </w:p>
    <w:p>
      <w:pPr>
        <w:spacing w:after="0" w:line="31" w:lineRule="exact"/>
        <w:rPr>
          <w:sz w:val="20"/>
          <w:szCs w:val="20"/>
          <w:color w:val="auto"/>
        </w:rPr>
      </w:pPr>
    </w:p>
    <w:p>
      <w:pPr>
        <w:ind w:right="160"/>
        <w:spacing w:after="0" w:line="337" w:lineRule="auto"/>
        <w:rPr>
          <w:sz w:val="20"/>
          <w:szCs w:val="20"/>
          <w:color w:val="auto"/>
        </w:rPr>
      </w:pPr>
      <w:r>
        <w:rPr>
          <w:rFonts w:ascii="Arial" w:cs="Arial" w:eastAsia="Arial" w:hAnsi="Arial"/>
          <w:sz w:val="16"/>
          <w:szCs w:val="16"/>
          <w:b w:val="1"/>
          <w:bCs w:val="1"/>
          <w:color w:val="0B3C61"/>
        </w:rPr>
        <w:t>Mr. Lindner brings deep institutional knowledge of the Company and decades of leadership experience to AFG’s specialty property and casualty insurance operations. His experience overseeing underwriting discipline, risk selection and capital deployment across multiple insurance and economic cycles enables him to help the Board evaluate strategy, risk, the competitive environment and long-term operating decisions from a shareholder-aligned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285115</wp:posOffset>
            </wp:positionV>
            <wp:extent cx="4886325" cy="29146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86325" cy="29146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60" w:space="720"/>
            <w:col w:w="7180"/>
          </w:cols>
          <w:pgMar w:left="1240" w:top="114"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0B3C61"/>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Age | </w:t>
      </w:r>
      <w:r>
        <w:rPr>
          <w:rFonts w:ascii="Arial" w:cs="Arial" w:eastAsia="Arial" w:hAnsi="Arial"/>
          <w:sz w:val="16"/>
          <w:szCs w:val="16"/>
          <w:color w:val="54565B"/>
        </w:rPr>
        <w:t>71</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Director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Since | </w:t>
      </w:r>
      <w:r>
        <w:rPr>
          <w:rFonts w:ascii="Arial" w:cs="Arial" w:eastAsia="Arial" w:hAnsi="Arial"/>
          <w:sz w:val="16"/>
          <w:szCs w:val="16"/>
          <w:color w:val="54565B"/>
        </w:rPr>
        <w:t>1985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2"/>
          <w:szCs w:val="32"/>
          <w:color w:val="EA1D2D"/>
        </w:rPr>
        <w:t>S. Craig Lindner</w:t>
      </w:r>
    </w:p>
    <w:p>
      <w:pPr>
        <w:spacing w:after="0" w:line="213" w:lineRule="exact"/>
        <w:rPr>
          <w:sz w:val="20"/>
          <w:szCs w:val="20"/>
          <w:color w:val="auto"/>
        </w:rPr>
      </w:pPr>
    </w:p>
    <w:p>
      <w:pPr>
        <w:ind w:right="20"/>
        <w:spacing w:after="0" w:line="335" w:lineRule="auto"/>
        <w:rPr>
          <w:sz w:val="20"/>
          <w:szCs w:val="20"/>
          <w:color w:val="auto"/>
        </w:rPr>
      </w:pPr>
      <w:r>
        <w:rPr>
          <w:rFonts w:ascii="Arial" w:cs="Arial" w:eastAsia="Arial" w:hAnsi="Arial"/>
          <w:sz w:val="16"/>
          <w:szCs w:val="16"/>
          <w:color w:val="0B3C61"/>
        </w:rPr>
        <w:t>Mr. Lindner has been Co-Chief Executive Officer since January 2005 and served as Co-President from 1996 until June 2023. Mr. Lindner served as President of Great American Financial Resources, Inc. (“GAFRI”), a subsidiary of the Company, for more than ten years prior to 2018 when he was elected Chief Executive Officer and was principally responsible for GAFRI’s annuity operations until their sale in 2021. Until 2011, for over ten years, Mr. Lindner served as President of American Money Management Corporation (“AMMC”), a subsidiary that provides investment services for the Company and certain of its affiliated companies, and Mr. Lindner continues to be primarily responsible for the Company’s investment portfolio.</w:t>
      </w:r>
    </w:p>
    <w:p>
      <w:pPr>
        <w:spacing w:after="0" w:line="38" w:lineRule="exact"/>
        <w:rPr>
          <w:sz w:val="20"/>
          <w:szCs w:val="20"/>
          <w:color w:val="auto"/>
        </w:rPr>
      </w:pPr>
    </w:p>
    <w:p>
      <w:pPr>
        <w:spacing w:after="0" w:line="337" w:lineRule="auto"/>
        <w:rPr>
          <w:sz w:val="20"/>
          <w:szCs w:val="20"/>
          <w:color w:val="auto"/>
        </w:rPr>
      </w:pPr>
      <w:r>
        <w:rPr>
          <w:rFonts w:ascii="Arial" w:cs="Arial" w:eastAsia="Arial" w:hAnsi="Arial"/>
          <w:sz w:val="16"/>
          <w:szCs w:val="16"/>
          <w:b w:val="1"/>
          <w:bCs w:val="1"/>
          <w:color w:val="0B3C61"/>
        </w:rPr>
        <w:t>With extensive experience overseeing AFG’s investment portfolio, capital management strategy and long-term financial planning, Mr. Lindner provides the Board with critical insight into strategic initiatives, capital management and balance sheet strength. His leadership navigating varying market and interest-rate environments enhances the Board’s oversight of investment and capital allocation decisions that are critical to long-term shareholder value creation.</w:t>
      </w:r>
    </w:p>
    <w:p>
      <w:pPr>
        <w:spacing w:after="0" w:line="200" w:lineRule="exact"/>
        <w:rPr>
          <w:sz w:val="20"/>
          <w:szCs w:val="20"/>
          <w:color w:val="auto"/>
        </w:rPr>
      </w:pPr>
    </w:p>
    <w:p>
      <w:pPr>
        <w:sectPr>
          <w:pgSz w:w="11900" w:h="16838" w:orient="portrait"/>
          <w:cols w:equalWidth="0" w:num="2">
            <w:col w:w="1360" w:space="720"/>
            <w:col w:w="7180"/>
          </w:cols>
          <w:pgMar w:left="1240" w:top="114" w:right="1399" w:bottom="1440" w:gutter="0" w:footer="0" w:header="0"/>
          <w:type w:val="continuous"/>
        </w:sectPr>
      </w:pP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b w:val="1"/>
          <w:bCs w:val="1"/>
          <w:color w:val="EA1D2D"/>
        </w:rPr>
        <w:t xml:space="preserve">10   </w:t>
      </w:r>
      <w:r>
        <w:rPr>
          <w:rFonts w:ascii="Arial" w:cs="Arial" w:eastAsia="Arial" w:hAnsi="Arial"/>
          <w:sz w:val="12"/>
          <w:szCs w:val="12"/>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154940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60"/>
          </w:cols>
          <w:pgMar w:left="1240" w:top="114" w:right="13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26403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6460" cy="264033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0B3C61"/>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B3C61"/>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Age | </w:t>
      </w:r>
      <w:r>
        <w:rPr>
          <w:rFonts w:ascii="Arial" w:cs="Arial" w:eastAsia="Arial" w:hAnsi="Arial"/>
          <w:sz w:val="16"/>
          <w:szCs w:val="16"/>
          <w:color w:val="54565B"/>
        </w:rPr>
        <w:t>63</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Director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Since | </w:t>
      </w:r>
      <w:r>
        <w:rPr>
          <w:rFonts w:ascii="Arial" w:cs="Arial" w:eastAsia="Arial" w:hAnsi="Arial"/>
          <w:sz w:val="16"/>
          <w:szCs w:val="16"/>
          <w:color w:val="54565B"/>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996315</wp:posOffset>
            </wp:positionV>
            <wp:extent cx="968375" cy="9861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68375" cy="986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32"/>
          <w:szCs w:val="32"/>
          <w:color w:val="EA1D2D"/>
        </w:rPr>
        <w:t>Gregory G. Joseph</w:t>
      </w:r>
    </w:p>
    <w:p>
      <w:pPr>
        <w:spacing w:after="0" w:line="213" w:lineRule="exact"/>
        <w:rPr>
          <w:sz w:val="20"/>
          <w:szCs w:val="20"/>
          <w:color w:val="auto"/>
        </w:rPr>
      </w:pPr>
    </w:p>
    <w:p>
      <w:pPr>
        <w:ind w:right="180"/>
        <w:spacing w:after="0" w:line="335" w:lineRule="auto"/>
        <w:rPr>
          <w:sz w:val="20"/>
          <w:szCs w:val="20"/>
          <w:color w:val="auto"/>
        </w:rPr>
      </w:pPr>
      <w:r>
        <w:rPr>
          <w:rFonts w:ascii="Arial" w:cs="Arial" w:eastAsia="Arial" w:hAnsi="Arial"/>
          <w:sz w:val="16"/>
          <w:szCs w:val="16"/>
          <w:color w:val="0B3C61"/>
        </w:rPr>
        <w:t>Mr. Joseph, an attorney, is an executive and a principal of various automotive retailers in the Greater Cincinnati, Ohio area known as the Joseph Automotive Group. Since 2005, Mr. Joseph has served on the Board of Trustees of Xavier University, a private university located in Cincinnati, Ohio. He served on the board of directors of Infinity Property &amp; Casualty Corporation, an insurance company primarily offering personal automobile insurance, which was purchased by Kemper Corp. in 2018, from 2003 to 2008, the last two years as the lead director.</w:t>
      </w:r>
    </w:p>
    <w:p>
      <w:pPr>
        <w:spacing w:after="0" w:line="3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color w:val="0B3C61"/>
        </w:rPr>
        <w:t>Mr. Joseph contributes strong independent leadership and industry acumen shaped by his prior experience as a lead director of a publicly traded insurance company and his service as AFG’s Lead Independent Director. His broad background and deep experience with public and private businesses enable him to provide the Board with insights and advice on the broad variety of situations and issues that face the Company and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282575</wp:posOffset>
            </wp:positionV>
            <wp:extent cx="4886325" cy="21088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886325" cy="21088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60" w:space="720"/>
            <w:col w:w="7320"/>
          </w:cols>
          <w:pgMar w:left="1240" w:top="114"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0B3C61"/>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B3C61"/>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Age | </w:t>
      </w:r>
      <w:r>
        <w:rPr>
          <w:rFonts w:ascii="Arial" w:cs="Arial" w:eastAsia="Arial" w:hAnsi="Arial"/>
          <w:sz w:val="16"/>
          <w:szCs w:val="16"/>
          <w:color w:val="54565B"/>
        </w:rPr>
        <w:t>63</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Director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Since | </w:t>
      </w:r>
      <w:r>
        <w:rPr>
          <w:rFonts w:ascii="Arial" w:cs="Arial" w:eastAsia="Arial" w:hAnsi="Arial"/>
          <w:sz w:val="16"/>
          <w:szCs w:val="16"/>
          <w:color w:val="54565B"/>
        </w:rPr>
        <w:t>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color w:val="EA1D2D"/>
        </w:rPr>
        <w:t>John B. Berding</w:t>
      </w:r>
    </w:p>
    <w:p>
      <w:pPr>
        <w:spacing w:after="0" w:line="21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0B3C61"/>
        </w:rPr>
        <w:t>Mr. Berding was elected President of AFG in June 2023 and President of AMMC in January 2011. Prior to his role as President, he held a number of investment-related executive positions with AMMC and other AFG subsidiaries. Mr. Berding has over 30 years of experience as an investment professional, and he has spent his entire career with the Company and its affiliates.</w:t>
      </w:r>
    </w:p>
    <w:p>
      <w:pPr>
        <w:spacing w:after="0" w:line="31" w:lineRule="exact"/>
        <w:rPr>
          <w:sz w:val="20"/>
          <w:szCs w:val="20"/>
          <w:color w:val="auto"/>
        </w:rPr>
      </w:pPr>
    </w:p>
    <w:p>
      <w:pPr>
        <w:ind w:right="360"/>
        <w:spacing w:after="0" w:line="338" w:lineRule="auto"/>
        <w:rPr>
          <w:sz w:val="20"/>
          <w:szCs w:val="20"/>
          <w:color w:val="auto"/>
        </w:rPr>
      </w:pPr>
      <w:r>
        <w:rPr>
          <w:rFonts w:ascii="Arial" w:cs="Arial" w:eastAsia="Arial" w:hAnsi="Arial"/>
          <w:sz w:val="16"/>
          <w:szCs w:val="16"/>
          <w:b w:val="1"/>
          <w:bCs w:val="1"/>
          <w:color w:val="0B3C61"/>
        </w:rPr>
        <w:t>Mr. Berding’s more than three decades with the Company, including his longstanding leadership of its investment operations and in his current role as President of AFG, enable him to provide valuable perspective on AFG’s investment portfolio and strategy. His familiarity with AFG’s investment framework and risk management practices support the Board’s oversight of investment performance and capital deployment.</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3"/>
          <w:szCs w:val="13"/>
          <w:color w:val="0B3C61"/>
        </w:rPr>
        <w:t xml:space="preserve">2026 Proxy Statement | American Financial Group   </w:t>
      </w:r>
      <w:r>
        <w:rPr>
          <w:rFonts w:ascii="Arial" w:cs="Arial" w:eastAsia="Arial" w:hAnsi="Arial"/>
          <w:sz w:val="13"/>
          <w:szCs w:val="13"/>
          <w:b w:val="1"/>
          <w:bCs w:val="1"/>
          <w:color w:val="EA1D2D"/>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147955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360" w:space="720"/>
            <w:col w:w="7320"/>
          </w:cols>
          <w:pgMar w:left="1240" w:top="114" w:right="12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31203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6460" cy="3120390"/>
                    </a:xfrm>
                    <a:prstGeom prst="rect">
                      <a:avLst/>
                    </a:prstGeom>
                    <a:noFill/>
                  </pic:spPr>
                </pic:pic>
              </a:graphicData>
            </a:graphic>
          </wp:anchor>
        </w:drawing>
      </w:r>
    </w:p>
    <w:p>
      <w:pPr>
        <w:sectPr>
          <w:pgSz w:w="11900" w:h="16838" w:orient="portrait"/>
          <w:cols w:equalWidth="0" w:num="1">
            <w:col w:w="9220"/>
          </w:cols>
          <w:pgMar w:left="1240" w:top="114"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0B3C61"/>
        </w:rPr>
        <w:t xml:space="preserve">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B3C61"/>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Age | </w:t>
      </w:r>
      <w:r>
        <w:rPr>
          <w:rFonts w:ascii="Arial" w:cs="Arial" w:eastAsia="Arial" w:hAnsi="Arial"/>
          <w:sz w:val="16"/>
          <w:szCs w:val="16"/>
          <w:color w:val="54565B"/>
        </w:rPr>
        <w:t>48</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Director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Since | </w:t>
      </w:r>
      <w:r>
        <w:rPr>
          <w:rFonts w:ascii="Arial" w:cs="Arial" w:eastAsia="Arial" w:hAnsi="Arial"/>
          <w:sz w:val="16"/>
          <w:szCs w:val="16"/>
          <w:color w:val="54565B"/>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1553845</wp:posOffset>
            </wp:positionV>
            <wp:extent cx="968375" cy="9855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68375" cy="9855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32"/>
          <w:szCs w:val="32"/>
          <w:color w:val="EA1D2D"/>
        </w:rPr>
        <w:t>Craig Lindner Jr.</w:t>
      </w:r>
    </w:p>
    <w:p>
      <w:pPr>
        <w:spacing w:after="0" w:line="213" w:lineRule="exact"/>
        <w:rPr>
          <w:sz w:val="20"/>
          <w:szCs w:val="20"/>
          <w:color w:val="auto"/>
        </w:rPr>
      </w:pPr>
    </w:p>
    <w:p>
      <w:pPr>
        <w:spacing w:after="0" w:line="332" w:lineRule="auto"/>
        <w:rPr>
          <w:sz w:val="20"/>
          <w:szCs w:val="20"/>
          <w:color w:val="auto"/>
        </w:rPr>
      </w:pPr>
      <w:r>
        <w:rPr>
          <w:rFonts w:ascii="Arial" w:cs="Arial" w:eastAsia="Arial" w:hAnsi="Arial"/>
          <w:sz w:val="16"/>
          <w:szCs w:val="16"/>
          <w:color w:val="0B3C61"/>
        </w:rPr>
        <w:t>Mr. Lindner currently serves as the Divisional President of AFG Real Estate Investments, a position he has held since 2017. In this role, he manages the Company’s portfolio of apartments, resort and marina properties and other commercial real estate, in addition to its extensive portfolio of commercial mortgages. Mr. Lindner joined AFG in 2002. Over the course of a 20-plus year career in real estate investing and the insurance industry, he has played a key role in overseeing the management and operations of the Company’s investments in real estate equity and debt. During much of this time, he also served as a member of the executive team of GAFRI’s annuity operations until the time of its sale in 2021. He previously served on the Board of Directors of Cranemere, a long-term industrial holding company, from 2017-2020.</w:t>
      </w:r>
    </w:p>
    <w:p>
      <w:pPr>
        <w:spacing w:after="0" w:line="4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color w:val="0B3C61"/>
        </w:rPr>
        <w:t>Through his leadership of AFG’s real estate investment and commercial mortgage portfolio, Mr. Lindner provides the Board with direct insight into a significant component of the Company’s alternative investment strategy. His operational and investment experience enhances the Board’s ability to oversee asset diversification, risk management and income generation within the investment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427990</wp:posOffset>
            </wp:positionV>
            <wp:extent cx="4886325" cy="3549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886325" cy="3549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60" w:space="720"/>
            <w:col w:w="7140"/>
          </w:cols>
          <w:pgMar w:left="1240" w:top="114"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0B3C61"/>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B3C61"/>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Age | </w:t>
      </w:r>
      <w:r>
        <w:rPr>
          <w:rFonts w:ascii="Arial" w:cs="Arial" w:eastAsia="Arial" w:hAnsi="Arial"/>
          <w:sz w:val="16"/>
          <w:szCs w:val="16"/>
          <w:color w:val="54565B"/>
        </w:rPr>
        <w:t>63</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Director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Since | </w:t>
      </w:r>
      <w:r>
        <w:rPr>
          <w:rFonts w:ascii="Arial" w:cs="Arial" w:eastAsia="Arial" w:hAnsi="Arial"/>
          <w:sz w:val="16"/>
          <w:szCs w:val="16"/>
          <w:color w:val="54565B"/>
        </w:rPr>
        <w:t>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32"/>
          <w:szCs w:val="32"/>
          <w:color w:val="EA1D2D"/>
        </w:rPr>
        <w:t>Mary Beth Martin</w:t>
      </w:r>
    </w:p>
    <w:p>
      <w:pPr>
        <w:spacing w:after="0" w:line="213" w:lineRule="exact"/>
        <w:rPr>
          <w:sz w:val="20"/>
          <w:szCs w:val="20"/>
          <w:color w:val="auto"/>
        </w:rPr>
      </w:pPr>
    </w:p>
    <w:p>
      <w:pPr>
        <w:ind w:right="20"/>
        <w:spacing w:after="0" w:line="329" w:lineRule="auto"/>
        <w:rPr>
          <w:sz w:val="20"/>
          <w:szCs w:val="20"/>
          <w:color w:val="auto"/>
        </w:rPr>
      </w:pPr>
      <w:r>
        <w:rPr>
          <w:rFonts w:ascii="Arial" w:cs="Arial" w:eastAsia="Arial" w:hAnsi="Arial"/>
          <w:sz w:val="16"/>
          <w:szCs w:val="16"/>
          <w:color w:val="0B3C61"/>
        </w:rPr>
        <w:t>Ms. Martin is the retired Executive Director of the Farmer Family Foundation, a role in which she served from 2007 until November 2025. The Farmer Family is a private family foundation focused on advancing education, health care and other community initiatives. Under Martin’s leadership, the Foundation launched and expanded several programs, including investments in neurodegenerative disease research and the establishment of Accelerate Great Schools, which supports the growth of schools for at-risk youth. As Executive Director, she managed the organization’s philanthropic goals and objectives and oversaw grant investments. For over 20 years, Ms. Martin previously served in the banking and commercial real estate industries where she led commercial real estate, private bank, trust, and asset management groups at regional banking institutions. She serves on the advisory board of Oswald Company, Inc., a privately-held construction and development firm.</w:t>
      </w:r>
    </w:p>
    <w:p>
      <w:pPr>
        <w:spacing w:after="0" w:line="2" w:lineRule="exact"/>
        <w:rPr>
          <w:sz w:val="20"/>
          <w:szCs w:val="20"/>
          <w:color w:val="auto"/>
        </w:rPr>
      </w:pPr>
    </w:p>
    <w:p>
      <w:pPr>
        <w:ind w:right="40"/>
        <w:spacing w:after="0" w:line="345" w:lineRule="auto"/>
        <w:rPr>
          <w:sz w:val="20"/>
          <w:szCs w:val="20"/>
          <w:color w:val="auto"/>
        </w:rPr>
      </w:pPr>
      <w:r>
        <w:rPr>
          <w:rFonts w:ascii="Arial" w:cs="Arial" w:eastAsia="Arial" w:hAnsi="Arial"/>
          <w:sz w:val="16"/>
          <w:szCs w:val="16"/>
          <w:color w:val="0B3C61"/>
        </w:rPr>
        <w:t>Ms. Martin is active in her community and currently serves on the Board of Directors of a number of charitable organizations, including Accelerate Great Schools, where she also serves as Secretary and Treasurer, Teach for America Ohio and Ohio Excels.</w:t>
      </w:r>
    </w:p>
    <w:p>
      <w:pPr>
        <w:spacing w:after="0" w:line="30" w:lineRule="exact"/>
        <w:rPr>
          <w:sz w:val="20"/>
          <w:szCs w:val="20"/>
          <w:color w:val="auto"/>
        </w:rPr>
      </w:pPr>
    </w:p>
    <w:p>
      <w:pPr>
        <w:ind w:right="200"/>
        <w:spacing w:after="0" w:line="338" w:lineRule="auto"/>
        <w:rPr>
          <w:sz w:val="20"/>
          <w:szCs w:val="20"/>
          <w:color w:val="auto"/>
        </w:rPr>
      </w:pPr>
      <w:r>
        <w:rPr>
          <w:rFonts w:ascii="Arial" w:cs="Arial" w:eastAsia="Arial" w:hAnsi="Arial"/>
          <w:sz w:val="16"/>
          <w:szCs w:val="16"/>
          <w:b w:val="1"/>
          <w:bCs w:val="1"/>
          <w:color w:val="0B3C61"/>
        </w:rPr>
        <w:t>Ms. Martin brings a combination of executive leadership in the nonprofit sector and experience across banking, asset management and commercial real estate. Her broad financial and organizational background, together with her role as Chair of the Compensation Committee, contributes to the Board’s effective administration of executive compensation and governance responsibilities.</w:t>
      </w:r>
    </w:p>
    <w:p>
      <w:pPr>
        <w:spacing w:after="0" w:line="200" w:lineRule="exact"/>
        <w:rPr>
          <w:sz w:val="20"/>
          <w:szCs w:val="20"/>
          <w:color w:val="auto"/>
        </w:rPr>
      </w:pPr>
    </w:p>
    <w:p>
      <w:pPr>
        <w:sectPr>
          <w:pgSz w:w="11900" w:h="16838" w:orient="portrait"/>
          <w:cols w:equalWidth="0" w:num="2">
            <w:col w:w="1360" w:space="720"/>
            <w:col w:w="7140"/>
          </w:cols>
          <w:pgMar w:left="1240" w:top="114" w:right="1439" w:bottom="1440" w:gutter="0" w:footer="0" w:header="0"/>
          <w:type w:val="continuous"/>
        </w:sect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b w:val="1"/>
          <w:bCs w:val="1"/>
          <w:color w:val="EA1D2D"/>
        </w:rPr>
        <w:t xml:space="preserve">12   </w:t>
      </w:r>
      <w:r>
        <w:rPr>
          <w:rFonts w:ascii="Arial" w:cs="Arial" w:eastAsia="Arial" w:hAnsi="Arial"/>
          <w:sz w:val="12"/>
          <w:szCs w:val="12"/>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154940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20"/>
          </w:cols>
          <w:pgMar w:left="1240" w:top="114" w:right="14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45516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6460" cy="455168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0B3C61"/>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B3C61"/>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Age | </w:t>
      </w:r>
      <w:r>
        <w:rPr>
          <w:rFonts w:ascii="Arial" w:cs="Arial" w:eastAsia="Arial" w:hAnsi="Arial"/>
          <w:sz w:val="16"/>
          <w:szCs w:val="16"/>
          <w:color w:val="54565B"/>
        </w:rPr>
        <w:t>61</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Director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Since | </w:t>
      </w:r>
      <w:r>
        <w:rPr>
          <w:rFonts w:ascii="Arial" w:cs="Arial" w:eastAsia="Arial" w:hAnsi="Arial"/>
          <w:sz w:val="16"/>
          <w:szCs w:val="16"/>
          <w:color w:val="54565B"/>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32"/>
          <w:szCs w:val="32"/>
          <w:color w:val="EA1D2D"/>
        </w:rPr>
        <w:t>Amy Y. Murray</w:t>
      </w:r>
    </w:p>
    <w:p>
      <w:pPr>
        <w:spacing w:after="0" w:line="213" w:lineRule="exact"/>
        <w:rPr>
          <w:sz w:val="20"/>
          <w:szCs w:val="20"/>
          <w:color w:val="auto"/>
        </w:rPr>
      </w:pPr>
    </w:p>
    <w:p>
      <w:pPr>
        <w:ind w:right="140"/>
        <w:spacing w:after="0" w:line="331" w:lineRule="auto"/>
        <w:rPr>
          <w:sz w:val="20"/>
          <w:szCs w:val="20"/>
          <w:color w:val="auto"/>
        </w:rPr>
      </w:pPr>
      <w:r>
        <w:rPr>
          <w:rFonts w:ascii="Arial" w:cs="Arial" w:eastAsia="Arial" w:hAnsi="Arial"/>
          <w:sz w:val="16"/>
          <w:szCs w:val="16"/>
          <w:color w:val="0B3C61"/>
        </w:rPr>
        <w:t>Ms. Murray has over 35 years of leadership experience in the corporate world and in local and federal government. From March 2020 to January 2021, her roles included Acting Deputy Assistant Secretary of Defense, Industrial Policy and Director of the Office of Small Business for the U.S. Department of Defense. During 2011 and from 2013-2020, Ms. Murray was a member of the Cincinnati, Ohio City Council serving at various times as chair or vice chair of numerous committees. Also, from 2000-2014, she served as founder and chief consultant of The Japan Consulting Group, advising on strategies for successful business relationships with Japanese companies, both in Japan and the United States. Prior thereto, Ms. Murray spent 14 years in various positions at the Procter &amp; Gamble Company, a leading multinational manufacturer of consumer-packaged goods, including as a manager of Global Business Development for Asia. Ms. Murray completed the National Association of Corporate Directors’ (“NACD”) Cyber-Risk Oversight Program and received the CERT Certificate in Cybersecurity Oversight issued by the Software Engineering Institute at Carnegie Mellon University. In addition, in 2026 she earned certification in the NACD’s Effective AI Oversight for Directors Program, also through Carnegie Mellon. She serves on the boards of the Mayfield Education &amp; Research Foundation and The Shepherd Chemical Company. Ms. Murray is active in the community, having served on the boards of several charitable organizations including Cincinnati Zoo and Botanical Society and Boy Scouts of America – Dan Beard Council.</w:t>
      </w:r>
    </w:p>
    <w:p>
      <w:pPr>
        <w:spacing w:after="0" w:line="290" w:lineRule="exact"/>
        <w:rPr>
          <w:sz w:val="20"/>
          <w:szCs w:val="20"/>
          <w:color w:val="auto"/>
        </w:rPr>
      </w:pPr>
    </w:p>
    <w:p>
      <w:pPr>
        <w:ind w:right="260"/>
        <w:spacing w:after="0" w:line="338" w:lineRule="auto"/>
        <w:rPr>
          <w:sz w:val="20"/>
          <w:szCs w:val="20"/>
          <w:color w:val="auto"/>
        </w:rPr>
      </w:pPr>
      <w:r>
        <w:rPr>
          <w:rFonts w:ascii="Arial" w:cs="Arial" w:eastAsia="Arial" w:hAnsi="Arial"/>
          <w:sz w:val="16"/>
          <w:szCs w:val="16"/>
          <w:b w:val="1"/>
          <w:bCs w:val="1"/>
          <w:color w:val="0B3C61"/>
        </w:rPr>
        <w:t>Ms. Murray offers a diverse skill set spanning government service and corporate leadership in the United States and abroad. Her experience addressing external affairs, data security and public policy matters, together with sustained engagement on technology matters, strengthens the Board’s approach to enterprise risk management and compliance in an evolving risk environment.</w:t>
      </w:r>
    </w:p>
    <w:p>
      <w:pPr>
        <w:spacing w:after="0" w:line="200" w:lineRule="exact"/>
        <w:rPr>
          <w:sz w:val="20"/>
          <w:szCs w:val="20"/>
          <w:color w:val="auto"/>
        </w:rPr>
      </w:pPr>
    </w:p>
    <w:p>
      <w:pPr>
        <w:sectPr>
          <w:pgSz w:w="11900" w:h="16838" w:orient="portrait"/>
          <w:cols w:equalWidth="0" w:num="2">
            <w:col w:w="1360" w:space="720"/>
            <w:col w:w="7320"/>
          </w:cols>
          <w:pgMar w:left="1240" w:top="114" w:right="1259" w:bottom="1440" w:gutter="0" w:footer="0" w:header="0"/>
          <w:type w:val="continuous"/>
        </w:sectPr>
      </w:pPr>
    </w:p>
    <w:p>
      <w:pPr>
        <w:spacing w:after="0" w:line="283" w:lineRule="exact"/>
        <w:rPr>
          <w:sz w:val="20"/>
          <w:szCs w:val="20"/>
          <w:color w:val="auto"/>
        </w:rPr>
      </w:pPr>
    </w:p>
    <w:p>
      <w:pPr>
        <w:ind w:left="6360"/>
        <w:spacing w:after="0"/>
        <w:rPr>
          <w:sz w:val="20"/>
          <w:szCs w:val="20"/>
          <w:color w:val="auto"/>
        </w:rPr>
      </w:pPr>
      <w:r>
        <w:rPr>
          <w:rFonts w:ascii="Arial" w:cs="Arial" w:eastAsia="Arial" w:hAnsi="Arial"/>
          <w:sz w:val="12"/>
          <w:szCs w:val="12"/>
          <w:color w:val="0B3C61"/>
        </w:rPr>
        <w:t xml:space="preserve">2026 Proxy Statement | American Financial Group   </w:t>
      </w:r>
      <w:r>
        <w:rPr>
          <w:rFonts w:ascii="Arial" w:cs="Arial" w:eastAsia="Arial" w:hAnsi="Arial"/>
          <w:sz w:val="12"/>
          <w:szCs w:val="12"/>
          <w:b w:val="1"/>
          <w:bCs w:val="1"/>
          <w:color w:val="EA1D2D"/>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154940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3549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6460" cy="3549015"/>
                    </a:xfrm>
                    <a:prstGeom prst="rect">
                      <a:avLst/>
                    </a:prstGeom>
                    <a:noFill/>
                  </pic:spPr>
                </pic:pic>
              </a:graphicData>
            </a:graphic>
          </wp:anchor>
        </w:drawing>
      </w:r>
    </w:p>
    <w:p>
      <w:pPr>
        <w:sectPr>
          <w:pgSz w:w="11900" w:h="16838" w:orient="portrait"/>
          <w:cols w:equalWidth="0" w:num="1">
            <w:col w:w="9240"/>
          </w:cols>
          <w:pgMar w:left="1240" w:top="114"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0B3C61"/>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B3C61"/>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Age | </w:t>
      </w:r>
      <w:r>
        <w:rPr>
          <w:rFonts w:ascii="Arial" w:cs="Arial" w:eastAsia="Arial" w:hAnsi="Arial"/>
          <w:sz w:val="16"/>
          <w:szCs w:val="16"/>
          <w:color w:val="54565B"/>
        </w:rPr>
        <w:t>61</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Director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Since | </w:t>
      </w:r>
      <w:r>
        <w:rPr>
          <w:rFonts w:ascii="Arial" w:cs="Arial" w:eastAsia="Arial" w:hAnsi="Arial"/>
          <w:sz w:val="16"/>
          <w:szCs w:val="16"/>
          <w:color w:val="54565B"/>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1931035</wp:posOffset>
            </wp:positionV>
            <wp:extent cx="986155" cy="10198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86155" cy="1019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32"/>
          <w:szCs w:val="32"/>
          <w:color w:val="EA1D2D"/>
        </w:rPr>
        <w:t>Roger K. Newport</w:t>
      </w:r>
    </w:p>
    <w:p>
      <w:pPr>
        <w:spacing w:after="0" w:line="200" w:lineRule="exact"/>
        <w:rPr>
          <w:sz w:val="20"/>
          <w:szCs w:val="20"/>
          <w:color w:val="auto"/>
        </w:rPr>
      </w:pPr>
    </w:p>
    <w:p>
      <w:pPr>
        <w:ind w:right="40"/>
        <w:spacing w:after="0" w:line="308" w:lineRule="auto"/>
        <w:rPr>
          <w:sz w:val="20"/>
          <w:szCs w:val="20"/>
          <w:color w:val="auto"/>
        </w:rPr>
      </w:pPr>
      <w:r>
        <w:rPr>
          <w:rFonts w:ascii="Arial" w:cs="Arial" w:eastAsia="Arial" w:hAnsi="Arial"/>
          <w:sz w:val="16"/>
          <w:szCs w:val="16"/>
          <w:color w:val="0B3C61"/>
        </w:rPr>
        <w:t>Mr. Newport served as Chief Executive Officer and a Director of AK Steel Holding Corporation, a publicly-traded manufacturing company, from January 2016 until March 2020, when he retired in connection with the acquisition of AK Steel by Cleveland-Cliffs Inc. Prior to that, Mr. Newport served in other executive roles at AK Steel, including Executive Vice President, Finance and Chief Financial Officer, as well as Controller and Chief Accounting Officer. Mr. Newport served in a variety of other leadership positions since joining AK Steel in 1985, including Vice President, Business Planning and Development, and Assistant Treasurer, Investor Relations. In addition, since 2018, Mr. Newport has been a Director of Alliant Energy Corporation, an energy-services provider that operates as a regulated investor-owned public utility holding company. He currently serves on Alliant Energy’s Compensation Committee and Operations Committee and previously served on its Audit Committee, as Chair, and its Nominating and Governance Committee. Mr. Newport has been active in the community, having served on a variety of local and regional boards for organizations that serve the areas of academia, community development, and at-risk children and families.</w:t>
      </w:r>
    </w:p>
    <w:p>
      <w:pPr>
        <w:spacing w:after="0" w:line="36" w:lineRule="exact"/>
        <w:rPr>
          <w:sz w:val="20"/>
          <w:szCs w:val="20"/>
          <w:color w:val="auto"/>
        </w:rPr>
      </w:pPr>
    </w:p>
    <w:p>
      <w:pPr>
        <w:spacing w:after="0" w:line="320" w:lineRule="auto"/>
        <w:rPr>
          <w:sz w:val="20"/>
          <w:szCs w:val="20"/>
          <w:color w:val="auto"/>
        </w:rPr>
      </w:pPr>
      <w:r>
        <w:rPr>
          <w:rFonts w:ascii="Arial" w:cs="Arial" w:eastAsia="Arial" w:hAnsi="Arial"/>
          <w:sz w:val="16"/>
          <w:szCs w:val="16"/>
          <w:b w:val="1"/>
          <w:bCs w:val="1"/>
          <w:color w:val="0B3C61"/>
        </w:rPr>
        <w:t>Mr. Newport’s experience as a CEO, CFO and audit committee chair of large and complex publicly-traded companies provides the Board with strong leadership and financial oversight expertise. His background in accounting and financial reporting supports the Board’s oversight of financial integrity, internal controls and audit processes, including in his service as an 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430530</wp:posOffset>
            </wp:positionV>
            <wp:extent cx="4886325" cy="35490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886325" cy="3549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60" w:space="720"/>
            <w:col w:w="7160"/>
          </w:cols>
          <w:pgMar w:left="1240" w:top="114"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0B3C61"/>
        </w:rPr>
        <w:t xml:space="preserve">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B3C61"/>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Age | </w:t>
      </w:r>
      <w:r>
        <w:rPr>
          <w:rFonts w:ascii="Arial" w:cs="Arial" w:eastAsia="Arial" w:hAnsi="Arial"/>
          <w:sz w:val="16"/>
          <w:szCs w:val="16"/>
          <w:color w:val="54565B"/>
        </w:rPr>
        <w:t>67</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Director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Since | </w:t>
      </w:r>
      <w:r>
        <w:rPr>
          <w:rFonts w:ascii="Arial" w:cs="Arial" w:eastAsia="Arial" w:hAnsi="Arial"/>
          <w:sz w:val="16"/>
          <w:szCs w:val="16"/>
          <w:color w:val="54565B"/>
        </w:rPr>
        <w:t>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32"/>
          <w:szCs w:val="32"/>
          <w:color w:val="EA1D2D"/>
        </w:rPr>
        <w:t>Evans N. Nwankwo</w:t>
      </w:r>
    </w:p>
    <w:p>
      <w:pPr>
        <w:spacing w:after="0" w:line="21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0B3C61"/>
        </w:rPr>
        <w:t>Mr. Nwankwo has worked in the commercial construction industry for nearly 44 years and is the Founder and President of Megen Construction Company, one of the region’s premier builders. Megen Construction provides a full range of services including construction management, design/build, general contracting and estimating and program management and was also the first LEED Platinum builder in the State of Ohio. Megen Construction is a top-ten minority-owned business in Greater Cincinnati. Mr. Nwankwo is active in his community and around the world. He is the founder of NuWay Foundation, a charitable organization focused on improving the lives and economic conditions of the less fortunate in African villages through health, opportunity, pure water and education (H.O.P.E.). He is the Board Chairman of Ambassadors for Self Determination, a nonprofit organization focused on assisting regions of the world with their efforts towards self-determination of their governance. He is a member of the United Way Tocqueville Society and has served on the Board of Directors of a number of charitable organizations, including the American Red Cross (Cincinnati Chapter) and the Salvation Army of Greater Cincinnati.</w:t>
      </w:r>
    </w:p>
    <w:p>
      <w:pPr>
        <w:spacing w:after="0" w:line="39" w:lineRule="exact"/>
        <w:rPr>
          <w:sz w:val="20"/>
          <w:szCs w:val="20"/>
          <w:color w:val="auto"/>
        </w:rPr>
      </w:pPr>
    </w:p>
    <w:p>
      <w:pPr>
        <w:ind w:right="40"/>
        <w:spacing w:after="0" w:line="338" w:lineRule="auto"/>
        <w:rPr>
          <w:sz w:val="20"/>
          <w:szCs w:val="20"/>
          <w:color w:val="auto"/>
        </w:rPr>
      </w:pPr>
      <w:r>
        <w:rPr>
          <w:rFonts w:ascii="Arial" w:cs="Arial" w:eastAsia="Arial" w:hAnsi="Arial"/>
          <w:sz w:val="16"/>
          <w:szCs w:val="16"/>
          <w:b w:val="1"/>
          <w:bCs w:val="1"/>
          <w:color w:val="0B3C61"/>
        </w:rPr>
        <w:t>As a founder and leader of a large construction enterprise, Mr. Nwankwo is well-positioned to contribute insight into operational risk management and entrepreneurial decision-making. His experience as a business owner and community leader – both locally and in Nigeria – adds a distinct perspective to the Board’s evaluation of strategic risk and operational resilience considerations.</w:t>
      </w:r>
    </w:p>
    <w:p>
      <w:pPr>
        <w:spacing w:after="0" w:line="200" w:lineRule="exact"/>
        <w:rPr>
          <w:sz w:val="20"/>
          <w:szCs w:val="20"/>
          <w:color w:val="auto"/>
        </w:rPr>
      </w:pPr>
    </w:p>
    <w:p>
      <w:pPr>
        <w:sectPr>
          <w:pgSz w:w="11900" w:h="16838" w:orient="portrait"/>
          <w:cols w:equalWidth="0" w:num="2">
            <w:col w:w="1360" w:space="720"/>
            <w:col w:w="7160"/>
          </w:cols>
          <w:pgMar w:left="1240" w:top="114" w:right="1419" w:bottom="1440" w:gutter="0" w:footer="0" w:header="0"/>
          <w:type w:val="continuous"/>
        </w:sect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b w:val="1"/>
          <w:bCs w:val="1"/>
          <w:color w:val="EA1D2D"/>
        </w:rPr>
        <w:t xml:space="preserve">14   </w:t>
      </w:r>
      <w:r>
        <w:rPr>
          <w:rFonts w:ascii="Arial" w:cs="Arial" w:eastAsia="Arial" w:hAnsi="Arial"/>
          <w:sz w:val="12"/>
          <w:szCs w:val="12"/>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154940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240" w:top="114" w:right="14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32746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6460" cy="327469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0B3C61"/>
        </w:rPr>
        <w:t xml:space="preserve">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B3C61"/>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Age | </w:t>
      </w:r>
      <w:r>
        <w:rPr>
          <w:rFonts w:ascii="Arial" w:cs="Arial" w:eastAsia="Arial" w:hAnsi="Arial"/>
          <w:sz w:val="16"/>
          <w:szCs w:val="16"/>
          <w:color w:val="54565B"/>
        </w:rPr>
        <w:t>46</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Director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Since | </w:t>
      </w:r>
      <w:r>
        <w:rPr>
          <w:rFonts w:ascii="Arial" w:cs="Arial" w:eastAsia="Arial" w:hAnsi="Arial"/>
          <w:sz w:val="16"/>
          <w:szCs w:val="16"/>
          <w:color w:val="54565B"/>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1759585</wp:posOffset>
            </wp:positionV>
            <wp:extent cx="968375" cy="9861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68375" cy="986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32"/>
          <w:szCs w:val="32"/>
          <w:color w:val="EA1D2D"/>
        </w:rPr>
        <w:t>David L. Thompson</w:t>
      </w:r>
    </w:p>
    <w:p>
      <w:pPr>
        <w:spacing w:after="0" w:line="213" w:lineRule="exact"/>
        <w:rPr>
          <w:sz w:val="20"/>
          <w:szCs w:val="20"/>
          <w:color w:val="auto"/>
        </w:rPr>
      </w:pPr>
    </w:p>
    <w:p>
      <w:pPr>
        <w:ind w:right="220"/>
        <w:spacing w:after="0" w:line="327" w:lineRule="auto"/>
        <w:rPr>
          <w:sz w:val="20"/>
          <w:szCs w:val="20"/>
          <w:color w:val="auto"/>
        </w:rPr>
      </w:pPr>
      <w:r>
        <w:rPr>
          <w:rFonts w:ascii="Arial" w:cs="Arial" w:eastAsia="Arial" w:hAnsi="Arial"/>
          <w:sz w:val="16"/>
          <w:szCs w:val="16"/>
          <w:color w:val="0B3C61"/>
        </w:rPr>
        <w:t>Mr. Thompson currently serves as Chair of the Board, President and Chief Operating Officer of Great American Insurance Company, AFG’s flagship property and casualty insurance company. Since joining Great American in 2006, he has served in various senior management capacities and has had direct executive oversight of many of Great American’s specialty property and casualty businesses, as well as its corporate reinsurance operations, the Company’s wholly owned retail agency, Dempsey &amp; Siders, and was instrumental in the formation of its Predictive Analytics function. Raised in a multi-lingual, international household, Mr. Thompson spent his formative years in Poland, Germany, Switzerland, Hungary and Russia before returning to the United States.</w:t>
      </w:r>
    </w:p>
    <w:p>
      <w:pPr>
        <w:spacing w:after="0" w:line="6" w:lineRule="exact"/>
        <w:rPr>
          <w:sz w:val="20"/>
          <w:szCs w:val="20"/>
          <w:color w:val="auto"/>
        </w:rPr>
      </w:pPr>
    </w:p>
    <w:p>
      <w:pPr>
        <w:ind w:right="660"/>
        <w:spacing w:after="0" w:line="374" w:lineRule="auto"/>
        <w:rPr>
          <w:sz w:val="20"/>
          <w:szCs w:val="20"/>
          <w:color w:val="auto"/>
        </w:rPr>
      </w:pPr>
      <w:r>
        <w:rPr>
          <w:rFonts w:ascii="Arial" w:cs="Arial" w:eastAsia="Arial" w:hAnsi="Arial"/>
          <w:sz w:val="16"/>
          <w:szCs w:val="16"/>
          <w:color w:val="0B3C61"/>
        </w:rPr>
        <w:t>Mr. Thompson serves on the Board of Directors of the American Property Casualty Insurance Association (APCIA).</w:t>
      </w:r>
    </w:p>
    <w:p>
      <w:pPr>
        <w:spacing w:after="0" w:line="7" w:lineRule="exact"/>
        <w:rPr>
          <w:sz w:val="20"/>
          <w:szCs w:val="20"/>
          <w:color w:val="auto"/>
        </w:rPr>
      </w:pPr>
    </w:p>
    <w:p>
      <w:pPr>
        <w:ind w:right="380"/>
        <w:spacing w:after="0" w:line="338" w:lineRule="auto"/>
        <w:rPr>
          <w:sz w:val="20"/>
          <w:szCs w:val="20"/>
          <w:color w:val="auto"/>
        </w:rPr>
      </w:pPr>
      <w:r>
        <w:rPr>
          <w:rFonts w:ascii="Arial" w:cs="Arial" w:eastAsia="Arial" w:hAnsi="Arial"/>
          <w:sz w:val="16"/>
          <w:szCs w:val="16"/>
          <w:b w:val="1"/>
          <w:bCs w:val="1"/>
          <w:color w:val="0B3C61"/>
        </w:rPr>
        <w:t>Through his leadership of AFG’s property and casualty insurance operations within the Great American Insurance Group, Mr. Thompson brings a deep operational perspective to the Board. His broad experience across the Company’s specialty P&amp;C businesses enables him to contribute practical, real-time business understanding while also helping inform strategic decision-making and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429260</wp:posOffset>
            </wp:positionV>
            <wp:extent cx="4886325" cy="25888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886325" cy="25888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60" w:space="720"/>
            <w:col w:w="7320"/>
          </w:cols>
          <w:pgMar w:left="1240" w:top="114"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0B3C61"/>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B3C61"/>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Age | </w:t>
      </w:r>
      <w:r>
        <w:rPr>
          <w:rFonts w:ascii="Arial" w:cs="Arial" w:eastAsia="Arial" w:hAnsi="Arial"/>
          <w:sz w:val="16"/>
          <w:szCs w:val="16"/>
          <w:color w:val="54565B"/>
        </w:rPr>
        <w:t>67</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Director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Since | </w:t>
      </w:r>
      <w:r>
        <w:rPr>
          <w:rFonts w:ascii="Arial" w:cs="Arial" w:eastAsia="Arial" w:hAnsi="Arial"/>
          <w:sz w:val="16"/>
          <w:szCs w:val="16"/>
          <w:color w:val="54565B"/>
        </w:rPr>
        <w:t>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32"/>
          <w:szCs w:val="32"/>
          <w:color w:val="EA1D2D"/>
        </w:rPr>
        <w:t>William W. Verity</w:t>
      </w:r>
    </w:p>
    <w:p>
      <w:pPr>
        <w:spacing w:after="0" w:line="213" w:lineRule="exact"/>
        <w:rPr>
          <w:sz w:val="20"/>
          <w:szCs w:val="20"/>
          <w:color w:val="auto"/>
        </w:rPr>
      </w:pPr>
    </w:p>
    <w:p>
      <w:pPr>
        <w:ind w:right="160"/>
        <w:spacing w:after="0" w:line="335" w:lineRule="auto"/>
        <w:rPr>
          <w:sz w:val="20"/>
          <w:szCs w:val="20"/>
          <w:color w:val="auto"/>
        </w:rPr>
      </w:pPr>
      <w:r>
        <w:rPr>
          <w:rFonts w:ascii="Arial" w:cs="Arial" w:eastAsia="Arial" w:hAnsi="Arial"/>
          <w:sz w:val="16"/>
          <w:szCs w:val="16"/>
          <w:color w:val="0B3C61"/>
        </w:rPr>
        <w:t>Mr. Verity has been Chair and CEO of Verity Investment Partners, an investment management company, since 2002, and prior to that, he was a Partner of Pathway Guidance LLC, an executive consulting firm. Previously, Mr. Verity was Chair and CEO of ENCOR Holdings, Inc., which owned and operated several product and manufacturing companies, and he worked as an associate in corporate finance at Alex. Brown &amp; Sons, an investment bank. He previously served on the Board of Directors of Chiquita Brands International, Inc., an international food products marketer and distributor.</w:t>
      </w:r>
    </w:p>
    <w:p>
      <w:pPr>
        <w:spacing w:after="0" w:line="38"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color w:val="0B3C61"/>
        </w:rPr>
        <w:t>Mr. Verity’s executive leadership experience and extensive board service with public and private companies provide valuable expertise in corporate governance, executive compensation and strategic planning. His executive experience supports effective Board oversight of leadership development, succession planning and governance matters, in addition to his ability to advise on complex asset management and investment issues.</w:t>
      </w: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3"/>
          <w:szCs w:val="13"/>
          <w:color w:val="0B3C61"/>
        </w:rPr>
        <w:t xml:space="preserve">2026 Proxy Statement | American Financial Group   </w:t>
      </w:r>
      <w:r>
        <w:rPr>
          <w:rFonts w:ascii="Arial" w:cs="Arial" w:eastAsia="Arial" w:hAnsi="Arial"/>
          <w:sz w:val="13"/>
          <w:szCs w:val="13"/>
          <w:b w:val="1"/>
          <w:bCs w:val="1"/>
          <w:color w:val="EA1D2D"/>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147955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360" w:space="720"/>
            <w:col w:w="7320"/>
          </w:cols>
          <w:pgMar w:left="1240" w:top="114" w:right="12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26403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6460" cy="2640330"/>
                    </a:xfrm>
                    <a:prstGeom prst="rect">
                      <a:avLst/>
                    </a:prstGeom>
                    <a:noFill/>
                  </pic:spPr>
                </pic:pic>
              </a:graphicData>
            </a:graphic>
          </wp:anchor>
        </w:drawing>
      </w:r>
    </w:p>
    <w:p>
      <w:pPr>
        <w:sectPr>
          <w:pgSz w:w="11900" w:h="16838" w:orient="portrait"/>
          <w:cols w:equalWidth="0" w:num="1">
            <w:col w:w="9220"/>
          </w:cols>
          <w:pgMar w:left="1240" w:top="114"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0B3C61"/>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B3C61"/>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Age | </w:t>
      </w:r>
      <w:r>
        <w:rPr>
          <w:rFonts w:ascii="Arial" w:cs="Arial" w:eastAsia="Arial" w:hAnsi="Arial"/>
          <w:sz w:val="16"/>
          <w:szCs w:val="16"/>
          <w:color w:val="54565B"/>
        </w:rPr>
        <w:t>73</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Director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B3C61"/>
        </w:rPr>
        <w:t xml:space="preserve">Since | </w:t>
      </w:r>
      <w:r>
        <w:rPr>
          <w:rFonts w:ascii="Arial" w:cs="Arial" w:eastAsia="Arial" w:hAnsi="Arial"/>
          <w:sz w:val="16"/>
          <w:szCs w:val="16"/>
          <w:color w:val="54565B"/>
        </w:rPr>
        <w:t>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32"/>
          <w:szCs w:val="32"/>
          <w:color w:val="EA1D2D"/>
        </w:rPr>
        <w:t>John I. Von Lehman</w:t>
      </w:r>
    </w:p>
    <w:p>
      <w:pPr>
        <w:spacing w:after="0" w:line="213" w:lineRule="exact"/>
        <w:rPr>
          <w:sz w:val="20"/>
          <w:szCs w:val="20"/>
          <w:color w:val="auto"/>
        </w:rPr>
      </w:pPr>
    </w:p>
    <w:p>
      <w:pPr>
        <w:spacing w:after="0" w:line="335" w:lineRule="auto"/>
        <w:rPr>
          <w:sz w:val="20"/>
          <w:szCs w:val="20"/>
          <w:color w:val="auto"/>
        </w:rPr>
      </w:pPr>
      <w:r>
        <w:rPr>
          <w:rFonts w:ascii="Arial" w:cs="Arial" w:eastAsia="Arial" w:hAnsi="Arial"/>
          <w:sz w:val="16"/>
          <w:szCs w:val="16"/>
          <w:color w:val="0B3C61"/>
        </w:rPr>
        <w:t>Mr. Von Lehman began his career as a certified public accountant for Haskins &amp; Sells, a predecessor of Deloitte, LLP. For more than five years until his retirement in 2007, Mr. Von Lehman served as Executive Vice President, Chief Financial Officer, Secretary and a director of The Midland Company, an Ohio-based provider of specialty insurance products. He served on the Board of Directors and as Chairman of the Audit Committee of Ohio National Mutual Funds until 2016 and is involved with several Cincinnati-based charitable organizations.</w:t>
      </w:r>
    </w:p>
    <w:p>
      <w:pPr>
        <w:spacing w:after="0" w:line="3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color w:val="0B3C61"/>
        </w:rPr>
        <w:t>As a retired long-time executive of The Midland Company, a property and casualty insurance company, Mr. Von Lehman brings deep industry knowledge, together with extensive finance and accounting experience, including as a certified public accountant. His expertise in financial reporting, internal controls and risk assessment supports the Board’s oversight of those areas and enable him to serve as an audit committee financial expert.</w:t>
      </w:r>
    </w:p>
    <w:p>
      <w:pPr>
        <w:spacing w:after="0" w:line="200" w:lineRule="exact"/>
        <w:rPr>
          <w:sz w:val="20"/>
          <w:szCs w:val="20"/>
          <w:color w:val="auto"/>
        </w:rPr>
      </w:pPr>
    </w:p>
    <w:p>
      <w:pPr>
        <w:sectPr>
          <w:pgSz w:w="11900" w:h="16838" w:orient="portrait"/>
          <w:cols w:equalWidth="0" w:num="2">
            <w:col w:w="1360" w:space="720"/>
            <w:col w:w="7140"/>
          </w:cols>
          <w:pgMar w:left="1240" w:top="114" w:right="1439" w:bottom="1440" w:gutter="0" w:footer="0" w:header="0"/>
          <w:type w:val="continuous"/>
        </w:sectPr>
      </w:pP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EA1D2D"/>
        </w:rPr>
        <w:t xml:space="preserve">16   </w:t>
      </w:r>
      <w:r>
        <w:rPr>
          <w:rFonts w:ascii="Arial" w:cs="Arial" w:eastAsia="Arial" w:hAnsi="Arial"/>
          <w:sz w:val="12"/>
          <w:szCs w:val="12"/>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154940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20"/>
          </w:cols>
          <w:pgMar w:left="1240" w:top="114" w:right="14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0B3C61"/>
        </w:rPr>
        <w:t>SUMMARY OF ATTRIBUTES AND EXPERIENCE OF BOARD NOMINEES</w:t>
      </w:r>
    </w:p>
    <w:p>
      <w:pPr>
        <w:spacing w:after="0" w:line="8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54565B"/>
        </w:rPr>
        <w:t xml:space="preserve">In considering each director nominee, the Board and the Corporate Governance Committee evaluated each individual’s qualifications, qualities and skills to serve as a director. The Board believes that each director nominee brings a unique and valuable mix of experience and attributes to the Board. The following matrix provides information regarding the director nominees, including certain areas of knowledge, skills and experience that the Board believes are relevant to our business and strategic goals. The type and degree of knowledge, skill and experience below varies among our directors. The matrix is a non-exclusive summary and does not include all knowledge, skills, experience or other attributes of our directors that may be relevant and valuable to their service on our Board; a director may possess other relevant and important knowledge, skills and experience not indicated in the matrix. Additional information on each director nominee, including some of their specific experience, qualifications, attributes or skills, is set forth in the biographies on pages </w:t>
      </w:r>
      <w:r>
        <w:rPr>
          <w:rFonts w:ascii="Arial" w:cs="Arial" w:eastAsia="Arial" w:hAnsi="Arial"/>
          <w:sz w:val="16"/>
          <w:szCs w:val="16"/>
          <w:u w:val="single" w:color="auto"/>
          <w:color w:val="0000EE"/>
        </w:rPr>
        <w:t>10</w:t>
      </w:r>
      <w:r>
        <w:rPr>
          <w:rFonts w:ascii="Arial" w:cs="Arial" w:eastAsia="Arial" w:hAnsi="Arial"/>
          <w:sz w:val="16"/>
          <w:szCs w:val="16"/>
          <w:color w:val="54565B"/>
        </w:rPr>
        <w:t xml:space="preserve"> to </w:t>
      </w:r>
      <w:r>
        <w:rPr>
          <w:rFonts w:ascii="Arial" w:cs="Arial" w:eastAsia="Arial" w:hAnsi="Arial"/>
          <w:sz w:val="16"/>
          <w:szCs w:val="16"/>
          <w:u w:val="single" w:color="auto"/>
          <w:color w:val="0000EE"/>
        </w:rPr>
        <w:t>16</w:t>
      </w:r>
      <w:r>
        <w:rPr>
          <w:rFonts w:ascii="Arial" w:cs="Arial" w:eastAsia="Arial" w:hAnsi="Arial"/>
          <w:sz w:val="16"/>
          <w:szCs w:val="16"/>
          <w:color w:val="54565B"/>
        </w:rPr>
        <w:t xml:space="preserv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160655</wp:posOffset>
            </wp:positionV>
            <wp:extent cx="4911725" cy="4114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117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54565B"/>
        </w:rPr>
        <w:t> </w:t>
      </w:r>
    </w:p>
    <w:p>
      <w:pPr>
        <w:spacing w:after="0" w:line="325" w:lineRule="exact"/>
        <w:rPr>
          <w:sz w:val="20"/>
          <w:szCs w:val="20"/>
          <w:color w:val="auto"/>
        </w:rPr>
      </w:pPr>
    </w:p>
    <w:p>
      <w:pPr>
        <w:ind w:left="6360"/>
        <w:spacing w:after="0"/>
        <w:rPr>
          <w:sz w:val="20"/>
          <w:szCs w:val="20"/>
          <w:color w:val="auto"/>
        </w:rPr>
      </w:pPr>
      <w:r>
        <w:rPr>
          <w:rFonts w:ascii="Arial" w:cs="Arial" w:eastAsia="Arial" w:hAnsi="Arial"/>
          <w:sz w:val="12"/>
          <w:szCs w:val="12"/>
          <w:color w:val="0B3C61"/>
        </w:rPr>
        <w:t xml:space="preserve">2026 Proxy Statement | American Financial Group   </w:t>
      </w:r>
      <w:r>
        <w:rPr>
          <w:rFonts w:ascii="Arial" w:cs="Arial" w:eastAsia="Arial" w:hAnsi="Arial"/>
          <w:sz w:val="12"/>
          <w:szCs w:val="12"/>
          <w:b w:val="1"/>
          <w:bCs w:val="1"/>
          <w:color w:val="EA1D2D"/>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163830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222885</wp:posOffset>
            </wp:positionV>
            <wp:extent cx="59664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50"/>
          <w:szCs w:val="50"/>
          <w:color w:val="0B3C61"/>
        </w:rPr>
        <w:t>Proposal No. 2</w:t>
      </w:r>
    </w:p>
    <w:p>
      <w:pPr>
        <w:spacing w:after="0" w:line="119" w:lineRule="exact"/>
        <w:rPr>
          <w:sz w:val="20"/>
          <w:szCs w:val="20"/>
          <w:color w:val="auto"/>
        </w:rPr>
      </w:pPr>
    </w:p>
    <w:p>
      <w:pPr>
        <w:spacing w:after="0"/>
        <w:rPr>
          <w:sz w:val="20"/>
          <w:szCs w:val="20"/>
          <w:color w:val="auto"/>
        </w:rPr>
      </w:pPr>
      <w:r>
        <w:rPr>
          <w:rFonts w:ascii="Arial" w:cs="Arial" w:eastAsia="Arial" w:hAnsi="Arial"/>
          <w:sz w:val="32"/>
          <w:szCs w:val="32"/>
          <w:color w:val="EA1D2D"/>
        </w:rPr>
        <w:t>Ratification of Appointment of Independent Registered Public</w:t>
      </w:r>
    </w:p>
    <w:p>
      <w:pPr>
        <w:spacing w:after="0" w:line="42" w:lineRule="exact"/>
        <w:rPr>
          <w:sz w:val="20"/>
          <w:szCs w:val="20"/>
          <w:color w:val="auto"/>
        </w:rPr>
      </w:pPr>
    </w:p>
    <w:p>
      <w:pPr>
        <w:spacing w:after="0"/>
        <w:rPr>
          <w:sz w:val="20"/>
          <w:szCs w:val="20"/>
          <w:color w:val="auto"/>
        </w:rPr>
      </w:pPr>
      <w:r>
        <w:rPr>
          <w:rFonts w:ascii="Arial" w:cs="Arial" w:eastAsia="Arial" w:hAnsi="Arial"/>
          <w:sz w:val="32"/>
          <w:szCs w:val="32"/>
          <w:color w:val="EA1D2D"/>
        </w:rPr>
        <w:t>Accounting Firm</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EA1D2D"/>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4118610</wp:posOffset>
            </wp:positionH>
            <wp:positionV relativeFrom="paragraph">
              <wp:posOffset>46990</wp:posOffset>
            </wp:positionV>
            <wp:extent cx="1851660" cy="2948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51660" cy="294894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100"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54565B"/>
        </w:rPr>
        <w:t>The Company’s Audit Committee Charter requires that the Audit Committee appoint annually an independent registered public accounting firm to serve as auditors. In February 2026, the Audit Committee appointed Ernst &amp; Young LLP to serve as the Company’s independent registered public accounting firm for 2026.</w:t>
      </w:r>
    </w:p>
    <w:p>
      <w:pPr>
        <w:spacing w:after="0" w:line="56"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54565B"/>
        </w:rPr>
        <w:t>Although the Audit Committee has the sole authority to appoint auditors, shareholders are being asked to ratify this appointment. If the shareholders do not ratify the appointment, the Audit Committee will take that fact into consideration but may determine to continue to retain Ernst &amp; Young. However, the Audit Committee in its discretion may engage a different independent registered public accounting firm at any time during the year if the Audit Committee determines that such a change would be in the best interests of the Company whether or not the shareholders ratify the appointment.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0B3C61"/>
        </w:rPr>
        <w:t>AUDIT FEES AND NON-AUDIT FEES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color w:val="0B3C61"/>
        </w:rPr>
        <w:t>The Board of</w:t>
      </w:r>
    </w:p>
    <w:p>
      <w:pPr>
        <w:spacing w:after="0" w:line="34" w:lineRule="exact"/>
        <w:rPr>
          <w:sz w:val="20"/>
          <w:szCs w:val="20"/>
          <w:color w:val="auto"/>
        </w:rPr>
      </w:pPr>
    </w:p>
    <w:p>
      <w:pPr>
        <w:spacing w:after="0"/>
        <w:rPr>
          <w:sz w:val="20"/>
          <w:szCs w:val="20"/>
          <w:color w:val="auto"/>
        </w:rPr>
      </w:pPr>
      <w:r>
        <w:rPr>
          <w:rFonts w:ascii="Arial" w:cs="Arial" w:eastAsia="Arial" w:hAnsi="Arial"/>
          <w:sz w:val="25"/>
          <w:szCs w:val="25"/>
          <w:color w:val="0B3C61"/>
        </w:rPr>
        <w:t>Directors</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B3C61"/>
        </w:rPr>
        <w:t>recommends that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B3C61"/>
        </w:rPr>
        <w:t>shareholders vote</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B3C61"/>
        </w:rPr>
        <w:t>FOR the ratification</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B3C61"/>
        </w:rPr>
        <w:t>of the Audit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B3C61"/>
        </w:rPr>
        <w:t>Committee’s</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B3C61"/>
        </w:rPr>
        <w:t>appointment of</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B3C61"/>
        </w:rPr>
        <w:t>Ernst &amp; Young as</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B3C61"/>
        </w:rPr>
        <w:t>our independent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B3C61"/>
        </w:rPr>
        <w:t>registered public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B3C61"/>
        </w:rPr>
        <w:t>accounting firm for</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B3C61"/>
        </w:rPr>
        <w:t>2026.</w:t>
      </w:r>
    </w:p>
    <w:p>
      <w:pPr>
        <w:spacing w:after="0" w:line="830" w:lineRule="exact"/>
        <w:rPr>
          <w:sz w:val="20"/>
          <w:szCs w:val="20"/>
          <w:color w:val="auto"/>
        </w:rPr>
      </w:pPr>
    </w:p>
    <w:p>
      <w:pPr>
        <w:sectPr>
          <w:pgSz w:w="11900" w:h="16838" w:orient="portrait"/>
          <w:cols w:equalWidth="0" w:num="2">
            <w:col w:w="6240" w:space="720"/>
            <w:col w:w="2440"/>
          </w:cols>
          <w:pgMar w:left="1240" w:top="114" w:right="1259" w:bottom="1440" w:gutter="0" w:footer="0" w:header="0"/>
          <w:type w:val="continuous"/>
        </w:sectPr>
      </w:pPr>
    </w:p>
    <w:p>
      <w:pPr>
        <w:ind w:right="260"/>
        <w:spacing w:after="0" w:line="286" w:lineRule="auto"/>
        <w:rPr>
          <w:sz w:val="20"/>
          <w:szCs w:val="20"/>
          <w:color w:val="auto"/>
        </w:rPr>
      </w:pPr>
      <w:r>
        <w:rPr>
          <w:rFonts w:ascii="Arial" w:cs="Arial" w:eastAsia="Arial" w:hAnsi="Arial"/>
          <w:sz w:val="16"/>
          <w:szCs w:val="16"/>
          <w:color w:val="54565B"/>
        </w:rPr>
        <w:t>The following table presents fees for professional services performed by Ernst &amp; Young for the years ended December 31, 2025 and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4180" w:type="dxa"/>
            <w:vAlign w:val="bottom"/>
            <w:shd w:val="clear" w:color="auto" w:fill="0B3C61"/>
          </w:tcPr>
          <w:p>
            <w:pPr>
              <w:spacing w:after="0"/>
              <w:rPr>
                <w:sz w:val="24"/>
                <w:szCs w:val="24"/>
                <w:color w:val="auto"/>
              </w:rPr>
            </w:pPr>
          </w:p>
        </w:tc>
        <w:tc>
          <w:tcPr>
            <w:tcW w:w="2920" w:type="dxa"/>
            <w:vAlign w:val="bottom"/>
            <w:shd w:val="clear" w:color="auto" w:fill="0B3C61"/>
          </w:tcPr>
          <w:p>
            <w:pPr>
              <w:spacing w:after="0"/>
              <w:rPr>
                <w:sz w:val="24"/>
                <w:szCs w:val="24"/>
                <w:color w:val="auto"/>
              </w:rPr>
            </w:pPr>
          </w:p>
        </w:tc>
        <w:tc>
          <w:tcPr>
            <w:tcW w:w="900" w:type="dxa"/>
            <w:vAlign w:val="bottom"/>
            <w:shd w:val="clear" w:color="auto" w:fill="0B3C61"/>
          </w:tcPr>
          <w:p>
            <w:pPr>
              <w:jc w:val="right"/>
              <w:ind w:right="408"/>
              <w:spacing w:after="0"/>
              <w:rPr>
                <w:sz w:val="20"/>
                <w:szCs w:val="20"/>
                <w:color w:val="auto"/>
              </w:rPr>
            </w:pPr>
            <w:r>
              <w:rPr>
                <w:rFonts w:ascii="Arial" w:cs="Arial" w:eastAsia="Arial" w:hAnsi="Arial"/>
                <w:sz w:val="14"/>
                <w:szCs w:val="14"/>
                <w:color w:val="FFFFFF"/>
              </w:rPr>
              <w:t>2025</w:t>
            </w:r>
          </w:p>
        </w:tc>
        <w:tc>
          <w:tcPr>
            <w:tcW w:w="1400" w:type="dxa"/>
            <w:vAlign w:val="bottom"/>
            <w:shd w:val="clear" w:color="auto" w:fill="0B3C61"/>
          </w:tcPr>
          <w:p>
            <w:pPr>
              <w:jc w:val="right"/>
              <w:ind w:right="528"/>
              <w:spacing w:after="0"/>
              <w:rPr>
                <w:sz w:val="20"/>
                <w:szCs w:val="20"/>
                <w:color w:val="auto"/>
              </w:rPr>
            </w:pPr>
            <w:r>
              <w:rPr>
                <w:rFonts w:ascii="Arial" w:cs="Arial" w:eastAsia="Arial" w:hAnsi="Arial"/>
                <w:sz w:val="14"/>
                <w:szCs w:val="14"/>
                <w:color w:val="FFFFFF"/>
              </w:rPr>
              <w:t>2024</w:t>
            </w:r>
          </w:p>
        </w:tc>
      </w:tr>
      <w:tr>
        <w:trPr>
          <w:trHeight w:val="62"/>
        </w:trPr>
        <w:tc>
          <w:tcPr>
            <w:tcW w:w="4180" w:type="dxa"/>
            <w:vAlign w:val="bottom"/>
            <w:shd w:val="clear" w:color="auto" w:fill="0B3C61"/>
          </w:tcPr>
          <w:p>
            <w:pPr>
              <w:spacing w:after="0"/>
              <w:rPr>
                <w:sz w:val="5"/>
                <w:szCs w:val="5"/>
                <w:color w:val="auto"/>
              </w:rPr>
            </w:pPr>
          </w:p>
        </w:tc>
        <w:tc>
          <w:tcPr>
            <w:tcW w:w="3820" w:type="dxa"/>
            <w:vAlign w:val="bottom"/>
            <w:gridSpan w:val="2"/>
            <w:shd w:val="clear" w:color="auto" w:fill="0B3C61"/>
          </w:tcPr>
          <w:p>
            <w:pPr>
              <w:spacing w:after="0"/>
              <w:rPr>
                <w:sz w:val="5"/>
                <w:szCs w:val="5"/>
                <w:color w:val="auto"/>
              </w:rPr>
            </w:pPr>
          </w:p>
        </w:tc>
        <w:tc>
          <w:tcPr>
            <w:tcW w:w="1400" w:type="dxa"/>
            <w:vAlign w:val="bottom"/>
            <w:shd w:val="clear" w:color="auto" w:fill="0B3C61"/>
          </w:tcPr>
          <w:p>
            <w:pPr>
              <w:spacing w:after="0"/>
              <w:rPr>
                <w:sz w:val="5"/>
                <w:szCs w:val="5"/>
                <w:color w:val="auto"/>
              </w:rPr>
            </w:pPr>
          </w:p>
        </w:tc>
      </w:tr>
      <w:tr>
        <w:trPr>
          <w:trHeight w:val="324"/>
        </w:trPr>
        <w:tc>
          <w:tcPr>
            <w:tcW w:w="4180" w:type="dxa"/>
            <w:vAlign w:val="bottom"/>
          </w:tcPr>
          <w:p>
            <w:pPr>
              <w:ind w:left="240"/>
              <w:spacing w:after="0"/>
              <w:rPr>
                <w:sz w:val="20"/>
                <w:szCs w:val="20"/>
                <w:color w:val="auto"/>
              </w:rPr>
            </w:pPr>
            <w:r>
              <w:rPr>
                <w:rFonts w:ascii="Arial" w:cs="Arial" w:eastAsia="Arial" w:hAnsi="Arial"/>
                <w:sz w:val="14"/>
                <w:szCs w:val="14"/>
                <w:color w:val="54565B"/>
              </w:rPr>
              <w:t>Audit fees</w:t>
            </w:r>
            <w:r>
              <w:rPr>
                <w:rFonts w:ascii="Arial" w:cs="Arial" w:eastAsia="Arial" w:hAnsi="Arial"/>
                <w:sz w:val="23"/>
                <w:szCs w:val="23"/>
                <w:color w:val="54565B"/>
                <w:vertAlign w:val="superscript"/>
              </w:rPr>
              <w:t>(1)</w:t>
            </w:r>
          </w:p>
        </w:tc>
        <w:tc>
          <w:tcPr>
            <w:tcW w:w="3820" w:type="dxa"/>
            <w:vAlign w:val="bottom"/>
            <w:gridSpan w:val="2"/>
          </w:tcPr>
          <w:p>
            <w:pPr>
              <w:ind w:left="2800"/>
              <w:spacing w:after="0"/>
              <w:rPr>
                <w:sz w:val="20"/>
                <w:szCs w:val="20"/>
                <w:color w:val="auto"/>
              </w:rPr>
            </w:pPr>
            <w:r>
              <w:rPr>
                <w:rFonts w:ascii="Arial" w:cs="Arial" w:eastAsia="Arial" w:hAnsi="Arial"/>
                <w:sz w:val="14"/>
                <w:szCs w:val="14"/>
                <w:color w:val="54565B"/>
              </w:rPr>
              <w:t>$8,594,000</w:t>
            </w:r>
          </w:p>
        </w:tc>
        <w:tc>
          <w:tcPr>
            <w:tcW w:w="1400" w:type="dxa"/>
            <w:vAlign w:val="bottom"/>
          </w:tcPr>
          <w:p>
            <w:pPr>
              <w:ind w:left="280"/>
              <w:spacing w:after="0"/>
              <w:rPr>
                <w:sz w:val="20"/>
                <w:szCs w:val="20"/>
                <w:color w:val="auto"/>
              </w:rPr>
            </w:pPr>
            <w:r>
              <w:rPr>
                <w:rFonts w:ascii="Arial" w:cs="Arial" w:eastAsia="Arial" w:hAnsi="Arial"/>
                <w:sz w:val="14"/>
                <w:szCs w:val="14"/>
                <w:color w:val="54565B"/>
              </w:rPr>
              <w:t>$8,094,000</w:t>
            </w:r>
          </w:p>
        </w:tc>
      </w:tr>
      <w:tr>
        <w:trPr>
          <w:trHeight w:val="237"/>
        </w:trPr>
        <w:tc>
          <w:tcPr>
            <w:tcW w:w="418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color w:val="54565B"/>
              </w:rPr>
              <w:t>Audit related fees</w:t>
            </w:r>
          </w:p>
        </w:tc>
        <w:tc>
          <w:tcPr>
            <w:tcW w:w="2920" w:type="dxa"/>
            <w:vAlign w:val="bottom"/>
            <w:tcBorders>
              <w:bottom w:val="single" w:sz="8" w:color="EAF7FA"/>
            </w:tcBorders>
            <w:shd w:val="clear" w:color="auto" w:fill="EAF7FA"/>
          </w:tcPr>
          <w:p>
            <w:pPr>
              <w:spacing w:after="0"/>
              <w:rPr>
                <w:sz w:val="20"/>
                <w:szCs w:val="20"/>
                <w:color w:val="auto"/>
              </w:rPr>
            </w:pPr>
          </w:p>
        </w:tc>
        <w:tc>
          <w:tcPr>
            <w:tcW w:w="900" w:type="dxa"/>
            <w:vAlign w:val="bottom"/>
            <w:tcBorders>
              <w:bottom w:val="single" w:sz="8" w:color="EAF7FA"/>
            </w:tcBorders>
            <w:shd w:val="clear" w:color="auto" w:fill="EAF7FA"/>
          </w:tcPr>
          <w:p>
            <w:pPr>
              <w:jc w:val="right"/>
              <w:ind w:right="228"/>
              <w:spacing w:after="0"/>
              <w:rPr>
                <w:sz w:val="20"/>
                <w:szCs w:val="20"/>
                <w:color w:val="auto"/>
              </w:rPr>
            </w:pPr>
            <w:r>
              <w:rPr>
                <w:rFonts w:ascii="Arial" w:cs="Arial" w:eastAsia="Arial" w:hAnsi="Arial"/>
                <w:sz w:val="14"/>
                <w:szCs w:val="14"/>
                <w:color w:val="54565B"/>
              </w:rPr>
              <w:t>—</w:t>
            </w:r>
          </w:p>
        </w:tc>
        <w:tc>
          <w:tcPr>
            <w:tcW w:w="1400" w:type="dxa"/>
            <w:vAlign w:val="bottom"/>
            <w:tcBorders>
              <w:bottom w:val="single" w:sz="8" w:color="EAF7FA"/>
            </w:tcBorders>
            <w:shd w:val="clear" w:color="auto" w:fill="EAF7FA"/>
          </w:tcPr>
          <w:p>
            <w:pPr>
              <w:jc w:val="right"/>
              <w:ind w:right="328"/>
              <w:spacing w:after="0"/>
              <w:rPr>
                <w:sz w:val="20"/>
                <w:szCs w:val="20"/>
                <w:color w:val="auto"/>
              </w:rPr>
            </w:pPr>
            <w:r>
              <w:rPr>
                <w:rFonts w:ascii="Arial" w:cs="Arial" w:eastAsia="Arial" w:hAnsi="Arial"/>
                <w:sz w:val="14"/>
                <w:szCs w:val="14"/>
                <w:color w:val="54565B"/>
              </w:rPr>
              <w:t>—</w:t>
            </w:r>
          </w:p>
        </w:tc>
      </w:tr>
      <w:tr>
        <w:trPr>
          <w:trHeight w:val="283"/>
        </w:trPr>
        <w:tc>
          <w:tcPr>
            <w:tcW w:w="4180" w:type="dxa"/>
            <w:vAlign w:val="bottom"/>
          </w:tcPr>
          <w:p>
            <w:pPr>
              <w:ind w:left="240"/>
              <w:spacing w:after="0"/>
              <w:rPr>
                <w:sz w:val="20"/>
                <w:szCs w:val="20"/>
                <w:color w:val="auto"/>
              </w:rPr>
            </w:pPr>
            <w:r>
              <w:rPr>
                <w:rFonts w:ascii="Arial" w:cs="Arial" w:eastAsia="Arial" w:hAnsi="Arial"/>
                <w:sz w:val="14"/>
                <w:szCs w:val="14"/>
                <w:color w:val="54565B"/>
              </w:rPr>
              <w:t>Tax fees</w:t>
            </w:r>
            <w:r>
              <w:rPr>
                <w:rFonts w:ascii="Arial" w:cs="Arial" w:eastAsia="Arial" w:hAnsi="Arial"/>
                <w:sz w:val="23"/>
                <w:szCs w:val="23"/>
                <w:color w:val="54565B"/>
                <w:vertAlign w:val="superscript"/>
              </w:rPr>
              <w:t>(2)</w:t>
            </w:r>
          </w:p>
        </w:tc>
        <w:tc>
          <w:tcPr>
            <w:tcW w:w="2920" w:type="dxa"/>
            <w:vAlign w:val="bottom"/>
          </w:tcPr>
          <w:p>
            <w:pPr>
              <w:ind w:left="2800"/>
              <w:spacing w:after="0"/>
              <w:rPr>
                <w:sz w:val="20"/>
                <w:szCs w:val="20"/>
                <w:color w:val="auto"/>
              </w:rPr>
            </w:pPr>
            <w:r>
              <w:rPr>
                <w:rFonts w:ascii="Arial" w:cs="Arial" w:eastAsia="Arial" w:hAnsi="Arial"/>
                <w:sz w:val="14"/>
                <w:szCs w:val="14"/>
                <w:color w:val="54565B"/>
              </w:rPr>
              <w:t>​</w:t>
            </w:r>
          </w:p>
        </w:tc>
        <w:tc>
          <w:tcPr>
            <w:tcW w:w="900" w:type="dxa"/>
            <w:vAlign w:val="bottom"/>
          </w:tcPr>
          <w:p>
            <w:pPr>
              <w:jc w:val="right"/>
              <w:ind w:right="228"/>
              <w:spacing w:after="0"/>
              <w:rPr>
                <w:sz w:val="20"/>
                <w:szCs w:val="20"/>
                <w:color w:val="auto"/>
              </w:rPr>
            </w:pPr>
            <w:r>
              <w:rPr>
                <w:rFonts w:ascii="Arial" w:cs="Arial" w:eastAsia="Arial" w:hAnsi="Arial"/>
                <w:sz w:val="14"/>
                <w:szCs w:val="14"/>
                <w:color w:val="54565B"/>
              </w:rPr>
              <w:t>445,000</w:t>
            </w:r>
          </w:p>
        </w:tc>
        <w:tc>
          <w:tcPr>
            <w:tcW w:w="1400" w:type="dxa"/>
            <w:vAlign w:val="bottom"/>
          </w:tcPr>
          <w:p>
            <w:pPr>
              <w:jc w:val="right"/>
              <w:ind w:right="328"/>
              <w:spacing w:after="0"/>
              <w:rPr>
                <w:sz w:val="20"/>
                <w:szCs w:val="20"/>
                <w:color w:val="auto"/>
              </w:rPr>
            </w:pPr>
            <w:r>
              <w:rPr>
                <w:rFonts w:ascii="Arial" w:cs="Arial" w:eastAsia="Arial" w:hAnsi="Arial"/>
                <w:sz w:val="14"/>
                <w:szCs w:val="14"/>
                <w:color w:val="54565B"/>
              </w:rPr>
              <w:t>522,000</w:t>
            </w:r>
          </w:p>
        </w:tc>
      </w:tr>
      <w:tr>
        <w:trPr>
          <w:trHeight w:val="284"/>
        </w:trPr>
        <w:tc>
          <w:tcPr>
            <w:tcW w:w="4180" w:type="dxa"/>
            <w:vAlign w:val="bottom"/>
            <w:shd w:val="clear" w:color="auto" w:fill="EAF7FA"/>
          </w:tcPr>
          <w:p>
            <w:pPr>
              <w:ind w:left="240"/>
              <w:spacing w:after="0"/>
              <w:rPr>
                <w:sz w:val="20"/>
                <w:szCs w:val="20"/>
                <w:color w:val="auto"/>
              </w:rPr>
            </w:pPr>
            <w:r>
              <w:rPr>
                <w:rFonts w:ascii="Arial" w:cs="Arial" w:eastAsia="Arial" w:hAnsi="Arial"/>
                <w:sz w:val="14"/>
                <w:szCs w:val="14"/>
                <w:color w:val="54565B"/>
              </w:rPr>
              <w:t>All other fees</w:t>
            </w:r>
            <w:r>
              <w:rPr>
                <w:rFonts w:ascii="Arial" w:cs="Arial" w:eastAsia="Arial" w:hAnsi="Arial"/>
                <w:sz w:val="23"/>
                <w:szCs w:val="23"/>
                <w:color w:val="54565B"/>
                <w:vertAlign w:val="superscript"/>
              </w:rPr>
              <w:t>(3)</w:t>
            </w:r>
          </w:p>
        </w:tc>
        <w:tc>
          <w:tcPr>
            <w:tcW w:w="2920" w:type="dxa"/>
            <w:vAlign w:val="bottom"/>
            <w:shd w:val="clear" w:color="auto" w:fill="EAF7FA"/>
          </w:tcPr>
          <w:p>
            <w:pPr>
              <w:ind w:left="2800"/>
              <w:spacing w:after="0"/>
              <w:rPr>
                <w:sz w:val="20"/>
                <w:szCs w:val="20"/>
                <w:color w:val="auto"/>
              </w:rPr>
            </w:pPr>
            <w:r>
              <w:rPr>
                <w:rFonts w:ascii="Arial" w:cs="Arial" w:eastAsia="Arial" w:hAnsi="Arial"/>
                <w:sz w:val="14"/>
                <w:szCs w:val="14"/>
                <w:color w:val="54565B"/>
              </w:rPr>
              <w:t>​</w:t>
            </w:r>
          </w:p>
        </w:tc>
        <w:tc>
          <w:tcPr>
            <w:tcW w:w="900" w:type="dxa"/>
            <w:vAlign w:val="bottom"/>
            <w:shd w:val="clear" w:color="auto" w:fill="EAF7FA"/>
          </w:tcPr>
          <w:p>
            <w:pPr>
              <w:jc w:val="right"/>
              <w:ind w:right="228"/>
              <w:spacing w:after="0"/>
              <w:rPr>
                <w:sz w:val="20"/>
                <w:szCs w:val="20"/>
                <w:color w:val="auto"/>
              </w:rPr>
            </w:pPr>
            <w:r>
              <w:rPr>
                <w:rFonts w:ascii="Arial" w:cs="Arial" w:eastAsia="Arial" w:hAnsi="Arial"/>
                <w:sz w:val="14"/>
                <w:szCs w:val="14"/>
                <w:color w:val="54565B"/>
              </w:rPr>
              <w:t>642,000</w:t>
            </w:r>
          </w:p>
        </w:tc>
        <w:tc>
          <w:tcPr>
            <w:tcW w:w="1400" w:type="dxa"/>
            <w:vAlign w:val="bottom"/>
            <w:shd w:val="clear" w:color="auto" w:fill="EAF7FA"/>
          </w:tcPr>
          <w:p>
            <w:pPr>
              <w:ind w:left="280"/>
              <w:spacing w:after="0"/>
              <w:rPr>
                <w:sz w:val="20"/>
                <w:szCs w:val="20"/>
                <w:color w:val="auto"/>
              </w:rPr>
            </w:pPr>
            <w:r>
              <w:rPr>
                <w:rFonts w:ascii="Arial" w:cs="Arial" w:eastAsia="Arial" w:hAnsi="Arial"/>
                <w:sz w:val="14"/>
                <w:szCs w:val="14"/>
                <w:color w:val="54565B"/>
              </w:rPr>
              <w:t>​  611,000</w:t>
            </w:r>
          </w:p>
        </w:tc>
      </w:tr>
      <w:tr>
        <w:trPr>
          <w:trHeight w:val="221"/>
        </w:trPr>
        <w:tc>
          <w:tcPr>
            <w:tcW w:w="4180" w:type="dxa"/>
            <w:vAlign w:val="bottom"/>
          </w:tcPr>
          <w:p>
            <w:pPr>
              <w:ind w:left="240"/>
              <w:spacing w:after="0"/>
              <w:rPr>
                <w:sz w:val="20"/>
                <w:szCs w:val="20"/>
                <w:color w:val="auto"/>
              </w:rPr>
            </w:pPr>
            <w:r>
              <w:rPr>
                <w:rFonts w:ascii="Arial" w:cs="Arial" w:eastAsia="Arial" w:hAnsi="Arial"/>
                <w:sz w:val="14"/>
                <w:szCs w:val="14"/>
                <w:color w:val="54565B"/>
              </w:rPr>
              <w:t>Total</w:t>
            </w:r>
          </w:p>
        </w:tc>
        <w:tc>
          <w:tcPr>
            <w:tcW w:w="3820" w:type="dxa"/>
            <w:vAlign w:val="bottom"/>
            <w:gridSpan w:val="2"/>
          </w:tcPr>
          <w:p>
            <w:pPr>
              <w:ind w:left="2800"/>
              <w:spacing w:after="0"/>
              <w:rPr>
                <w:sz w:val="20"/>
                <w:szCs w:val="20"/>
                <w:color w:val="auto"/>
              </w:rPr>
            </w:pPr>
            <w:r>
              <w:rPr>
                <w:rFonts w:ascii="Arial" w:cs="Arial" w:eastAsia="Arial" w:hAnsi="Arial"/>
                <w:sz w:val="14"/>
                <w:szCs w:val="14"/>
                <w:color w:val="54565B"/>
              </w:rPr>
              <w:t>$9,681,000</w:t>
            </w:r>
          </w:p>
        </w:tc>
        <w:tc>
          <w:tcPr>
            <w:tcW w:w="1400" w:type="dxa"/>
            <w:vAlign w:val="bottom"/>
          </w:tcPr>
          <w:p>
            <w:pPr>
              <w:ind w:left="280"/>
              <w:spacing w:after="0"/>
              <w:rPr>
                <w:sz w:val="20"/>
                <w:szCs w:val="20"/>
                <w:color w:val="auto"/>
              </w:rPr>
            </w:pPr>
            <w:r>
              <w:rPr>
                <w:rFonts w:ascii="Arial" w:cs="Arial" w:eastAsia="Arial" w:hAnsi="Arial"/>
                <w:sz w:val="14"/>
                <w:szCs w:val="14"/>
                <w:color w:val="54565B"/>
              </w:rPr>
              <w:t>$9,227,000</w:t>
            </w:r>
          </w:p>
        </w:tc>
      </w:tr>
      <w:tr>
        <w:trPr>
          <w:trHeight w:val="35"/>
        </w:trPr>
        <w:tc>
          <w:tcPr>
            <w:tcW w:w="4180" w:type="dxa"/>
            <w:vAlign w:val="bottom"/>
            <w:tcBorders>
              <w:bottom w:val="single" w:sz="8" w:color="0B3C61"/>
            </w:tcBorders>
          </w:tcPr>
          <w:p>
            <w:pPr>
              <w:spacing w:after="0"/>
              <w:rPr>
                <w:sz w:val="3"/>
                <w:szCs w:val="3"/>
                <w:color w:val="auto"/>
              </w:rPr>
            </w:pPr>
          </w:p>
        </w:tc>
        <w:tc>
          <w:tcPr>
            <w:tcW w:w="2920" w:type="dxa"/>
            <w:vAlign w:val="bottom"/>
            <w:tcBorders>
              <w:bottom w:val="single" w:sz="8" w:color="0B3C61"/>
            </w:tcBorders>
          </w:tcPr>
          <w:p>
            <w:pPr>
              <w:spacing w:after="0"/>
              <w:rPr>
                <w:sz w:val="3"/>
                <w:szCs w:val="3"/>
                <w:color w:val="auto"/>
              </w:rPr>
            </w:pPr>
          </w:p>
        </w:tc>
        <w:tc>
          <w:tcPr>
            <w:tcW w:w="900" w:type="dxa"/>
            <w:vAlign w:val="bottom"/>
            <w:tcBorders>
              <w:bottom w:val="single" w:sz="8" w:color="0B3C61"/>
            </w:tcBorders>
          </w:tcPr>
          <w:p>
            <w:pPr>
              <w:spacing w:after="0"/>
              <w:rPr>
                <w:sz w:val="3"/>
                <w:szCs w:val="3"/>
                <w:color w:val="auto"/>
              </w:rPr>
            </w:pPr>
          </w:p>
        </w:tc>
        <w:tc>
          <w:tcPr>
            <w:tcW w:w="1400" w:type="dxa"/>
            <w:vAlign w:val="bottom"/>
            <w:tcBorders>
              <w:bottom w:val="single" w:sz="8" w:color="0B3C61"/>
            </w:tcBorders>
          </w:tcPr>
          <w:p>
            <w:pPr>
              <w:spacing w:after="0"/>
              <w:rPr>
                <w:sz w:val="3"/>
                <w:szCs w:val="3"/>
                <w:color w:val="auto"/>
              </w:rPr>
            </w:pPr>
          </w:p>
        </w:tc>
      </w:tr>
    </w:tbl>
    <w:p>
      <w:pPr>
        <w:spacing w:after="0" w:line="144" w:lineRule="exact"/>
        <w:rPr>
          <w:sz w:val="20"/>
          <w:szCs w:val="20"/>
          <w:color w:val="auto"/>
        </w:rPr>
      </w:pPr>
    </w:p>
    <w:p>
      <w:pPr>
        <w:ind w:left="440" w:right="100" w:hanging="272"/>
        <w:spacing w:after="0" w:line="243" w:lineRule="auto"/>
        <w:tabs>
          <w:tab w:leader="none" w:pos="440" w:val="left"/>
        </w:tabs>
        <w:numPr>
          <w:ilvl w:val="0"/>
          <w:numId w:val="6"/>
        </w:numPr>
        <w:rPr>
          <w:rFonts w:ascii="Arial" w:cs="Arial" w:eastAsia="Arial" w:hAnsi="Arial"/>
          <w:sz w:val="13"/>
          <w:szCs w:val="13"/>
          <w:color w:val="54565B"/>
        </w:rPr>
      </w:pPr>
      <w:r>
        <w:rPr>
          <w:rFonts w:ascii="Arial" w:cs="Arial" w:eastAsia="Arial" w:hAnsi="Arial"/>
          <w:sz w:val="13"/>
          <w:szCs w:val="13"/>
          <w:color w:val="54565B"/>
        </w:rPr>
        <w:t>These aggregate fees were for audits of the financial statements (including services incurred to render an opinion under Section 404 of the Sarbanes-Oxley Act of 2002), subsidiary insurance company audits, reviews of SEC filings, and quarterly reviews.</w:t>
      </w:r>
    </w:p>
    <w:p>
      <w:pPr>
        <w:spacing w:after="0" w:line="21" w:lineRule="exact"/>
        <w:rPr>
          <w:rFonts w:ascii="Arial" w:cs="Arial" w:eastAsia="Arial" w:hAnsi="Arial"/>
          <w:sz w:val="13"/>
          <w:szCs w:val="13"/>
          <w:color w:val="54565B"/>
        </w:rPr>
      </w:pPr>
    </w:p>
    <w:p>
      <w:pPr>
        <w:ind w:left="440" w:right="480" w:hanging="272"/>
        <w:spacing w:after="0" w:line="243" w:lineRule="auto"/>
        <w:tabs>
          <w:tab w:leader="none" w:pos="440" w:val="left"/>
        </w:tabs>
        <w:numPr>
          <w:ilvl w:val="0"/>
          <w:numId w:val="6"/>
        </w:numPr>
        <w:rPr>
          <w:rFonts w:ascii="Arial" w:cs="Arial" w:eastAsia="Arial" w:hAnsi="Arial"/>
          <w:sz w:val="13"/>
          <w:szCs w:val="13"/>
          <w:color w:val="54565B"/>
        </w:rPr>
      </w:pPr>
      <w:r>
        <w:rPr>
          <w:rFonts w:ascii="Arial" w:cs="Arial" w:eastAsia="Arial" w:hAnsi="Arial"/>
          <w:sz w:val="13"/>
          <w:szCs w:val="13"/>
          <w:color w:val="54565B"/>
        </w:rPr>
        <w:t>These fees relate primarily to tax compliance engagements for preparation and review of foreign tax returns and certain collateralized loan obligations, in addition to other tax advisory services.</w:t>
      </w:r>
    </w:p>
    <w:p>
      <w:pPr>
        <w:spacing w:after="0" w:line="21" w:lineRule="exact"/>
        <w:rPr>
          <w:rFonts w:ascii="Arial" w:cs="Arial" w:eastAsia="Arial" w:hAnsi="Arial"/>
          <w:sz w:val="13"/>
          <w:szCs w:val="13"/>
          <w:color w:val="54565B"/>
        </w:rPr>
      </w:pPr>
    </w:p>
    <w:p>
      <w:pPr>
        <w:ind w:left="440" w:hanging="272"/>
        <w:spacing w:after="0"/>
        <w:tabs>
          <w:tab w:leader="none" w:pos="440" w:val="left"/>
        </w:tabs>
        <w:numPr>
          <w:ilvl w:val="0"/>
          <w:numId w:val="6"/>
        </w:numPr>
        <w:rPr>
          <w:rFonts w:ascii="Arial" w:cs="Arial" w:eastAsia="Arial" w:hAnsi="Arial"/>
          <w:sz w:val="13"/>
          <w:szCs w:val="13"/>
          <w:color w:val="54565B"/>
        </w:rPr>
      </w:pPr>
      <w:r>
        <w:rPr>
          <w:rFonts w:ascii="Arial" w:cs="Arial" w:eastAsia="Arial" w:hAnsi="Arial"/>
          <w:sz w:val="13"/>
          <w:szCs w:val="13"/>
          <w:color w:val="54565B"/>
        </w:rPr>
        <w:t>These fees relate primarily to agreed-upon procedure engagements for certain collateralized loan obligation structures managed by AFG.</w:t>
      </w:r>
    </w:p>
    <w:p>
      <w:pPr>
        <w:spacing w:after="0" w:line="8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54565B"/>
        </w:rPr>
        <w:t>Representatives of Ernst &amp; Young are expected to be at the meeting and will be given the opportunity to make a statement if they so desire. They will also be available to respond to appropriate questions from shareholders.</w:t>
      </w:r>
    </w:p>
    <w:p>
      <w:pPr>
        <w:spacing w:after="0" w:line="260"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18 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right="280"/>
        <w:spacing w:after="0" w:line="259" w:lineRule="auto"/>
        <w:rPr>
          <w:sz w:val="20"/>
          <w:szCs w:val="20"/>
          <w:color w:val="auto"/>
        </w:rPr>
      </w:pPr>
      <w:r>
        <w:rPr>
          <w:rFonts w:ascii="Arial" w:cs="Arial" w:eastAsia="Arial" w:hAnsi="Arial"/>
          <w:sz w:val="22"/>
          <w:szCs w:val="22"/>
          <w:color w:val="0B3C61"/>
        </w:rPr>
        <w:t>PRE-APPROVAL OF SERVICES PROVIDED BY THE INDEPENDENT REGISTERED PUBLIC ACCOUNTING FIRM</w:t>
      </w:r>
    </w:p>
    <w:p>
      <w:pPr>
        <w:spacing w:after="0" w:line="33" w:lineRule="exact"/>
        <w:rPr>
          <w:sz w:val="20"/>
          <w:szCs w:val="20"/>
          <w:color w:val="auto"/>
        </w:rPr>
      </w:pPr>
    </w:p>
    <w:p>
      <w:pPr>
        <w:spacing w:after="0" w:line="256" w:lineRule="auto"/>
        <w:rPr>
          <w:sz w:val="20"/>
          <w:szCs w:val="20"/>
          <w:color w:val="auto"/>
        </w:rPr>
      </w:pPr>
      <w:r>
        <w:rPr>
          <w:rFonts w:ascii="Arial" w:cs="Arial" w:eastAsia="Arial" w:hAnsi="Arial"/>
          <w:sz w:val="16"/>
          <w:szCs w:val="16"/>
          <w:color w:val="54565B"/>
        </w:rPr>
        <w:t xml:space="preserve">The Audit Committee has adopted policies that require pre-approval for any audit and non-audit services to be provided to AFG by Ernst &amp; Young LLP. The Audit Committee delegated authority to the Committee Chairperson to pre-approve certain non-audit services which arise between meetings of the Audit Committee. Pursuant to these procedures and delegation of authority, the Audit Committee was informed of and pre-approved any such audit and other services during 2025. No services were provided with respect to the </w:t>
      </w:r>
      <w:r>
        <w:rPr>
          <w:rFonts w:ascii="Arial" w:cs="Arial" w:eastAsia="Arial" w:hAnsi="Arial"/>
          <w:sz w:val="16"/>
          <w:szCs w:val="16"/>
          <w:i w:val="1"/>
          <w:iCs w:val="1"/>
          <w:color w:val="54565B"/>
        </w:rPr>
        <w:t>de minimis</w:t>
      </w:r>
      <w:r>
        <w:rPr>
          <w:rFonts w:ascii="Arial" w:cs="Arial" w:eastAsia="Arial" w:hAnsi="Arial"/>
          <w:sz w:val="16"/>
          <w:szCs w:val="16"/>
          <w:color w:val="54565B"/>
        </w:rPr>
        <w:t xml:space="preserve"> waiver process provided by rules of the SEC.</w:t>
      </w:r>
    </w:p>
    <w:p>
      <w:pPr>
        <w:spacing w:after="0" w:line="284" w:lineRule="exact"/>
        <w:rPr>
          <w:sz w:val="20"/>
          <w:szCs w:val="20"/>
          <w:color w:val="auto"/>
        </w:rPr>
      </w:pPr>
    </w:p>
    <w:p>
      <w:pPr>
        <w:ind w:left="6360"/>
        <w:spacing w:after="0"/>
        <w:rPr>
          <w:sz w:val="20"/>
          <w:szCs w:val="20"/>
          <w:color w:val="auto"/>
        </w:rPr>
      </w:pPr>
      <w:r>
        <w:rPr>
          <w:rFonts w:ascii="Arial" w:cs="Arial" w:eastAsia="Arial" w:hAnsi="Arial"/>
          <w:sz w:val="12"/>
          <w:szCs w:val="12"/>
          <w:color w:val="0B3C61"/>
        </w:rPr>
        <w:t xml:space="preserve">2026 Proxy Statement | American Financial Group   </w:t>
      </w:r>
      <w:r>
        <w:rPr>
          <w:rFonts w:ascii="Arial" w:cs="Arial" w:eastAsia="Arial" w:hAnsi="Arial"/>
          <w:sz w:val="12"/>
          <w:szCs w:val="12"/>
          <w:b w:val="1"/>
          <w:bCs w:val="1"/>
          <w:color w:val="EA1D2D"/>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163830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222885</wp:posOffset>
            </wp:positionV>
            <wp:extent cx="59664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50"/>
          <w:szCs w:val="50"/>
          <w:color w:val="0B3C61"/>
        </w:rPr>
        <w:t>Proposal No. 3</w:t>
      </w:r>
    </w:p>
    <w:p>
      <w:pPr>
        <w:spacing w:after="0" w:line="159" w:lineRule="exact"/>
        <w:rPr>
          <w:sz w:val="20"/>
          <w:szCs w:val="20"/>
          <w:color w:val="auto"/>
        </w:rPr>
      </w:pPr>
    </w:p>
    <w:p>
      <w:pPr>
        <w:spacing w:after="0"/>
        <w:rPr>
          <w:sz w:val="20"/>
          <w:szCs w:val="20"/>
          <w:color w:val="auto"/>
        </w:rPr>
      </w:pPr>
      <w:r>
        <w:rPr>
          <w:rFonts w:ascii="Arial" w:cs="Arial" w:eastAsia="Arial" w:hAnsi="Arial"/>
          <w:sz w:val="32"/>
          <w:szCs w:val="32"/>
          <w:color w:val="EA1D2D"/>
        </w:rPr>
        <w:t>Advisory Vote on Compensation of our Named Executive Officers</w:t>
      </w:r>
    </w:p>
    <w:p>
      <w:pPr>
        <w:sectPr>
          <w:pgSz w:w="11900" w:h="16838" w:orient="portrait"/>
          <w:cols w:equalWidth="0" w:num="1">
            <w:col w:w="9360"/>
          </w:cols>
          <w:pgMar w:left="1240" w:top="114" w:right="1299"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54565B"/>
        </w:rPr>
        <w:t> </w:t>
      </w:r>
    </w:p>
    <w:p>
      <w:pPr>
        <w:spacing w:after="0" w:line="113" w:lineRule="exact"/>
        <w:rPr>
          <w:sz w:val="20"/>
          <w:szCs w:val="20"/>
          <w:color w:val="auto"/>
        </w:rPr>
      </w:pPr>
    </w:p>
    <w:p>
      <w:pPr>
        <w:spacing w:after="0" w:line="252" w:lineRule="auto"/>
        <w:rPr>
          <w:sz w:val="20"/>
          <w:szCs w:val="20"/>
          <w:color w:val="auto"/>
        </w:rPr>
      </w:pPr>
      <w:r>
        <w:rPr>
          <w:rFonts w:ascii="Arial" w:cs="Arial" w:eastAsia="Arial" w:hAnsi="Arial"/>
          <w:sz w:val="16"/>
          <w:szCs w:val="16"/>
          <w:color w:val="54565B"/>
        </w:rPr>
        <w:t>This proposal provides shareholders with the opportunity to cast a non-binding, advisory vote to approve the compensation of the Company’s named executive officers as disclosed in this Proxy Statement (commonly referred to as “Say-on-Pay”). Our practice is to conduct this non-binding, advisory vote on an annual basis, and at our 2023 Annual Meeting, our shareholders overwhelmingly supported the continuation of this practice. The Compensation Committee and the Board of Directors continue to believe that AFG’s executive compensation program appropriately aligns pay with performance and emphasizes long-term shareholder value creation.</w:t>
      </w:r>
    </w:p>
    <w:p>
      <w:pPr>
        <w:spacing w:after="0" w:line="6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54565B"/>
        </w:rPr>
        <w:t xml:space="preserve">As described below under the heading “Compensation Discussion and Analysis” beginning on page </w:t>
      </w:r>
      <w:r>
        <w:rPr>
          <w:rFonts w:ascii="Arial" w:cs="Arial" w:eastAsia="Arial" w:hAnsi="Arial"/>
          <w:sz w:val="16"/>
          <w:szCs w:val="16"/>
          <w:u w:val="single" w:color="auto"/>
          <w:color w:val="0000EE"/>
        </w:rPr>
        <w:t>37</w:t>
      </w:r>
      <w:r>
        <w:rPr>
          <w:rFonts w:ascii="Arial" w:cs="Arial" w:eastAsia="Arial" w:hAnsi="Arial"/>
          <w:sz w:val="16"/>
          <w:szCs w:val="16"/>
          <w:color w:val="54565B"/>
        </w:rPr>
        <w:t xml:space="preserve"> of this proxy statement, we seek to closely align the interests of our named executive officers with the interests of our shareholders. We structure our programs to discourage excessive risk-taking through a balanced use of compensation vehicles and metrics with an overall goal of delivering sustained long-term shareholder value while aligning our executives’ interests with those of our shareholders. Further, our programs require that a substantial portion of each named executive officer’s compensation be contingent on delivering performance results that benefit our shareholders. Our compensation programs are designed to reward our named executive officers for achieving short-term and long-term strategic and operational goals designed to increase total shareholder return. Shareholders should note that, because the advisory vote on executive compensation occurs well after the beginning of the compensation year and because the different elements of our executive compensation programs are designed to operate in an integrated manner and to complement one another, in many cases it may not be appropriate or feasible to change our executive compensation programs in consideration of any one year’s advisory vote on executive compensation by the time of the following year’s annual meeting of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0B3C61"/>
        </w:rPr>
        <w:t>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-441960</wp:posOffset>
            </wp:positionV>
            <wp:extent cx="1851660" cy="23831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51660" cy="23831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25"/>
          <w:szCs w:val="25"/>
          <w:color w:val="0B3C61"/>
        </w:rPr>
        <w:t>Directors</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B3C61"/>
        </w:rPr>
        <w:t>recommends that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B3C61"/>
        </w:rPr>
        <w:t>shareholders vote</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B3C61"/>
        </w:rPr>
        <w:t>FOR the approval of</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B3C61"/>
        </w:rPr>
        <w:t>the compensation of</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B3C61"/>
        </w:rPr>
        <w:t>our named</w:t>
      </w:r>
    </w:p>
    <w:p>
      <w:pPr>
        <w:spacing w:after="0" w:line="10" w:lineRule="exact"/>
        <w:rPr>
          <w:sz w:val="20"/>
          <w:szCs w:val="20"/>
          <w:color w:val="auto"/>
        </w:rPr>
      </w:pPr>
    </w:p>
    <w:p>
      <w:pPr>
        <w:spacing w:after="0"/>
        <w:rPr>
          <w:sz w:val="20"/>
          <w:szCs w:val="20"/>
          <w:color w:val="auto"/>
        </w:rPr>
      </w:pPr>
      <w:r>
        <w:rPr>
          <w:rFonts w:ascii="Arial" w:cs="Arial" w:eastAsia="Arial" w:hAnsi="Arial"/>
          <w:sz w:val="24"/>
          <w:szCs w:val="24"/>
          <w:color w:val="0B3C61"/>
        </w:rPr>
        <w:t>executive officers as</w:t>
      </w:r>
    </w:p>
    <w:p>
      <w:pPr>
        <w:spacing w:after="0" w:line="21" w:lineRule="exact"/>
        <w:rPr>
          <w:sz w:val="20"/>
          <w:szCs w:val="20"/>
          <w:color w:val="auto"/>
        </w:rPr>
      </w:pPr>
    </w:p>
    <w:p>
      <w:pPr>
        <w:spacing w:after="0"/>
        <w:rPr>
          <w:sz w:val="20"/>
          <w:szCs w:val="20"/>
          <w:color w:val="auto"/>
        </w:rPr>
      </w:pPr>
      <w:r>
        <w:rPr>
          <w:rFonts w:ascii="Arial" w:cs="Arial" w:eastAsia="Arial" w:hAnsi="Arial"/>
          <w:sz w:val="25"/>
          <w:szCs w:val="25"/>
          <w:color w:val="0B3C61"/>
        </w:rPr>
        <w:t>disclosed in this</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B3C61"/>
        </w:rPr>
        <w:t>proxy statement.</w:t>
      </w:r>
    </w:p>
    <w:p>
      <w:pPr>
        <w:spacing w:after="0" w:line="1630" w:lineRule="exact"/>
        <w:rPr>
          <w:sz w:val="20"/>
          <w:szCs w:val="20"/>
          <w:color w:val="auto"/>
        </w:rPr>
      </w:pPr>
    </w:p>
    <w:p>
      <w:pPr>
        <w:sectPr>
          <w:pgSz w:w="11900" w:h="16838" w:orient="portrait"/>
          <w:cols w:equalWidth="0" w:num="2">
            <w:col w:w="6240" w:space="660"/>
            <w:col w:w="2460"/>
          </w:cols>
          <w:pgMar w:left="1240" w:top="114" w:right="1299" w:bottom="1440" w:gutter="0" w:footer="0" w:header="0"/>
          <w:type w:val="continuous"/>
        </w:sectPr>
      </w:pPr>
    </w:p>
    <w:p>
      <w:pPr>
        <w:spacing w:after="0" w:line="7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54565B"/>
        </w:rPr>
        <w:t>The vote on this matter is not intended to address any specific element of compensation; rather, the vote relates to the compensation of our named executive officers, as described in this proxy statement in accordance with the compensation disclosure rules of the SEC. The vote is advisory, which means that the vote is not binding on the Company, our Board of Directors or the Compensation Committee. Nevertheless, the Board and the Compensation Committee carefully review the voting results when evaluating executive compensation decisions and program design.</w:t>
      </w:r>
    </w:p>
    <w:p>
      <w:pPr>
        <w:spacing w:after="0" w:line="58"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54565B"/>
        </w:rPr>
        <w:t>Accordingly, we ask our shareholders to approve, on an advisory basis, the compensation of the named executive officers, as disclosed in this proxy statement pursuant to the compensation disclosure rules of the SEC, including the Compensation Discussion and Analysis, the Summary Compensation Table and the other related tables and disclosure.</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20 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222885</wp:posOffset>
            </wp:positionV>
            <wp:extent cx="59664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50"/>
          <w:szCs w:val="50"/>
          <w:color w:val="0B3C61"/>
        </w:rPr>
        <w:t>Company Information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0B3C61"/>
        </w:rPr>
        <w:t>MANAGEMENT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54565B"/>
        </w:rPr>
        <w:t>The directors, nominees for director and executive officers of the Company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00" w:type="dxa"/>
            <w:vAlign w:val="bottom"/>
            <w:shd w:val="clear" w:color="auto" w:fill="0B3C61"/>
          </w:tcPr>
          <w:p>
            <w:pPr>
              <w:spacing w:after="0"/>
              <w:rPr>
                <w:sz w:val="22"/>
                <w:szCs w:val="22"/>
                <w:color w:val="auto"/>
              </w:rPr>
            </w:pPr>
          </w:p>
        </w:tc>
        <w:tc>
          <w:tcPr>
            <w:tcW w:w="1040" w:type="dxa"/>
            <w:vAlign w:val="bottom"/>
            <w:shd w:val="clear" w:color="auto" w:fill="0B3C61"/>
          </w:tcPr>
          <w:p>
            <w:pPr>
              <w:spacing w:after="0"/>
              <w:rPr>
                <w:sz w:val="22"/>
                <w:szCs w:val="22"/>
                <w:color w:val="auto"/>
              </w:rPr>
            </w:pPr>
          </w:p>
        </w:tc>
        <w:tc>
          <w:tcPr>
            <w:tcW w:w="4960" w:type="dxa"/>
            <w:vAlign w:val="bottom"/>
            <w:shd w:val="clear" w:color="auto" w:fill="0B3C61"/>
          </w:tcPr>
          <w:p>
            <w:pPr>
              <w:spacing w:after="0"/>
              <w:rPr>
                <w:sz w:val="22"/>
                <w:szCs w:val="22"/>
                <w:color w:val="auto"/>
              </w:rPr>
            </w:pPr>
          </w:p>
        </w:tc>
        <w:tc>
          <w:tcPr>
            <w:tcW w:w="140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Director or</w:t>
            </w:r>
          </w:p>
        </w:tc>
      </w:tr>
      <w:tr>
        <w:trPr>
          <w:trHeight w:val="162"/>
        </w:trPr>
        <w:tc>
          <w:tcPr>
            <w:tcW w:w="2000" w:type="dxa"/>
            <w:vAlign w:val="bottom"/>
            <w:shd w:val="clear" w:color="auto" w:fill="0B3C61"/>
          </w:tcPr>
          <w:p>
            <w:pPr>
              <w:spacing w:after="0"/>
              <w:rPr>
                <w:sz w:val="14"/>
                <w:szCs w:val="14"/>
                <w:color w:val="auto"/>
              </w:rPr>
            </w:pPr>
          </w:p>
        </w:tc>
        <w:tc>
          <w:tcPr>
            <w:tcW w:w="1040" w:type="dxa"/>
            <w:vAlign w:val="bottom"/>
            <w:shd w:val="clear" w:color="auto" w:fill="0B3C61"/>
          </w:tcPr>
          <w:p>
            <w:pPr>
              <w:spacing w:after="0"/>
              <w:rPr>
                <w:sz w:val="14"/>
                <w:szCs w:val="14"/>
                <w:color w:val="auto"/>
              </w:rPr>
            </w:pPr>
          </w:p>
        </w:tc>
        <w:tc>
          <w:tcPr>
            <w:tcW w:w="4960" w:type="dxa"/>
            <w:vAlign w:val="bottom"/>
            <w:shd w:val="clear" w:color="auto" w:fill="0B3C61"/>
          </w:tcPr>
          <w:p>
            <w:pPr>
              <w:spacing w:after="0"/>
              <w:rPr>
                <w:sz w:val="14"/>
                <w:szCs w:val="14"/>
                <w:color w:val="auto"/>
              </w:rPr>
            </w:pPr>
          </w:p>
        </w:tc>
        <w:tc>
          <w:tcPr>
            <w:tcW w:w="1400" w:type="dxa"/>
            <w:vAlign w:val="bottom"/>
            <w:shd w:val="clear" w:color="auto" w:fill="0B3C61"/>
          </w:tcPr>
          <w:p>
            <w:pPr>
              <w:ind w:left="420"/>
              <w:spacing w:after="0"/>
              <w:rPr>
                <w:sz w:val="20"/>
                <w:szCs w:val="20"/>
                <w:color w:val="auto"/>
              </w:rPr>
            </w:pPr>
            <w:r>
              <w:rPr>
                <w:rFonts w:ascii="Arial" w:cs="Arial" w:eastAsia="Arial" w:hAnsi="Arial"/>
                <w:sz w:val="14"/>
                <w:szCs w:val="14"/>
                <w:color w:val="FFFFFF"/>
              </w:rPr>
              <w:t>Executive</w:t>
            </w:r>
          </w:p>
        </w:tc>
      </w:tr>
      <w:tr>
        <w:trPr>
          <w:trHeight w:val="190"/>
        </w:trPr>
        <w:tc>
          <w:tcPr>
            <w:tcW w:w="2000" w:type="dxa"/>
            <w:vAlign w:val="bottom"/>
            <w:shd w:val="clear" w:color="auto" w:fill="0B3C61"/>
          </w:tcPr>
          <w:p>
            <w:pPr>
              <w:ind w:left="240"/>
              <w:spacing w:after="0"/>
              <w:rPr>
                <w:sz w:val="20"/>
                <w:szCs w:val="20"/>
                <w:color w:val="auto"/>
              </w:rPr>
            </w:pPr>
            <w:r>
              <w:rPr>
                <w:rFonts w:ascii="Arial" w:cs="Arial" w:eastAsia="Arial" w:hAnsi="Arial"/>
                <w:sz w:val="14"/>
                <w:szCs w:val="14"/>
                <w:color w:val="FFFFFF"/>
              </w:rPr>
              <w:t>Name</w:t>
            </w:r>
          </w:p>
        </w:tc>
        <w:tc>
          <w:tcPr>
            <w:tcW w:w="1040" w:type="dxa"/>
            <w:vAlign w:val="bottom"/>
            <w:shd w:val="clear" w:color="auto" w:fill="0B3C61"/>
          </w:tcPr>
          <w:p>
            <w:pPr>
              <w:jc w:val="center"/>
              <w:ind w:left="128"/>
              <w:spacing w:after="0"/>
              <w:rPr>
                <w:sz w:val="20"/>
                <w:szCs w:val="20"/>
                <w:color w:val="auto"/>
              </w:rPr>
            </w:pPr>
            <w:r>
              <w:rPr>
                <w:rFonts w:ascii="Arial" w:cs="Arial" w:eastAsia="Arial" w:hAnsi="Arial"/>
                <w:sz w:val="14"/>
                <w:szCs w:val="14"/>
                <w:color w:val="FFFFFF"/>
                <w:w w:val="96"/>
              </w:rPr>
              <w:t>Age</w:t>
            </w:r>
          </w:p>
        </w:tc>
        <w:tc>
          <w:tcPr>
            <w:tcW w:w="4960" w:type="dxa"/>
            <w:vAlign w:val="bottom"/>
            <w:shd w:val="clear" w:color="auto" w:fill="0B3C61"/>
          </w:tcPr>
          <w:p>
            <w:pPr>
              <w:ind w:left="300"/>
              <w:spacing w:after="0"/>
              <w:rPr>
                <w:sz w:val="20"/>
                <w:szCs w:val="20"/>
                <w:color w:val="auto"/>
              </w:rPr>
            </w:pPr>
            <w:r>
              <w:rPr>
                <w:rFonts w:ascii="Arial" w:cs="Arial" w:eastAsia="Arial" w:hAnsi="Arial"/>
                <w:sz w:val="14"/>
                <w:szCs w:val="14"/>
                <w:color w:val="FFFFFF"/>
              </w:rPr>
              <w:t>Position</w:t>
            </w:r>
          </w:p>
        </w:tc>
        <w:tc>
          <w:tcPr>
            <w:tcW w:w="1400" w:type="dxa"/>
            <w:vAlign w:val="bottom"/>
            <w:shd w:val="clear" w:color="auto" w:fill="0B3C61"/>
          </w:tcPr>
          <w:p>
            <w:pPr>
              <w:jc w:val="center"/>
              <w:ind w:left="8"/>
              <w:spacing w:after="0"/>
              <w:rPr>
                <w:sz w:val="20"/>
                <w:szCs w:val="20"/>
                <w:color w:val="auto"/>
              </w:rPr>
            </w:pPr>
            <w:r>
              <w:rPr>
                <w:rFonts w:ascii="Arial" w:cs="Arial" w:eastAsia="Arial" w:hAnsi="Arial"/>
                <w:sz w:val="14"/>
                <w:szCs w:val="14"/>
                <w:color w:val="FFFFFF"/>
              </w:rPr>
              <w:t>Since</w:t>
            </w:r>
          </w:p>
        </w:tc>
      </w:tr>
      <w:tr>
        <w:trPr>
          <w:trHeight w:val="62"/>
        </w:trPr>
        <w:tc>
          <w:tcPr>
            <w:tcW w:w="2000" w:type="dxa"/>
            <w:vAlign w:val="bottom"/>
            <w:shd w:val="clear" w:color="auto" w:fill="0B3C61"/>
          </w:tcPr>
          <w:p>
            <w:pPr>
              <w:spacing w:after="0"/>
              <w:rPr>
                <w:sz w:val="5"/>
                <w:szCs w:val="5"/>
                <w:color w:val="auto"/>
              </w:rPr>
            </w:pPr>
          </w:p>
        </w:tc>
        <w:tc>
          <w:tcPr>
            <w:tcW w:w="1040" w:type="dxa"/>
            <w:vAlign w:val="bottom"/>
            <w:shd w:val="clear" w:color="auto" w:fill="0B3C61"/>
          </w:tcPr>
          <w:p>
            <w:pPr>
              <w:spacing w:after="0"/>
              <w:rPr>
                <w:sz w:val="5"/>
                <w:szCs w:val="5"/>
                <w:color w:val="auto"/>
              </w:rPr>
            </w:pPr>
          </w:p>
        </w:tc>
        <w:tc>
          <w:tcPr>
            <w:tcW w:w="4960" w:type="dxa"/>
            <w:vAlign w:val="bottom"/>
            <w:shd w:val="clear" w:color="auto" w:fill="0B3C61"/>
          </w:tcPr>
          <w:p>
            <w:pPr>
              <w:spacing w:after="0"/>
              <w:rPr>
                <w:sz w:val="5"/>
                <w:szCs w:val="5"/>
                <w:color w:val="auto"/>
              </w:rPr>
            </w:pPr>
          </w:p>
        </w:tc>
        <w:tc>
          <w:tcPr>
            <w:tcW w:w="1400" w:type="dxa"/>
            <w:vAlign w:val="bottom"/>
            <w:shd w:val="clear" w:color="auto" w:fill="0B3C61"/>
          </w:tcPr>
          <w:p>
            <w:pPr>
              <w:spacing w:after="0"/>
              <w:rPr>
                <w:sz w:val="5"/>
                <w:szCs w:val="5"/>
                <w:color w:val="auto"/>
              </w:rPr>
            </w:pPr>
          </w:p>
        </w:tc>
      </w:tr>
      <w:tr>
        <w:trPr>
          <w:trHeight w:val="248"/>
        </w:trPr>
        <w:tc>
          <w:tcPr>
            <w:tcW w:w="2000" w:type="dxa"/>
            <w:vAlign w:val="bottom"/>
          </w:tcPr>
          <w:p>
            <w:pPr>
              <w:ind w:left="240"/>
              <w:spacing w:after="0"/>
              <w:rPr>
                <w:sz w:val="20"/>
                <w:szCs w:val="20"/>
                <w:color w:val="auto"/>
              </w:rPr>
            </w:pPr>
            <w:r>
              <w:rPr>
                <w:rFonts w:ascii="Arial" w:cs="Arial" w:eastAsia="Arial" w:hAnsi="Arial"/>
                <w:sz w:val="14"/>
                <w:szCs w:val="14"/>
                <w:color w:val="54565B"/>
              </w:rPr>
              <w:t>Carl H. Lindner III</w:t>
            </w:r>
          </w:p>
        </w:tc>
        <w:tc>
          <w:tcPr>
            <w:tcW w:w="1040" w:type="dxa"/>
            <w:vAlign w:val="bottom"/>
          </w:tcPr>
          <w:p>
            <w:pPr>
              <w:jc w:val="center"/>
              <w:ind w:left="128"/>
              <w:spacing w:after="0"/>
              <w:rPr>
                <w:sz w:val="20"/>
                <w:szCs w:val="20"/>
                <w:color w:val="auto"/>
              </w:rPr>
            </w:pPr>
            <w:r>
              <w:rPr>
                <w:rFonts w:ascii="Arial" w:cs="Arial" w:eastAsia="Arial" w:hAnsi="Arial"/>
                <w:sz w:val="14"/>
                <w:szCs w:val="14"/>
                <w:color w:val="54565B"/>
              </w:rPr>
              <w:t>72</w:t>
            </w:r>
          </w:p>
        </w:tc>
        <w:tc>
          <w:tcPr>
            <w:tcW w:w="4960" w:type="dxa"/>
            <w:vAlign w:val="bottom"/>
          </w:tcPr>
          <w:p>
            <w:pPr>
              <w:ind w:left="300"/>
              <w:spacing w:after="0"/>
              <w:rPr>
                <w:sz w:val="20"/>
                <w:szCs w:val="20"/>
                <w:color w:val="auto"/>
              </w:rPr>
            </w:pPr>
            <w:r>
              <w:rPr>
                <w:rFonts w:ascii="Arial" w:cs="Arial" w:eastAsia="Arial" w:hAnsi="Arial"/>
                <w:sz w:val="14"/>
                <w:szCs w:val="14"/>
                <w:color w:val="54565B"/>
              </w:rPr>
              <w:t>Co-Chief Executive Officer and Director</w:t>
            </w:r>
          </w:p>
        </w:tc>
        <w:tc>
          <w:tcPr>
            <w:tcW w:w="1400" w:type="dxa"/>
            <w:vAlign w:val="bottom"/>
          </w:tcPr>
          <w:p>
            <w:pPr>
              <w:jc w:val="center"/>
              <w:ind w:left="8"/>
              <w:spacing w:after="0"/>
              <w:rPr>
                <w:sz w:val="20"/>
                <w:szCs w:val="20"/>
                <w:color w:val="auto"/>
              </w:rPr>
            </w:pPr>
            <w:r>
              <w:rPr>
                <w:rFonts w:ascii="Arial" w:cs="Arial" w:eastAsia="Arial" w:hAnsi="Arial"/>
                <w:sz w:val="14"/>
                <w:szCs w:val="14"/>
                <w:color w:val="54565B"/>
              </w:rPr>
              <w:t>1979</w:t>
            </w:r>
          </w:p>
        </w:tc>
      </w:tr>
      <w:tr>
        <w:trPr>
          <w:trHeight w:val="22"/>
        </w:trPr>
        <w:tc>
          <w:tcPr>
            <w:tcW w:w="2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200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color w:val="54565B"/>
              </w:rPr>
              <w:t>S. Craig Lindner</w:t>
            </w:r>
          </w:p>
        </w:tc>
        <w:tc>
          <w:tcPr>
            <w:tcW w:w="1040" w:type="dxa"/>
            <w:vAlign w:val="bottom"/>
            <w:tcBorders>
              <w:bottom w:val="single" w:sz="8" w:color="EAF7FA"/>
            </w:tcBorders>
            <w:shd w:val="clear" w:color="auto" w:fill="EAF7FA"/>
          </w:tcPr>
          <w:p>
            <w:pPr>
              <w:jc w:val="center"/>
              <w:ind w:left="128"/>
              <w:spacing w:after="0"/>
              <w:rPr>
                <w:sz w:val="20"/>
                <w:szCs w:val="20"/>
                <w:color w:val="auto"/>
              </w:rPr>
            </w:pPr>
            <w:r>
              <w:rPr>
                <w:rFonts w:ascii="Arial" w:cs="Arial" w:eastAsia="Arial" w:hAnsi="Arial"/>
                <w:sz w:val="14"/>
                <w:szCs w:val="14"/>
                <w:color w:val="54565B"/>
              </w:rPr>
              <w:t>71</w:t>
            </w:r>
          </w:p>
        </w:tc>
        <w:tc>
          <w:tcPr>
            <w:tcW w:w="4960" w:type="dxa"/>
            <w:vAlign w:val="bottom"/>
            <w:tcBorders>
              <w:bottom w:val="single" w:sz="8" w:color="EAF7FA"/>
            </w:tcBorders>
            <w:shd w:val="clear" w:color="auto" w:fill="EAF7FA"/>
          </w:tcPr>
          <w:p>
            <w:pPr>
              <w:ind w:left="300"/>
              <w:spacing w:after="0"/>
              <w:rPr>
                <w:sz w:val="20"/>
                <w:szCs w:val="20"/>
                <w:color w:val="auto"/>
              </w:rPr>
            </w:pPr>
            <w:r>
              <w:rPr>
                <w:rFonts w:ascii="Arial" w:cs="Arial" w:eastAsia="Arial" w:hAnsi="Arial"/>
                <w:sz w:val="14"/>
                <w:szCs w:val="14"/>
                <w:color w:val="54565B"/>
              </w:rPr>
              <w:t>Co-Chief Executive Officer and Director</w:t>
            </w:r>
          </w:p>
        </w:tc>
        <w:tc>
          <w:tcPr>
            <w:tcW w:w="1400" w:type="dxa"/>
            <w:vAlign w:val="bottom"/>
            <w:tcBorders>
              <w:bottom w:val="single" w:sz="8" w:color="EAF7FA"/>
            </w:tcBorders>
            <w:shd w:val="clear" w:color="auto" w:fill="EAF7FA"/>
          </w:tcPr>
          <w:p>
            <w:pPr>
              <w:jc w:val="center"/>
              <w:ind w:left="8"/>
              <w:spacing w:after="0"/>
              <w:rPr>
                <w:sz w:val="20"/>
                <w:szCs w:val="20"/>
                <w:color w:val="auto"/>
              </w:rPr>
            </w:pPr>
            <w:r>
              <w:rPr>
                <w:rFonts w:ascii="Arial" w:cs="Arial" w:eastAsia="Arial" w:hAnsi="Arial"/>
                <w:sz w:val="14"/>
                <w:szCs w:val="14"/>
                <w:color w:val="54565B"/>
              </w:rPr>
              <w:t>1980</w:t>
            </w:r>
          </w:p>
        </w:tc>
      </w:tr>
      <w:tr>
        <w:trPr>
          <w:trHeight w:val="193"/>
        </w:trPr>
        <w:tc>
          <w:tcPr>
            <w:tcW w:w="2000" w:type="dxa"/>
            <w:vAlign w:val="bottom"/>
          </w:tcPr>
          <w:p>
            <w:pPr>
              <w:ind w:left="240"/>
              <w:spacing w:after="0"/>
              <w:rPr>
                <w:sz w:val="20"/>
                <w:szCs w:val="20"/>
                <w:color w:val="auto"/>
              </w:rPr>
            </w:pPr>
            <w:r>
              <w:rPr>
                <w:rFonts w:ascii="Arial" w:cs="Arial" w:eastAsia="Arial" w:hAnsi="Arial"/>
                <w:sz w:val="14"/>
                <w:szCs w:val="14"/>
                <w:color w:val="54565B"/>
              </w:rPr>
              <w:t>John B. Berding</w:t>
            </w:r>
          </w:p>
        </w:tc>
        <w:tc>
          <w:tcPr>
            <w:tcW w:w="1040" w:type="dxa"/>
            <w:vAlign w:val="bottom"/>
          </w:tcPr>
          <w:p>
            <w:pPr>
              <w:jc w:val="center"/>
              <w:ind w:left="128"/>
              <w:spacing w:after="0"/>
              <w:rPr>
                <w:sz w:val="20"/>
                <w:szCs w:val="20"/>
                <w:color w:val="auto"/>
              </w:rPr>
            </w:pPr>
            <w:r>
              <w:rPr>
                <w:rFonts w:ascii="Arial" w:cs="Arial" w:eastAsia="Arial" w:hAnsi="Arial"/>
                <w:sz w:val="14"/>
                <w:szCs w:val="14"/>
                <w:color w:val="54565B"/>
              </w:rPr>
              <w:t>63</w:t>
            </w:r>
          </w:p>
        </w:tc>
        <w:tc>
          <w:tcPr>
            <w:tcW w:w="4960" w:type="dxa"/>
            <w:vAlign w:val="bottom"/>
          </w:tcPr>
          <w:p>
            <w:pPr>
              <w:ind w:left="300"/>
              <w:spacing w:after="0"/>
              <w:rPr>
                <w:sz w:val="20"/>
                <w:szCs w:val="20"/>
                <w:color w:val="auto"/>
              </w:rPr>
            </w:pPr>
            <w:r>
              <w:rPr>
                <w:rFonts w:ascii="Arial" w:cs="Arial" w:eastAsia="Arial" w:hAnsi="Arial"/>
                <w:sz w:val="14"/>
                <w:szCs w:val="14"/>
                <w:color w:val="54565B"/>
              </w:rPr>
              <w:t>President of AFG, President of American Money Management</w:t>
            </w:r>
          </w:p>
        </w:tc>
        <w:tc>
          <w:tcPr>
            <w:tcW w:w="1400" w:type="dxa"/>
            <w:vAlign w:val="bottom"/>
          </w:tcPr>
          <w:p>
            <w:pPr>
              <w:jc w:val="center"/>
              <w:ind w:left="8"/>
              <w:spacing w:after="0"/>
              <w:rPr>
                <w:sz w:val="20"/>
                <w:szCs w:val="20"/>
                <w:color w:val="auto"/>
              </w:rPr>
            </w:pPr>
            <w:r>
              <w:rPr>
                <w:rFonts w:ascii="Arial" w:cs="Arial" w:eastAsia="Arial" w:hAnsi="Arial"/>
                <w:sz w:val="14"/>
                <w:szCs w:val="14"/>
                <w:color w:val="54565B"/>
              </w:rPr>
              <w:t>2012</w:t>
            </w:r>
          </w:p>
        </w:tc>
      </w:tr>
      <w:tr>
        <w:trPr>
          <w:trHeight w:val="190"/>
        </w:trPr>
        <w:tc>
          <w:tcPr>
            <w:tcW w:w="2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960" w:type="dxa"/>
            <w:vAlign w:val="bottom"/>
          </w:tcPr>
          <w:p>
            <w:pPr>
              <w:ind w:left="300"/>
              <w:spacing w:after="0"/>
              <w:rPr>
                <w:sz w:val="20"/>
                <w:szCs w:val="20"/>
                <w:color w:val="auto"/>
              </w:rPr>
            </w:pPr>
            <w:r>
              <w:rPr>
                <w:rFonts w:ascii="Arial" w:cs="Arial" w:eastAsia="Arial" w:hAnsi="Arial"/>
                <w:sz w:val="14"/>
                <w:szCs w:val="14"/>
                <w:color w:val="54565B"/>
              </w:rPr>
              <w:t>Corporation and Director</w:t>
            </w:r>
          </w:p>
        </w:tc>
        <w:tc>
          <w:tcPr>
            <w:tcW w:w="1400" w:type="dxa"/>
            <w:vAlign w:val="bottom"/>
          </w:tcPr>
          <w:p>
            <w:pPr>
              <w:spacing w:after="0"/>
              <w:rPr>
                <w:sz w:val="16"/>
                <w:szCs w:val="16"/>
                <w:color w:val="auto"/>
              </w:rPr>
            </w:pPr>
          </w:p>
        </w:tc>
      </w:tr>
      <w:tr>
        <w:trPr>
          <w:trHeight w:val="22"/>
        </w:trPr>
        <w:tc>
          <w:tcPr>
            <w:tcW w:w="2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200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color w:val="54565B"/>
              </w:rPr>
              <w:t>Gregory G. Joseph</w:t>
            </w:r>
          </w:p>
        </w:tc>
        <w:tc>
          <w:tcPr>
            <w:tcW w:w="1040" w:type="dxa"/>
            <w:vAlign w:val="bottom"/>
            <w:tcBorders>
              <w:bottom w:val="single" w:sz="8" w:color="EAF7FA"/>
            </w:tcBorders>
            <w:shd w:val="clear" w:color="auto" w:fill="EAF7FA"/>
          </w:tcPr>
          <w:p>
            <w:pPr>
              <w:jc w:val="center"/>
              <w:ind w:left="128"/>
              <w:spacing w:after="0"/>
              <w:rPr>
                <w:sz w:val="20"/>
                <w:szCs w:val="20"/>
                <w:color w:val="auto"/>
              </w:rPr>
            </w:pPr>
            <w:r>
              <w:rPr>
                <w:rFonts w:ascii="Arial" w:cs="Arial" w:eastAsia="Arial" w:hAnsi="Arial"/>
                <w:sz w:val="14"/>
                <w:szCs w:val="14"/>
                <w:color w:val="54565B"/>
              </w:rPr>
              <w:t>63</w:t>
            </w:r>
          </w:p>
        </w:tc>
        <w:tc>
          <w:tcPr>
            <w:tcW w:w="4960" w:type="dxa"/>
            <w:vAlign w:val="bottom"/>
            <w:tcBorders>
              <w:bottom w:val="single" w:sz="8" w:color="EAF7FA"/>
            </w:tcBorders>
            <w:shd w:val="clear" w:color="auto" w:fill="EAF7FA"/>
          </w:tcPr>
          <w:p>
            <w:pPr>
              <w:ind w:left="300"/>
              <w:spacing w:after="0"/>
              <w:rPr>
                <w:sz w:val="20"/>
                <w:szCs w:val="20"/>
                <w:color w:val="auto"/>
              </w:rPr>
            </w:pPr>
            <w:r>
              <w:rPr>
                <w:rFonts w:ascii="Arial" w:cs="Arial" w:eastAsia="Arial" w:hAnsi="Arial"/>
                <w:sz w:val="14"/>
                <w:szCs w:val="14"/>
                <w:color w:val="54565B"/>
              </w:rPr>
              <w:t>Lead Independent Director</w:t>
            </w:r>
          </w:p>
        </w:tc>
        <w:tc>
          <w:tcPr>
            <w:tcW w:w="1400" w:type="dxa"/>
            <w:vAlign w:val="bottom"/>
            <w:tcBorders>
              <w:bottom w:val="single" w:sz="8" w:color="EAF7FA"/>
            </w:tcBorders>
            <w:shd w:val="clear" w:color="auto" w:fill="EAF7FA"/>
          </w:tcPr>
          <w:p>
            <w:pPr>
              <w:jc w:val="center"/>
              <w:ind w:left="8"/>
              <w:spacing w:after="0"/>
              <w:rPr>
                <w:sz w:val="20"/>
                <w:szCs w:val="20"/>
                <w:color w:val="auto"/>
              </w:rPr>
            </w:pPr>
            <w:r>
              <w:rPr>
                <w:rFonts w:ascii="Arial" w:cs="Arial" w:eastAsia="Arial" w:hAnsi="Arial"/>
                <w:sz w:val="14"/>
                <w:szCs w:val="14"/>
                <w:color w:val="54565B"/>
              </w:rPr>
              <w:t>2008</w:t>
            </w:r>
          </w:p>
        </w:tc>
      </w:tr>
      <w:tr>
        <w:trPr>
          <w:trHeight w:val="222"/>
        </w:trPr>
        <w:tc>
          <w:tcPr>
            <w:tcW w:w="2000" w:type="dxa"/>
            <w:vAlign w:val="bottom"/>
          </w:tcPr>
          <w:p>
            <w:pPr>
              <w:ind w:left="240"/>
              <w:spacing w:after="0"/>
              <w:rPr>
                <w:sz w:val="20"/>
                <w:szCs w:val="20"/>
                <w:color w:val="auto"/>
              </w:rPr>
            </w:pPr>
            <w:r>
              <w:rPr>
                <w:rFonts w:ascii="Arial" w:cs="Arial" w:eastAsia="Arial" w:hAnsi="Arial"/>
                <w:sz w:val="14"/>
                <w:szCs w:val="14"/>
                <w:color w:val="54565B"/>
              </w:rPr>
              <w:t>Craig Lindner Jr.</w:t>
            </w:r>
          </w:p>
        </w:tc>
        <w:tc>
          <w:tcPr>
            <w:tcW w:w="1040" w:type="dxa"/>
            <w:vAlign w:val="bottom"/>
          </w:tcPr>
          <w:p>
            <w:pPr>
              <w:jc w:val="center"/>
              <w:ind w:left="128"/>
              <w:spacing w:after="0"/>
              <w:rPr>
                <w:sz w:val="20"/>
                <w:szCs w:val="20"/>
                <w:color w:val="auto"/>
              </w:rPr>
            </w:pPr>
            <w:r>
              <w:rPr>
                <w:rFonts w:ascii="Arial" w:cs="Arial" w:eastAsia="Arial" w:hAnsi="Arial"/>
                <w:sz w:val="14"/>
                <w:szCs w:val="14"/>
                <w:color w:val="54565B"/>
              </w:rPr>
              <w:t>48</w:t>
            </w:r>
          </w:p>
        </w:tc>
        <w:tc>
          <w:tcPr>
            <w:tcW w:w="4960" w:type="dxa"/>
            <w:vAlign w:val="bottom"/>
          </w:tcPr>
          <w:p>
            <w:pPr>
              <w:ind w:left="300"/>
              <w:spacing w:after="0"/>
              <w:rPr>
                <w:sz w:val="20"/>
                <w:szCs w:val="20"/>
                <w:color w:val="auto"/>
              </w:rPr>
            </w:pPr>
            <w:r>
              <w:rPr>
                <w:rFonts w:ascii="Arial" w:cs="Arial" w:eastAsia="Arial" w:hAnsi="Arial"/>
                <w:sz w:val="14"/>
                <w:szCs w:val="14"/>
                <w:color w:val="54565B"/>
              </w:rPr>
              <w:t>Divisional President, AFG Real Estate Investments and Director</w:t>
            </w:r>
          </w:p>
        </w:tc>
        <w:tc>
          <w:tcPr>
            <w:tcW w:w="1400" w:type="dxa"/>
            <w:vAlign w:val="bottom"/>
          </w:tcPr>
          <w:p>
            <w:pPr>
              <w:jc w:val="center"/>
              <w:ind w:left="8"/>
              <w:spacing w:after="0"/>
              <w:rPr>
                <w:sz w:val="20"/>
                <w:szCs w:val="20"/>
                <w:color w:val="auto"/>
              </w:rPr>
            </w:pPr>
            <w:r>
              <w:rPr>
                <w:rFonts w:ascii="Arial" w:cs="Arial" w:eastAsia="Arial" w:hAnsi="Arial"/>
                <w:sz w:val="14"/>
                <w:szCs w:val="14"/>
                <w:color w:val="54565B"/>
              </w:rPr>
              <w:t>2025</w:t>
            </w:r>
          </w:p>
        </w:tc>
      </w:tr>
      <w:tr>
        <w:trPr>
          <w:trHeight w:val="22"/>
        </w:trPr>
        <w:tc>
          <w:tcPr>
            <w:tcW w:w="2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200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color w:val="54565B"/>
              </w:rPr>
              <w:t>Mary Beth Martin</w:t>
            </w:r>
          </w:p>
        </w:tc>
        <w:tc>
          <w:tcPr>
            <w:tcW w:w="1040" w:type="dxa"/>
            <w:vAlign w:val="bottom"/>
            <w:tcBorders>
              <w:bottom w:val="single" w:sz="8" w:color="EAF7FA"/>
            </w:tcBorders>
            <w:shd w:val="clear" w:color="auto" w:fill="EAF7FA"/>
          </w:tcPr>
          <w:p>
            <w:pPr>
              <w:jc w:val="center"/>
              <w:ind w:left="128"/>
              <w:spacing w:after="0"/>
              <w:rPr>
                <w:sz w:val="20"/>
                <w:szCs w:val="20"/>
                <w:color w:val="auto"/>
              </w:rPr>
            </w:pPr>
            <w:r>
              <w:rPr>
                <w:rFonts w:ascii="Arial" w:cs="Arial" w:eastAsia="Arial" w:hAnsi="Arial"/>
                <w:sz w:val="14"/>
                <w:szCs w:val="14"/>
                <w:color w:val="54565B"/>
              </w:rPr>
              <w:t>63</w:t>
            </w:r>
          </w:p>
        </w:tc>
        <w:tc>
          <w:tcPr>
            <w:tcW w:w="4960" w:type="dxa"/>
            <w:vAlign w:val="bottom"/>
            <w:tcBorders>
              <w:bottom w:val="single" w:sz="8" w:color="EAF7FA"/>
            </w:tcBorders>
            <w:shd w:val="clear" w:color="auto" w:fill="EAF7FA"/>
          </w:tcPr>
          <w:p>
            <w:pPr>
              <w:ind w:left="300"/>
              <w:spacing w:after="0"/>
              <w:rPr>
                <w:sz w:val="20"/>
                <w:szCs w:val="20"/>
                <w:color w:val="auto"/>
              </w:rPr>
            </w:pPr>
            <w:r>
              <w:rPr>
                <w:rFonts w:ascii="Arial" w:cs="Arial" w:eastAsia="Arial" w:hAnsi="Arial"/>
                <w:sz w:val="14"/>
                <w:szCs w:val="14"/>
                <w:color w:val="54565B"/>
              </w:rPr>
              <w:t>Director</w:t>
            </w:r>
          </w:p>
        </w:tc>
        <w:tc>
          <w:tcPr>
            <w:tcW w:w="1400" w:type="dxa"/>
            <w:vAlign w:val="bottom"/>
            <w:tcBorders>
              <w:bottom w:val="single" w:sz="8" w:color="EAF7FA"/>
            </w:tcBorders>
            <w:shd w:val="clear" w:color="auto" w:fill="EAF7FA"/>
          </w:tcPr>
          <w:p>
            <w:pPr>
              <w:jc w:val="center"/>
              <w:ind w:left="8"/>
              <w:spacing w:after="0"/>
              <w:rPr>
                <w:sz w:val="20"/>
                <w:szCs w:val="20"/>
                <w:color w:val="auto"/>
              </w:rPr>
            </w:pPr>
            <w:r>
              <w:rPr>
                <w:rFonts w:ascii="Arial" w:cs="Arial" w:eastAsia="Arial" w:hAnsi="Arial"/>
                <w:sz w:val="14"/>
                <w:szCs w:val="14"/>
                <w:color w:val="54565B"/>
              </w:rPr>
              <w:t>2019</w:t>
            </w:r>
          </w:p>
        </w:tc>
      </w:tr>
      <w:tr>
        <w:trPr>
          <w:trHeight w:val="221"/>
        </w:trPr>
        <w:tc>
          <w:tcPr>
            <w:tcW w:w="2000" w:type="dxa"/>
            <w:vAlign w:val="bottom"/>
          </w:tcPr>
          <w:p>
            <w:pPr>
              <w:ind w:left="240"/>
              <w:spacing w:after="0"/>
              <w:rPr>
                <w:sz w:val="20"/>
                <w:szCs w:val="20"/>
                <w:color w:val="auto"/>
              </w:rPr>
            </w:pPr>
            <w:r>
              <w:rPr>
                <w:rFonts w:ascii="Arial" w:cs="Arial" w:eastAsia="Arial" w:hAnsi="Arial"/>
                <w:sz w:val="14"/>
                <w:szCs w:val="14"/>
                <w:color w:val="54565B"/>
              </w:rPr>
              <w:t>Amy Y. Murray</w:t>
            </w:r>
          </w:p>
        </w:tc>
        <w:tc>
          <w:tcPr>
            <w:tcW w:w="1040" w:type="dxa"/>
            <w:vAlign w:val="bottom"/>
          </w:tcPr>
          <w:p>
            <w:pPr>
              <w:jc w:val="center"/>
              <w:ind w:left="128"/>
              <w:spacing w:after="0"/>
              <w:rPr>
                <w:sz w:val="20"/>
                <w:szCs w:val="20"/>
                <w:color w:val="auto"/>
              </w:rPr>
            </w:pPr>
            <w:r>
              <w:rPr>
                <w:rFonts w:ascii="Arial" w:cs="Arial" w:eastAsia="Arial" w:hAnsi="Arial"/>
                <w:sz w:val="14"/>
                <w:szCs w:val="14"/>
                <w:color w:val="54565B"/>
              </w:rPr>
              <w:t>61</w:t>
            </w:r>
          </w:p>
        </w:tc>
        <w:tc>
          <w:tcPr>
            <w:tcW w:w="4960" w:type="dxa"/>
            <w:vAlign w:val="bottom"/>
          </w:tcPr>
          <w:p>
            <w:pPr>
              <w:ind w:left="300"/>
              <w:spacing w:after="0"/>
              <w:rPr>
                <w:sz w:val="20"/>
                <w:szCs w:val="20"/>
                <w:color w:val="auto"/>
              </w:rPr>
            </w:pPr>
            <w:r>
              <w:rPr>
                <w:rFonts w:ascii="Arial" w:cs="Arial" w:eastAsia="Arial" w:hAnsi="Arial"/>
                <w:sz w:val="14"/>
                <w:szCs w:val="14"/>
                <w:color w:val="54565B"/>
              </w:rPr>
              <w:t>Director</w:t>
            </w:r>
          </w:p>
        </w:tc>
        <w:tc>
          <w:tcPr>
            <w:tcW w:w="1400" w:type="dxa"/>
            <w:vAlign w:val="bottom"/>
          </w:tcPr>
          <w:p>
            <w:pPr>
              <w:jc w:val="center"/>
              <w:ind w:left="8"/>
              <w:spacing w:after="0"/>
              <w:rPr>
                <w:sz w:val="20"/>
                <w:szCs w:val="20"/>
                <w:color w:val="auto"/>
              </w:rPr>
            </w:pPr>
            <w:r>
              <w:rPr>
                <w:rFonts w:ascii="Arial" w:cs="Arial" w:eastAsia="Arial" w:hAnsi="Arial"/>
                <w:sz w:val="14"/>
                <w:szCs w:val="14"/>
                <w:color w:val="54565B"/>
              </w:rPr>
              <w:t>2021</w:t>
            </w:r>
          </w:p>
        </w:tc>
      </w:tr>
      <w:tr>
        <w:trPr>
          <w:trHeight w:val="22"/>
        </w:trPr>
        <w:tc>
          <w:tcPr>
            <w:tcW w:w="2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200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color w:val="54565B"/>
              </w:rPr>
              <w:t>Roger K. Newport</w:t>
            </w:r>
          </w:p>
        </w:tc>
        <w:tc>
          <w:tcPr>
            <w:tcW w:w="1040" w:type="dxa"/>
            <w:vAlign w:val="bottom"/>
            <w:tcBorders>
              <w:bottom w:val="single" w:sz="8" w:color="EAF7FA"/>
            </w:tcBorders>
            <w:shd w:val="clear" w:color="auto" w:fill="EAF7FA"/>
          </w:tcPr>
          <w:p>
            <w:pPr>
              <w:jc w:val="center"/>
              <w:ind w:left="128"/>
              <w:spacing w:after="0"/>
              <w:rPr>
                <w:sz w:val="20"/>
                <w:szCs w:val="20"/>
                <w:color w:val="auto"/>
              </w:rPr>
            </w:pPr>
            <w:r>
              <w:rPr>
                <w:rFonts w:ascii="Arial" w:cs="Arial" w:eastAsia="Arial" w:hAnsi="Arial"/>
                <w:sz w:val="14"/>
                <w:szCs w:val="14"/>
                <w:color w:val="54565B"/>
              </w:rPr>
              <w:t>61</w:t>
            </w:r>
          </w:p>
        </w:tc>
        <w:tc>
          <w:tcPr>
            <w:tcW w:w="4960" w:type="dxa"/>
            <w:vAlign w:val="bottom"/>
            <w:tcBorders>
              <w:bottom w:val="single" w:sz="8" w:color="EAF7FA"/>
            </w:tcBorders>
            <w:shd w:val="clear" w:color="auto" w:fill="EAF7FA"/>
          </w:tcPr>
          <w:p>
            <w:pPr>
              <w:ind w:left="300"/>
              <w:spacing w:after="0"/>
              <w:rPr>
                <w:sz w:val="20"/>
                <w:szCs w:val="20"/>
                <w:color w:val="auto"/>
              </w:rPr>
            </w:pPr>
            <w:r>
              <w:rPr>
                <w:rFonts w:ascii="Arial" w:cs="Arial" w:eastAsia="Arial" w:hAnsi="Arial"/>
                <w:sz w:val="14"/>
                <w:szCs w:val="14"/>
                <w:color w:val="54565B"/>
              </w:rPr>
              <w:t>Director</w:t>
            </w:r>
          </w:p>
        </w:tc>
        <w:tc>
          <w:tcPr>
            <w:tcW w:w="1400" w:type="dxa"/>
            <w:vAlign w:val="bottom"/>
            <w:tcBorders>
              <w:bottom w:val="single" w:sz="8" w:color="EAF7FA"/>
            </w:tcBorders>
            <w:shd w:val="clear" w:color="auto" w:fill="EAF7FA"/>
          </w:tcPr>
          <w:p>
            <w:pPr>
              <w:jc w:val="center"/>
              <w:ind w:left="8"/>
              <w:spacing w:after="0"/>
              <w:rPr>
                <w:sz w:val="20"/>
                <w:szCs w:val="20"/>
                <w:color w:val="auto"/>
              </w:rPr>
            </w:pPr>
            <w:r>
              <w:rPr>
                <w:rFonts w:ascii="Arial" w:cs="Arial" w:eastAsia="Arial" w:hAnsi="Arial"/>
                <w:sz w:val="14"/>
                <w:szCs w:val="14"/>
                <w:color w:val="54565B"/>
              </w:rPr>
              <w:t>2024</w:t>
            </w:r>
          </w:p>
        </w:tc>
      </w:tr>
      <w:tr>
        <w:trPr>
          <w:trHeight w:val="221"/>
        </w:trPr>
        <w:tc>
          <w:tcPr>
            <w:tcW w:w="2000" w:type="dxa"/>
            <w:vAlign w:val="bottom"/>
          </w:tcPr>
          <w:p>
            <w:pPr>
              <w:ind w:left="240"/>
              <w:spacing w:after="0"/>
              <w:rPr>
                <w:sz w:val="20"/>
                <w:szCs w:val="20"/>
                <w:color w:val="auto"/>
              </w:rPr>
            </w:pPr>
            <w:r>
              <w:rPr>
                <w:rFonts w:ascii="Arial" w:cs="Arial" w:eastAsia="Arial" w:hAnsi="Arial"/>
                <w:sz w:val="14"/>
                <w:szCs w:val="14"/>
                <w:color w:val="54565B"/>
              </w:rPr>
              <w:t>Evans N. Nwankwo</w:t>
            </w:r>
          </w:p>
        </w:tc>
        <w:tc>
          <w:tcPr>
            <w:tcW w:w="1040" w:type="dxa"/>
            <w:vAlign w:val="bottom"/>
          </w:tcPr>
          <w:p>
            <w:pPr>
              <w:jc w:val="center"/>
              <w:ind w:left="128"/>
              <w:spacing w:after="0"/>
              <w:rPr>
                <w:sz w:val="20"/>
                <w:szCs w:val="20"/>
                <w:color w:val="auto"/>
              </w:rPr>
            </w:pPr>
            <w:r>
              <w:rPr>
                <w:rFonts w:ascii="Arial" w:cs="Arial" w:eastAsia="Arial" w:hAnsi="Arial"/>
                <w:sz w:val="14"/>
                <w:szCs w:val="14"/>
                <w:color w:val="54565B"/>
              </w:rPr>
              <w:t>67</w:t>
            </w:r>
          </w:p>
        </w:tc>
        <w:tc>
          <w:tcPr>
            <w:tcW w:w="4960" w:type="dxa"/>
            <w:vAlign w:val="bottom"/>
          </w:tcPr>
          <w:p>
            <w:pPr>
              <w:ind w:left="300"/>
              <w:spacing w:after="0"/>
              <w:rPr>
                <w:sz w:val="20"/>
                <w:szCs w:val="20"/>
                <w:color w:val="auto"/>
              </w:rPr>
            </w:pPr>
            <w:r>
              <w:rPr>
                <w:rFonts w:ascii="Arial" w:cs="Arial" w:eastAsia="Arial" w:hAnsi="Arial"/>
                <w:sz w:val="14"/>
                <w:szCs w:val="14"/>
                <w:color w:val="54565B"/>
              </w:rPr>
              <w:t>Director</w:t>
            </w:r>
          </w:p>
        </w:tc>
        <w:tc>
          <w:tcPr>
            <w:tcW w:w="1400" w:type="dxa"/>
            <w:vAlign w:val="bottom"/>
          </w:tcPr>
          <w:p>
            <w:pPr>
              <w:jc w:val="center"/>
              <w:ind w:left="8"/>
              <w:spacing w:after="0"/>
              <w:rPr>
                <w:sz w:val="20"/>
                <w:szCs w:val="20"/>
                <w:color w:val="auto"/>
              </w:rPr>
            </w:pPr>
            <w:r>
              <w:rPr>
                <w:rFonts w:ascii="Arial" w:cs="Arial" w:eastAsia="Arial" w:hAnsi="Arial"/>
                <w:sz w:val="14"/>
                <w:szCs w:val="14"/>
                <w:color w:val="54565B"/>
              </w:rPr>
              <w:t>2020</w:t>
            </w:r>
          </w:p>
        </w:tc>
      </w:tr>
      <w:tr>
        <w:trPr>
          <w:trHeight w:val="22"/>
        </w:trPr>
        <w:tc>
          <w:tcPr>
            <w:tcW w:w="2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3"/>
        </w:trPr>
        <w:tc>
          <w:tcPr>
            <w:tcW w:w="2000" w:type="dxa"/>
            <w:vAlign w:val="bottom"/>
            <w:shd w:val="clear" w:color="auto" w:fill="EAF7FA"/>
          </w:tcPr>
          <w:p>
            <w:pPr>
              <w:ind w:left="240"/>
              <w:spacing w:after="0"/>
              <w:rPr>
                <w:sz w:val="20"/>
                <w:szCs w:val="20"/>
                <w:color w:val="auto"/>
              </w:rPr>
            </w:pPr>
            <w:r>
              <w:rPr>
                <w:rFonts w:ascii="Arial" w:cs="Arial" w:eastAsia="Arial" w:hAnsi="Arial"/>
                <w:sz w:val="14"/>
                <w:szCs w:val="14"/>
                <w:color w:val="54565B"/>
              </w:rPr>
              <w:t>David L. Thompson</w:t>
            </w:r>
          </w:p>
        </w:tc>
        <w:tc>
          <w:tcPr>
            <w:tcW w:w="1040" w:type="dxa"/>
            <w:vAlign w:val="bottom"/>
            <w:shd w:val="clear" w:color="auto" w:fill="EAF7FA"/>
          </w:tcPr>
          <w:p>
            <w:pPr>
              <w:jc w:val="center"/>
              <w:ind w:left="128"/>
              <w:spacing w:after="0"/>
              <w:rPr>
                <w:sz w:val="20"/>
                <w:szCs w:val="20"/>
                <w:color w:val="auto"/>
              </w:rPr>
            </w:pPr>
            <w:r>
              <w:rPr>
                <w:rFonts w:ascii="Arial" w:cs="Arial" w:eastAsia="Arial" w:hAnsi="Arial"/>
                <w:sz w:val="14"/>
                <w:szCs w:val="14"/>
                <w:color w:val="54565B"/>
              </w:rPr>
              <w:t>46</w:t>
            </w:r>
          </w:p>
        </w:tc>
        <w:tc>
          <w:tcPr>
            <w:tcW w:w="4960" w:type="dxa"/>
            <w:vAlign w:val="bottom"/>
            <w:shd w:val="clear" w:color="auto" w:fill="EAF7FA"/>
          </w:tcPr>
          <w:p>
            <w:pPr>
              <w:ind w:left="300"/>
              <w:spacing w:after="0"/>
              <w:rPr>
                <w:sz w:val="20"/>
                <w:szCs w:val="20"/>
                <w:color w:val="auto"/>
              </w:rPr>
            </w:pPr>
            <w:r>
              <w:rPr>
                <w:rFonts w:ascii="Arial" w:cs="Arial" w:eastAsia="Arial" w:hAnsi="Arial"/>
                <w:sz w:val="14"/>
                <w:szCs w:val="14"/>
                <w:color w:val="54565B"/>
              </w:rPr>
              <w:t>President and Chief Operating Officer of Great American Insurance</w:t>
            </w:r>
          </w:p>
        </w:tc>
        <w:tc>
          <w:tcPr>
            <w:tcW w:w="1400" w:type="dxa"/>
            <w:vAlign w:val="bottom"/>
            <w:shd w:val="clear" w:color="auto" w:fill="EAF7FA"/>
          </w:tcPr>
          <w:p>
            <w:pPr>
              <w:jc w:val="center"/>
              <w:ind w:left="8"/>
              <w:spacing w:after="0"/>
              <w:rPr>
                <w:sz w:val="20"/>
                <w:szCs w:val="20"/>
                <w:color w:val="auto"/>
              </w:rPr>
            </w:pPr>
            <w:r>
              <w:rPr>
                <w:rFonts w:ascii="Arial" w:cs="Arial" w:eastAsia="Arial" w:hAnsi="Arial"/>
                <w:sz w:val="14"/>
                <w:szCs w:val="14"/>
                <w:color w:val="54565B"/>
              </w:rPr>
              <w:t>2022</w:t>
            </w:r>
          </w:p>
        </w:tc>
      </w:tr>
      <w:tr>
        <w:trPr>
          <w:trHeight w:val="192"/>
        </w:trPr>
        <w:tc>
          <w:tcPr>
            <w:tcW w:w="2000" w:type="dxa"/>
            <w:vAlign w:val="bottom"/>
            <w:tcBorders>
              <w:bottom w:val="single" w:sz="8" w:color="EAF7FA"/>
            </w:tcBorders>
            <w:shd w:val="clear" w:color="auto" w:fill="EAF7FA"/>
          </w:tcPr>
          <w:p>
            <w:pPr>
              <w:spacing w:after="0"/>
              <w:rPr>
                <w:sz w:val="16"/>
                <w:szCs w:val="16"/>
                <w:color w:val="auto"/>
              </w:rPr>
            </w:pPr>
          </w:p>
        </w:tc>
        <w:tc>
          <w:tcPr>
            <w:tcW w:w="1040" w:type="dxa"/>
            <w:vAlign w:val="bottom"/>
            <w:tcBorders>
              <w:bottom w:val="single" w:sz="8" w:color="EAF7FA"/>
            </w:tcBorders>
            <w:shd w:val="clear" w:color="auto" w:fill="EAF7FA"/>
          </w:tcPr>
          <w:p>
            <w:pPr>
              <w:spacing w:after="0"/>
              <w:rPr>
                <w:sz w:val="16"/>
                <w:szCs w:val="16"/>
                <w:color w:val="auto"/>
              </w:rPr>
            </w:pPr>
          </w:p>
        </w:tc>
        <w:tc>
          <w:tcPr>
            <w:tcW w:w="4960" w:type="dxa"/>
            <w:vAlign w:val="bottom"/>
            <w:tcBorders>
              <w:bottom w:val="single" w:sz="8" w:color="EAF7FA"/>
            </w:tcBorders>
            <w:shd w:val="clear" w:color="auto" w:fill="EAF7FA"/>
          </w:tcPr>
          <w:p>
            <w:pPr>
              <w:ind w:left="300"/>
              <w:spacing w:after="0"/>
              <w:rPr>
                <w:sz w:val="20"/>
                <w:szCs w:val="20"/>
                <w:color w:val="auto"/>
              </w:rPr>
            </w:pPr>
            <w:r>
              <w:rPr>
                <w:rFonts w:ascii="Arial" w:cs="Arial" w:eastAsia="Arial" w:hAnsi="Arial"/>
                <w:sz w:val="14"/>
                <w:szCs w:val="14"/>
                <w:color w:val="54565B"/>
              </w:rPr>
              <w:t>Group and Director</w:t>
            </w:r>
          </w:p>
        </w:tc>
        <w:tc>
          <w:tcPr>
            <w:tcW w:w="1400" w:type="dxa"/>
            <w:vAlign w:val="bottom"/>
            <w:tcBorders>
              <w:bottom w:val="single" w:sz="8" w:color="EAF7FA"/>
            </w:tcBorders>
            <w:shd w:val="clear" w:color="auto" w:fill="EAF7FA"/>
          </w:tcPr>
          <w:p>
            <w:pPr>
              <w:spacing w:after="0"/>
              <w:rPr>
                <w:sz w:val="16"/>
                <w:szCs w:val="16"/>
                <w:color w:val="auto"/>
              </w:rPr>
            </w:pPr>
          </w:p>
        </w:tc>
      </w:tr>
      <w:tr>
        <w:trPr>
          <w:trHeight w:val="222"/>
        </w:trPr>
        <w:tc>
          <w:tcPr>
            <w:tcW w:w="2000" w:type="dxa"/>
            <w:vAlign w:val="bottom"/>
          </w:tcPr>
          <w:p>
            <w:pPr>
              <w:ind w:left="240"/>
              <w:spacing w:after="0"/>
              <w:rPr>
                <w:sz w:val="20"/>
                <w:szCs w:val="20"/>
                <w:color w:val="auto"/>
              </w:rPr>
            </w:pPr>
            <w:r>
              <w:rPr>
                <w:rFonts w:ascii="Arial" w:cs="Arial" w:eastAsia="Arial" w:hAnsi="Arial"/>
                <w:sz w:val="14"/>
                <w:szCs w:val="14"/>
                <w:color w:val="54565B"/>
              </w:rPr>
              <w:t>William W. Verity</w:t>
            </w:r>
          </w:p>
        </w:tc>
        <w:tc>
          <w:tcPr>
            <w:tcW w:w="1040" w:type="dxa"/>
            <w:vAlign w:val="bottom"/>
          </w:tcPr>
          <w:p>
            <w:pPr>
              <w:jc w:val="center"/>
              <w:ind w:left="128"/>
              <w:spacing w:after="0"/>
              <w:rPr>
                <w:sz w:val="20"/>
                <w:szCs w:val="20"/>
                <w:color w:val="auto"/>
              </w:rPr>
            </w:pPr>
            <w:r>
              <w:rPr>
                <w:rFonts w:ascii="Arial" w:cs="Arial" w:eastAsia="Arial" w:hAnsi="Arial"/>
                <w:sz w:val="14"/>
                <w:szCs w:val="14"/>
                <w:color w:val="54565B"/>
              </w:rPr>
              <w:t>67</w:t>
            </w:r>
          </w:p>
        </w:tc>
        <w:tc>
          <w:tcPr>
            <w:tcW w:w="4960" w:type="dxa"/>
            <w:vAlign w:val="bottom"/>
          </w:tcPr>
          <w:p>
            <w:pPr>
              <w:ind w:left="300"/>
              <w:spacing w:after="0"/>
              <w:rPr>
                <w:sz w:val="20"/>
                <w:szCs w:val="20"/>
                <w:color w:val="auto"/>
              </w:rPr>
            </w:pPr>
            <w:r>
              <w:rPr>
                <w:rFonts w:ascii="Arial" w:cs="Arial" w:eastAsia="Arial" w:hAnsi="Arial"/>
                <w:sz w:val="14"/>
                <w:szCs w:val="14"/>
                <w:color w:val="54565B"/>
              </w:rPr>
              <w:t>Director</w:t>
            </w:r>
          </w:p>
        </w:tc>
        <w:tc>
          <w:tcPr>
            <w:tcW w:w="1400" w:type="dxa"/>
            <w:vAlign w:val="bottom"/>
          </w:tcPr>
          <w:p>
            <w:pPr>
              <w:jc w:val="center"/>
              <w:ind w:left="8"/>
              <w:spacing w:after="0"/>
              <w:rPr>
                <w:sz w:val="20"/>
                <w:szCs w:val="20"/>
                <w:color w:val="auto"/>
              </w:rPr>
            </w:pPr>
            <w:r>
              <w:rPr>
                <w:rFonts w:ascii="Arial" w:cs="Arial" w:eastAsia="Arial" w:hAnsi="Arial"/>
                <w:sz w:val="14"/>
                <w:szCs w:val="14"/>
                <w:color w:val="54565B"/>
              </w:rPr>
              <w:t>2002</w:t>
            </w:r>
          </w:p>
        </w:tc>
      </w:tr>
      <w:tr>
        <w:trPr>
          <w:trHeight w:val="22"/>
        </w:trPr>
        <w:tc>
          <w:tcPr>
            <w:tcW w:w="2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200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color w:val="54565B"/>
              </w:rPr>
              <w:t>John I. Von Lehman</w:t>
            </w:r>
          </w:p>
        </w:tc>
        <w:tc>
          <w:tcPr>
            <w:tcW w:w="1040" w:type="dxa"/>
            <w:vAlign w:val="bottom"/>
            <w:tcBorders>
              <w:bottom w:val="single" w:sz="8" w:color="EAF7FA"/>
            </w:tcBorders>
            <w:shd w:val="clear" w:color="auto" w:fill="EAF7FA"/>
          </w:tcPr>
          <w:p>
            <w:pPr>
              <w:jc w:val="center"/>
              <w:ind w:left="128"/>
              <w:spacing w:after="0"/>
              <w:rPr>
                <w:sz w:val="20"/>
                <w:szCs w:val="20"/>
                <w:color w:val="auto"/>
              </w:rPr>
            </w:pPr>
            <w:r>
              <w:rPr>
                <w:rFonts w:ascii="Arial" w:cs="Arial" w:eastAsia="Arial" w:hAnsi="Arial"/>
                <w:sz w:val="14"/>
                <w:szCs w:val="14"/>
                <w:color w:val="54565B"/>
              </w:rPr>
              <w:t>73</w:t>
            </w:r>
          </w:p>
        </w:tc>
        <w:tc>
          <w:tcPr>
            <w:tcW w:w="4960" w:type="dxa"/>
            <w:vAlign w:val="bottom"/>
            <w:tcBorders>
              <w:bottom w:val="single" w:sz="8" w:color="EAF7FA"/>
            </w:tcBorders>
            <w:shd w:val="clear" w:color="auto" w:fill="EAF7FA"/>
          </w:tcPr>
          <w:p>
            <w:pPr>
              <w:ind w:left="300"/>
              <w:spacing w:after="0"/>
              <w:rPr>
                <w:sz w:val="20"/>
                <w:szCs w:val="20"/>
                <w:color w:val="auto"/>
              </w:rPr>
            </w:pPr>
            <w:r>
              <w:rPr>
                <w:rFonts w:ascii="Arial" w:cs="Arial" w:eastAsia="Arial" w:hAnsi="Arial"/>
                <w:sz w:val="14"/>
                <w:szCs w:val="14"/>
                <w:color w:val="54565B"/>
              </w:rPr>
              <w:t>Director</w:t>
            </w:r>
          </w:p>
        </w:tc>
        <w:tc>
          <w:tcPr>
            <w:tcW w:w="1400" w:type="dxa"/>
            <w:vAlign w:val="bottom"/>
            <w:tcBorders>
              <w:bottom w:val="single" w:sz="8" w:color="EAF7FA"/>
            </w:tcBorders>
            <w:shd w:val="clear" w:color="auto" w:fill="EAF7FA"/>
          </w:tcPr>
          <w:p>
            <w:pPr>
              <w:jc w:val="center"/>
              <w:ind w:left="8"/>
              <w:spacing w:after="0"/>
              <w:rPr>
                <w:sz w:val="20"/>
                <w:szCs w:val="20"/>
                <w:color w:val="auto"/>
              </w:rPr>
            </w:pPr>
            <w:r>
              <w:rPr>
                <w:rFonts w:ascii="Arial" w:cs="Arial" w:eastAsia="Arial" w:hAnsi="Arial"/>
                <w:sz w:val="14"/>
                <w:szCs w:val="14"/>
                <w:color w:val="54565B"/>
              </w:rPr>
              <w:t>2008</w:t>
            </w:r>
          </w:p>
        </w:tc>
      </w:tr>
      <w:tr>
        <w:trPr>
          <w:trHeight w:val="193"/>
        </w:trPr>
        <w:tc>
          <w:tcPr>
            <w:tcW w:w="2000" w:type="dxa"/>
            <w:vAlign w:val="bottom"/>
          </w:tcPr>
          <w:p>
            <w:pPr>
              <w:ind w:left="240"/>
              <w:spacing w:after="0"/>
              <w:rPr>
                <w:sz w:val="20"/>
                <w:szCs w:val="20"/>
                <w:color w:val="auto"/>
              </w:rPr>
            </w:pPr>
            <w:r>
              <w:rPr>
                <w:rFonts w:ascii="Arial" w:cs="Arial" w:eastAsia="Arial" w:hAnsi="Arial"/>
                <w:sz w:val="14"/>
                <w:szCs w:val="14"/>
                <w:color w:val="54565B"/>
              </w:rPr>
              <w:t>Michelle A. Gillis</w:t>
            </w:r>
          </w:p>
        </w:tc>
        <w:tc>
          <w:tcPr>
            <w:tcW w:w="1040" w:type="dxa"/>
            <w:vAlign w:val="bottom"/>
          </w:tcPr>
          <w:p>
            <w:pPr>
              <w:jc w:val="center"/>
              <w:ind w:left="128"/>
              <w:spacing w:after="0"/>
              <w:rPr>
                <w:sz w:val="20"/>
                <w:szCs w:val="20"/>
                <w:color w:val="auto"/>
              </w:rPr>
            </w:pPr>
            <w:r>
              <w:rPr>
                <w:rFonts w:ascii="Arial" w:cs="Arial" w:eastAsia="Arial" w:hAnsi="Arial"/>
                <w:sz w:val="14"/>
                <w:szCs w:val="14"/>
                <w:color w:val="54565B"/>
              </w:rPr>
              <w:t>57</w:t>
            </w:r>
          </w:p>
        </w:tc>
        <w:tc>
          <w:tcPr>
            <w:tcW w:w="4960" w:type="dxa"/>
            <w:vAlign w:val="bottom"/>
          </w:tcPr>
          <w:p>
            <w:pPr>
              <w:ind w:left="300"/>
              <w:spacing w:after="0"/>
              <w:rPr>
                <w:sz w:val="20"/>
                <w:szCs w:val="20"/>
                <w:color w:val="auto"/>
              </w:rPr>
            </w:pPr>
            <w:r>
              <w:rPr>
                <w:rFonts w:ascii="Arial" w:cs="Arial" w:eastAsia="Arial" w:hAnsi="Arial"/>
                <w:sz w:val="14"/>
                <w:szCs w:val="14"/>
                <w:color w:val="54565B"/>
              </w:rPr>
              <w:t>Senior Vice President, Chief Human Resources Officer and Chief</w:t>
            </w:r>
          </w:p>
        </w:tc>
        <w:tc>
          <w:tcPr>
            <w:tcW w:w="1400" w:type="dxa"/>
            <w:vAlign w:val="bottom"/>
          </w:tcPr>
          <w:p>
            <w:pPr>
              <w:jc w:val="center"/>
              <w:ind w:left="8"/>
              <w:spacing w:after="0"/>
              <w:rPr>
                <w:sz w:val="20"/>
                <w:szCs w:val="20"/>
                <w:color w:val="auto"/>
              </w:rPr>
            </w:pPr>
            <w:r>
              <w:rPr>
                <w:rFonts w:ascii="Arial" w:cs="Arial" w:eastAsia="Arial" w:hAnsi="Arial"/>
                <w:sz w:val="14"/>
                <w:szCs w:val="14"/>
                <w:color w:val="54565B"/>
              </w:rPr>
              <w:t>2013</w:t>
            </w:r>
          </w:p>
        </w:tc>
      </w:tr>
      <w:tr>
        <w:trPr>
          <w:trHeight w:val="190"/>
        </w:trPr>
        <w:tc>
          <w:tcPr>
            <w:tcW w:w="2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960" w:type="dxa"/>
            <w:vAlign w:val="bottom"/>
          </w:tcPr>
          <w:p>
            <w:pPr>
              <w:ind w:left="300"/>
              <w:spacing w:after="0"/>
              <w:rPr>
                <w:sz w:val="20"/>
                <w:szCs w:val="20"/>
                <w:color w:val="auto"/>
              </w:rPr>
            </w:pPr>
            <w:r>
              <w:rPr>
                <w:rFonts w:ascii="Arial" w:cs="Arial" w:eastAsia="Arial" w:hAnsi="Arial"/>
                <w:sz w:val="14"/>
                <w:szCs w:val="14"/>
                <w:color w:val="54565B"/>
              </w:rPr>
              <w:t>Administrative Officer</w:t>
            </w:r>
          </w:p>
        </w:tc>
        <w:tc>
          <w:tcPr>
            <w:tcW w:w="1400" w:type="dxa"/>
            <w:vAlign w:val="bottom"/>
          </w:tcPr>
          <w:p>
            <w:pPr>
              <w:spacing w:after="0"/>
              <w:rPr>
                <w:sz w:val="16"/>
                <w:szCs w:val="16"/>
                <w:color w:val="auto"/>
              </w:rPr>
            </w:pPr>
          </w:p>
        </w:tc>
      </w:tr>
      <w:tr>
        <w:trPr>
          <w:trHeight w:val="22"/>
        </w:trPr>
        <w:tc>
          <w:tcPr>
            <w:tcW w:w="2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200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color w:val="54565B"/>
              </w:rPr>
              <w:t>Brian S. Hertzman</w:t>
            </w:r>
          </w:p>
        </w:tc>
        <w:tc>
          <w:tcPr>
            <w:tcW w:w="1040" w:type="dxa"/>
            <w:vAlign w:val="bottom"/>
            <w:tcBorders>
              <w:bottom w:val="single" w:sz="8" w:color="EAF7FA"/>
            </w:tcBorders>
            <w:shd w:val="clear" w:color="auto" w:fill="EAF7FA"/>
          </w:tcPr>
          <w:p>
            <w:pPr>
              <w:jc w:val="center"/>
              <w:ind w:left="128"/>
              <w:spacing w:after="0"/>
              <w:rPr>
                <w:sz w:val="20"/>
                <w:szCs w:val="20"/>
                <w:color w:val="auto"/>
              </w:rPr>
            </w:pPr>
            <w:r>
              <w:rPr>
                <w:rFonts w:ascii="Arial" w:cs="Arial" w:eastAsia="Arial" w:hAnsi="Arial"/>
                <w:sz w:val="14"/>
                <w:szCs w:val="14"/>
                <w:color w:val="54565B"/>
              </w:rPr>
              <w:t>55</w:t>
            </w:r>
          </w:p>
        </w:tc>
        <w:tc>
          <w:tcPr>
            <w:tcW w:w="4960" w:type="dxa"/>
            <w:vAlign w:val="bottom"/>
            <w:tcBorders>
              <w:bottom w:val="single" w:sz="8" w:color="EAF7FA"/>
            </w:tcBorders>
            <w:shd w:val="clear" w:color="auto" w:fill="EAF7FA"/>
          </w:tcPr>
          <w:p>
            <w:pPr>
              <w:ind w:left="300"/>
              <w:spacing w:after="0"/>
              <w:rPr>
                <w:sz w:val="20"/>
                <w:szCs w:val="20"/>
                <w:color w:val="auto"/>
              </w:rPr>
            </w:pPr>
            <w:r>
              <w:rPr>
                <w:rFonts w:ascii="Arial" w:cs="Arial" w:eastAsia="Arial" w:hAnsi="Arial"/>
                <w:sz w:val="14"/>
                <w:szCs w:val="14"/>
                <w:color w:val="54565B"/>
              </w:rPr>
              <w:t>Senior Vice President and Chief Financial Officer</w:t>
            </w:r>
          </w:p>
        </w:tc>
        <w:tc>
          <w:tcPr>
            <w:tcW w:w="1400" w:type="dxa"/>
            <w:vAlign w:val="bottom"/>
            <w:tcBorders>
              <w:bottom w:val="single" w:sz="8" w:color="EAF7FA"/>
            </w:tcBorders>
            <w:shd w:val="clear" w:color="auto" w:fill="EAF7FA"/>
          </w:tcPr>
          <w:p>
            <w:pPr>
              <w:jc w:val="center"/>
              <w:ind w:left="8"/>
              <w:spacing w:after="0"/>
              <w:rPr>
                <w:sz w:val="20"/>
                <w:szCs w:val="20"/>
                <w:color w:val="auto"/>
              </w:rPr>
            </w:pPr>
            <w:r>
              <w:rPr>
                <w:rFonts w:ascii="Arial" w:cs="Arial" w:eastAsia="Arial" w:hAnsi="Arial"/>
                <w:sz w:val="14"/>
                <w:szCs w:val="14"/>
                <w:color w:val="54565B"/>
              </w:rPr>
              <w:t>2020</w:t>
            </w:r>
          </w:p>
        </w:tc>
      </w:tr>
      <w:tr>
        <w:trPr>
          <w:trHeight w:val="193"/>
        </w:trPr>
        <w:tc>
          <w:tcPr>
            <w:tcW w:w="2000" w:type="dxa"/>
            <w:vAlign w:val="bottom"/>
          </w:tcPr>
          <w:p>
            <w:pPr>
              <w:ind w:left="240"/>
              <w:spacing w:after="0"/>
              <w:rPr>
                <w:sz w:val="20"/>
                <w:szCs w:val="20"/>
                <w:color w:val="auto"/>
              </w:rPr>
            </w:pPr>
            <w:r>
              <w:rPr>
                <w:rFonts w:ascii="Arial" w:cs="Arial" w:eastAsia="Arial" w:hAnsi="Arial"/>
                <w:sz w:val="14"/>
                <w:szCs w:val="14"/>
                <w:color w:val="54565B"/>
              </w:rPr>
              <w:t>Mark A. Weiss</w:t>
            </w:r>
          </w:p>
        </w:tc>
        <w:tc>
          <w:tcPr>
            <w:tcW w:w="1040" w:type="dxa"/>
            <w:vAlign w:val="bottom"/>
          </w:tcPr>
          <w:p>
            <w:pPr>
              <w:jc w:val="center"/>
              <w:ind w:left="128"/>
              <w:spacing w:after="0"/>
              <w:rPr>
                <w:sz w:val="20"/>
                <w:szCs w:val="20"/>
                <w:color w:val="auto"/>
              </w:rPr>
            </w:pPr>
            <w:r>
              <w:rPr>
                <w:rFonts w:ascii="Arial" w:cs="Arial" w:eastAsia="Arial" w:hAnsi="Arial"/>
                <w:sz w:val="14"/>
                <w:szCs w:val="14"/>
                <w:color w:val="54565B"/>
              </w:rPr>
              <w:t>59</w:t>
            </w:r>
          </w:p>
        </w:tc>
        <w:tc>
          <w:tcPr>
            <w:tcW w:w="4960" w:type="dxa"/>
            <w:vAlign w:val="bottom"/>
          </w:tcPr>
          <w:p>
            <w:pPr>
              <w:ind w:left="300"/>
              <w:spacing w:after="0"/>
              <w:rPr>
                <w:sz w:val="20"/>
                <w:szCs w:val="20"/>
                <w:color w:val="auto"/>
              </w:rPr>
            </w:pPr>
            <w:r>
              <w:rPr>
                <w:rFonts w:ascii="Arial" w:cs="Arial" w:eastAsia="Arial" w:hAnsi="Arial"/>
                <w:sz w:val="14"/>
                <w:szCs w:val="14"/>
                <w:color w:val="54565B"/>
              </w:rPr>
              <w:t>Senior Vice President, General Counsel and Chief Compliance</w:t>
            </w:r>
          </w:p>
        </w:tc>
        <w:tc>
          <w:tcPr>
            <w:tcW w:w="1400" w:type="dxa"/>
            <w:vAlign w:val="bottom"/>
          </w:tcPr>
          <w:p>
            <w:pPr>
              <w:jc w:val="center"/>
              <w:ind w:left="8"/>
              <w:spacing w:after="0"/>
              <w:rPr>
                <w:sz w:val="20"/>
                <w:szCs w:val="20"/>
                <w:color w:val="auto"/>
              </w:rPr>
            </w:pPr>
            <w:r>
              <w:rPr>
                <w:rFonts w:ascii="Arial" w:cs="Arial" w:eastAsia="Arial" w:hAnsi="Arial"/>
                <w:sz w:val="14"/>
                <w:szCs w:val="14"/>
                <w:color w:val="54565B"/>
              </w:rPr>
              <w:t>2022</w:t>
            </w:r>
          </w:p>
        </w:tc>
      </w:tr>
      <w:tr>
        <w:trPr>
          <w:trHeight w:val="190"/>
        </w:trPr>
        <w:tc>
          <w:tcPr>
            <w:tcW w:w="2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960" w:type="dxa"/>
            <w:vAlign w:val="bottom"/>
          </w:tcPr>
          <w:p>
            <w:pPr>
              <w:ind w:left="300"/>
              <w:spacing w:after="0"/>
              <w:rPr>
                <w:sz w:val="20"/>
                <w:szCs w:val="20"/>
                <w:color w:val="auto"/>
              </w:rPr>
            </w:pPr>
            <w:r>
              <w:rPr>
                <w:rFonts w:ascii="Arial" w:cs="Arial" w:eastAsia="Arial" w:hAnsi="Arial"/>
                <w:sz w:val="14"/>
                <w:szCs w:val="14"/>
                <w:color w:val="54565B"/>
              </w:rPr>
              <w:t>Officer</w:t>
            </w:r>
          </w:p>
        </w:tc>
        <w:tc>
          <w:tcPr>
            <w:tcW w:w="1400" w:type="dxa"/>
            <w:vAlign w:val="bottom"/>
          </w:tcPr>
          <w:p>
            <w:pPr>
              <w:spacing w:after="0"/>
              <w:rPr>
                <w:sz w:val="16"/>
                <w:szCs w:val="16"/>
                <w:color w:val="auto"/>
              </w:rPr>
            </w:pPr>
          </w:p>
        </w:tc>
      </w:tr>
      <w:tr>
        <w:trPr>
          <w:trHeight w:val="35"/>
        </w:trPr>
        <w:tc>
          <w:tcPr>
            <w:tcW w:w="2000" w:type="dxa"/>
            <w:vAlign w:val="bottom"/>
            <w:tcBorders>
              <w:bottom w:val="single" w:sz="8" w:color="0B3C61"/>
            </w:tcBorders>
          </w:tcPr>
          <w:p>
            <w:pPr>
              <w:spacing w:after="0"/>
              <w:rPr>
                <w:sz w:val="3"/>
                <w:szCs w:val="3"/>
                <w:color w:val="auto"/>
              </w:rPr>
            </w:pPr>
          </w:p>
        </w:tc>
        <w:tc>
          <w:tcPr>
            <w:tcW w:w="1040" w:type="dxa"/>
            <w:vAlign w:val="bottom"/>
            <w:tcBorders>
              <w:bottom w:val="single" w:sz="8" w:color="0B3C61"/>
            </w:tcBorders>
          </w:tcPr>
          <w:p>
            <w:pPr>
              <w:spacing w:after="0"/>
              <w:rPr>
                <w:sz w:val="3"/>
                <w:szCs w:val="3"/>
                <w:color w:val="auto"/>
              </w:rPr>
            </w:pPr>
          </w:p>
        </w:tc>
        <w:tc>
          <w:tcPr>
            <w:tcW w:w="4960" w:type="dxa"/>
            <w:vAlign w:val="bottom"/>
            <w:tcBorders>
              <w:bottom w:val="single" w:sz="8" w:color="0B3C61"/>
            </w:tcBorders>
          </w:tcPr>
          <w:p>
            <w:pPr>
              <w:spacing w:after="0"/>
              <w:rPr>
                <w:sz w:val="3"/>
                <w:szCs w:val="3"/>
                <w:color w:val="auto"/>
              </w:rPr>
            </w:pPr>
          </w:p>
        </w:tc>
        <w:tc>
          <w:tcPr>
            <w:tcW w:w="1400" w:type="dxa"/>
            <w:vAlign w:val="bottom"/>
            <w:tcBorders>
              <w:bottom w:val="single" w:sz="8" w:color="0B3C61"/>
            </w:tcBorders>
          </w:tcPr>
          <w:p>
            <w:pPr>
              <w:spacing w:after="0"/>
              <w:rPr>
                <w:sz w:val="3"/>
                <w:szCs w:val="3"/>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54565B"/>
        </w:rPr>
        <w:t>Mr. Carl H. Lindner III and Mr. S. Craig Lindner are brothers, Mr. S. Craig Lindner is the father of Craig Lindner Jr., and Mr. Carl 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54565B"/>
        </w:rPr>
        <w:t>Lindner III is the father-in-law of David L. Thompson.</w:t>
      </w:r>
    </w:p>
    <w:p>
      <w:pPr>
        <w:spacing w:after="0" w:line="70"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b w:val="1"/>
          <w:bCs w:val="1"/>
          <w:color w:val="54565B"/>
        </w:rPr>
        <w:t xml:space="preserve">Michelle A. Gillis </w:t>
      </w:r>
      <w:r>
        <w:rPr>
          <w:rFonts w:ascii="Arial" w:cs="Arial" w:eastAsia="Arial" w:hAnsi="Arial"/>
          <w:sz w:val="16"/>
          <w:szCs w:val="16"/>
          <w:color w:val="54565B"/>
        </w:rPr>
        <w:t>was appointed Chief Human Resources Officer in 2022 and became Senior Vice President and Chief</w:t>
      </w:r>
      <w:r>
        <w:rPr>
          <w:rFonts w:ascii="Arial" w:cs="Arial" w:eastAsia="Arial" w:hAnsi="Arial"/>
          <w:sz w:val="16"/>
          <w:szCs w:val="16"/>
          <w:b w:val="1"/>
          <w:bCs w:val="1"/>
          <w:color w:val="54565B"/>
        </w:rPr>
        <w:t xml:space="preserve"> </w:t>
      </w:r>
      <w:r>
        <w:rPr>
          <w:rFonts w:ascii="Arial" w:cs="Arial" w:eastAsia="Arial" w:hAnsi="Arial"/>
          <w:sz w:val="16"/>
          <w:szCs w:val="16"/>
          <w:color w:val="54565B"/>
        </w:rPr>
        <w:t>Administrative Officer of the Company in March 2013. She has responsibility for human resources, including talent management and total rewards. She also oversees corporate marketing and branding, real estate and numerous shared services areas. Since joining Great American Insurance Company in 2004, Ms. Gillis held various senior human resource management positions. Previously, Ms. Gillis spent several years in senior human resources roles in the financial services sector. Ms. Gillis holds an active accreditation as Senior Professional in Human Resources (SPHR) from the Human Resources Certification Institute.</w:t>
      </w:r>
    </w:p>
    <w:p>
      <w:pPr>
        <w:spacing w:after="0" w:line="60" w:lineRule="exact"/>
        <w:rPr>
          <w:sz w:val="20"/>
          <w:szCs w:val="20"/>
          <w:color w:val="auto"/>
        </w:rPr>
      </w:pPr>
    </w:p>
    <w:p>
      <w:pPr>
        <w:spacing w:after="0" w:line="254" w:lineRule="auto"/>
        <w:rPr>
          <w:sz w:val="20"/>
          <w:szCs w:val="20"/>
          <w:color w:val="auto"/>
        </w:rPr>
      </w:pPr>
      <w:r>
        <w:rPr>
          <w:rFonts w:ascii="Arial" w:cs="Arial" w:eastAsia="Arial" w:hAnsi="Arial"/>
          <w:sz w:val="16"/>
          <w:szCs w:val="16"/>
          <w:b w:val="1"/>
          <w:bCs w:val="1"/>
          <w:color w:val="54565B"/>
        </w:rPr>
        <w:t xml:space="preserve">Brian S. Hertzman </w:t>
      </w:r>
      <w:r>
        <w:rPr>
          <w:rFonts w:ascii="Arial" w:cs="Arial" w:eastAsia="Arial" w:hAnsi="Arial"/>
          <w:sz w:val="16"/>
          <w:szCs w:val="16"/>
          <w:color w:val="54565B"/>
        </w:rPr>
        <w:t>became Senior Vice President and Chief Financial Officer of the Company in August 2020. Prior to his election,</w:t>
      </w:r>
      <w:r>
        <w:rPr>
          <w:rFonts w:ascii="Arial" w:cs="Arial" w:eastAsia="Arial" w:hAnsi="Arial"/>
          <w:sz w:val="16"/>
          <w:szCs w:val="16"/>
          <w:b w:val="1"/>
          <w:bCs w:val="1"/>
          <w:color w:val="54565B"/>
        </w:rPr>
        <w:t xml:space="preserve"> </w:t>
      </w:r>
      <w:r>
        <w:rPr>
          <w:rFonts w:ascii="Arial" w:cs="Arial" w:eastAsia="Arial" w:hAnsi="Arial"/>
          <w:sz w:val="16"/>
          <w:szCs w:val="16"/>
          <w:color w:val="54565B"/>
        </w:rPr>
        <w:t>he served as Vice President since 2014 and Controller since 2012. Mr. Hertzman, a licensed certified public accountant (inactive), joined AFG in 1991 and has held positions of increasing responsibility within the Company’s finance and accounting areas during his over 30 year tenure. As Vice President and Controller of AFG, Mr. Hertzman had responsibility for oversight of accounting policies and procedures in compliance with GAAP and other applicable regulations and financial reporting to the Securities and Exchange Commission.</w:t>
      </w:r>
    </w:p>
    <w:p>
      <w:pPr>
        <w:spacing w:after="0" w:line="60"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b w:val="1"/>
          <w:bCs w:val="1"/>
          <w:color w:val="54565B"/>
        </w:rPr>
        <w:t xml:space="preserve">Mark A. Weiss </w:t>
      </w:r>
      <w:r>
        <w:rPr>
          <w:rFonts w:ascii="Arial" w:cs="Arial" w:eastAsia="Arial" w:hAnsi="Arial"/>
          <w:sz w:val="16"/>
          <w:szCs w:val="16"/>
          <w:color w:val="54565B"/>
        </w:rPr>
        <w:t>was elected Senior Vice President and General Counsel of the Company effective December 1, 2022. He served</w:t>
      </w:r>
      <w:r>
        <w:rPr>
          <w:rFonts w:ascii="Arial" w:cs="Arial" w:eastAsia="Arial" w:hAnsi="Arial"/>
          <w:sz w:val="16"/>
          <w:szCs w:val="16"/>
          <w:b w:val="1"/>
          <w:bCs w:val="1"/>
          <w:color w:val="54565B"/>
        </w:rPr>
        <w:t xml:space="preserve"> </w:t>
      </w:r>
      <w:r>
        <w:rPr>
          <w:rFonts w:ascii="Arial" w:cs="Arial" w:eastAsia="Arial" w:hAnsi="Arial"/>
          <w:sz w:val="16"/>
          <w:szCs w:val="16"/>
          <w:color w:val="54565B"/>
        </w:rPr>
        <w:t>as the Chief Compliance Officer from 2020 until April 2025. He joined AFG in 2010 and has served in various capacities, most recently as Vice President and Assistant General Counsel. Mr. Weiss was a partner at Keating Muething &amp; Klekamp PLL prior to joining the Company.</w:t>
      </w:r>
    </w:p>
    <w:p>
      <w:pPr>
        <w:spacing w:after="0" w:line="4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54565B"/>
        </w:rPr>
        <w:t xml:space="preserve">Information regarding all nominees for director is set forth beginning on page </w:t>
      </w:r>
      <w:r>
        <w:rPr>
          <w:rFonts w:ascii="Arial" w:cs="Arial" w:eastAsia="Arial" w:hAnsi="Arial"/>
          <w:sz w:val="16"/>
          <w:szCs w:val="16"/>
          <w:u w:val="single" w:color="auto"/>
          <w:color w:val="0000EE"/>
        </w:rPr>
        <w:t>9</w:t>
      </w:r>
      <w:r>
        <w:rPr>
          <w:rFonts w:ascii="Arial" w:cs="Arial" w:eastAsia="Arial" w:hAnsi="Arial"/>
          <w:sz w:val="16"/>
          <w:szCs w:val="16"/>
          <w:color w:val="54565B"/>
        </w:rPr>
        <w:t xml:space="preserve"> under “Proposals — Proposal No. 1 — Election of 12 Directors.”</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0B3C61"/>
        </w:rPr>
        <w:t xml:space="preserve">2026 Proxy Statement | American Financial Group   </w:t>
      </w:r>
      <w:r>
        <w:rPr>
          <w:rFonts w:ascii="Arial" w:cs="Arial" w:eastAsia="Arial" w:hAnsi="Arial"/>
          <w:sz w:val="13"/>
          <w:szCs w:val="13"/>
          <w:b w:val="1"/>
          <w:bCs w:val="1"/>
          <w:color w:val="EA1D2D"/>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COMPANY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0B3C61"/>
        </w:rPr>
        <w:t>SECURITY OWNERSHIP OF CERTAIN BENEFICIAL OWNERS AND MANAGEMENT</w:t>
      </w:r>
    </w:p>
    <w:p>
      <w:pPr>
        <w:spacing w:after="0" w:line="83"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54565B"/>
        </w:rPr>
        <w:t>The following table sets forth certain information regarding beneficial ownership of common shares by each of the Company’s directors and the named executive officers and by all directors and executive officers of the Company as a group. The table also includes those who are known by the Company to own beneficially more than 5% of the issued and outstanding common shares. Except as otherwise provided below, information in the table is as of March 13, 2026, and, to the Company’s knowledge, all common shares are beneficially owned and investment and voting power is held solely by the persons named as owners.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420" w:type="dxa"/>
            <w:vAlign w:val="bottom"/>
            <w:shd w:val="clear" w:color="auto" w:fill="0B3C61"/>
          </w:tcPr>
          <w:p>
            <w:pPr>
              <w:spacing w:after="0"/>
              <w:rPr>
                <w:sz w:val="22"/>
                <w:szCs w:val="22"/>
                <w:color w:val="auto"/>
              </w:rPr>
            </w:pPr>
          </w:p>
        </w:tc>
        <w:tc>
          <w:tcPr>
            <w:tcW w:w="3100" w:type="dxa"/>
            <w:vAlign w:val="bottom"/>
            <w:shd w:val="clear" w:color="auto" w:fill="0B3C61"/>
          </w:tcPr>
          <w:p>
            <w:pPr>
              <w:jc w:val="center"/>
              <w:ind w:left="1028"/>
              <w:spacing w:after="0"/>
              <w:rPr>
                <w:sz w:val="20"/>
                <w:szCs w:val="20"/>
                <w:color w:val="auto"/>
              </w:rPr>
            </w:pPr>
            <w:r>
              <w:rPr>
                <w:rFonts w:ascii="Arial" w:cs="Arial" w:eastAsia="Arial" w:hAnsi="Arial"/>
                <w:sz w:val="14"/>
                <w:szCs w:val="14"/>
                <w:color w:val="FFFFFF"/>
              </w:rPr>
              <w:t>Common Shares</w:t>
            </w:r>
          </w:p>
        </w:tc>
        <w:tc>
          <w:tcPr>
            <w:tcW w:w="1880" w:type="dxa"/>
            <w:vAlign w:val="bottom"/>
            <w:shd w:val="clear" w:color="auto" w:fill="0B3C61"/>
          </w:tcPr>
          <w:p>
            <w:pPr>
              <w:spacing w:after="0"/>
              <w:rPr>
                <w:sz w:val="22"/>
                <w:szCs w:val="22"/>
                <w:color w:val="auto"/>
              </w:rPr>
            </w:pPr>
          </w:p>
        </w:tc>
      </w:tr>
      <w:tr>
        <w:trPr>
          <w:trHeight w:val="282"/>
        </w:trPr>
        <w:tc>
          <w:tcPr>
            <w:tcW w:w="4420" w:type="dxa"/>
            <w:vAlign w:val="bottom"/>
            <w:shd w:val="clear" w:color="auto" w:fill="0B3C61"/>
          </w:tcPr>
          <w:p>
            <w:pPr>
              <w:ind w:left="240"/>
              <w:spacing w:after="0"/>
              <w:rPr>
                <w:sz w:val="20"/>
                <w:szCs w:val="20"/>
                <w:color w:val="auto"/>
              </w:rPr>
            </w:pPr>
            <w:r>
              <w:rPr>
                <w:rFonts w:ascii="Arial" w:cs="Arial" w:eastAsia="Arial" w:hAnsi="Arial"/>
                <w:sz w:val="14"/>
                <w:szCs w:val="14"/>
                <w:color w:val="FFFFFF"/>
              </w:rPr>
              <w:t>Name of Beneficial Owner/Group</w:t>
            </w:r>
          </w:p>
        </w:tc>
        <w:tc>
          <w:tcPr>
            <w:tcW w:w="3100" w:type="dxa"/>
            <w:vAlign w:val="bottom"/>
            <w:shd w:val="clear" w:color="auto" w:fill="0B3C61"/>
          </w:tcPr>
          <w:p>
            <w:pPr>
              <w:jc w:val="center"/>
              <w:ind w:left="1068"/>
              <w:spacing w:after="0"/>
              <w:rPr>
                <w:sz w:val="20"/>
                <w:szCs w:val="20"/>
                <w:color w:val="auto"/>
              </w:rPr>
            </w:pPr>
            <w:r>
              <w:rPr>
                <w:rFonts w:ascii="Arial" w:cs="Arial" w:eastAsia="Arial" w:hAnsi="Arial"/>
                <w:sz w:val="14"/>
                <w:szCs w:val="14"/>
                <w:color w:val="FFFFFF"/>
                <w:w w:val="98"/>
              </w:rPr>
              <w:t>Beneficially Owned</w:t>
            </w:r>
            <w:r>
              <w:rPr>
                <w:rFonts w:ascii="Arial" w:cs="Arial" w:eastAsia="Arial" w:hAnsi="Arial"/>
                <w:sz w:val="23"/>
                <w:szCs w:val="23"/>
                <w:color w:val="FFFFFF"/>
                <w:w w:val="98"/>
                <w:vertAlign w:val="superscript"/>
              </w:rPr>
              <w:t>(1)</w:t>
            </w:r>
          </w:p>
        </w:tc>
        <w:tc>
          <w:tcPr>
            <w:tcW w:w="1880" w:type="dxa"/>
            <w:vAlign w:val="bottom"/>
            <w:shd w:val="clear" w:color="auto" w:fill="0B3C61"/>
          </w:tcPr>
          <w:p>
            <w:pPr>
              <w:ind w:left="300"/>
              <w:spacing w:after="0"/>
              <w:rPr>
                <w:sz w:val="20"/>
                <w:szCs w:val="20"/>
                <w:color w:val="auto"/>
              </w:rPr>
            </w:pPr>
            <w:r>
              <w:rPr>
                <w:rFonts w:ascii="Arial" w:cs="Arial" w:eastAsia="Arial" w:hAnsi="Arial"/>
                <w:sz w:val="14"/>
                <w:szCs w:val="14"/>
                <w:color w:val="FFFFFF"/>
              </w:rPr>
              <w:t>Percent of Class</w:t>
            </w:r>
          </w:p>
        </w:tc>
      </w:tr>
      <w:tr>
        <w:trPr>
          <w:trHeight w:val="228"/>
        </w:trPr>
        <w:tc>
          <w:tcPr>
            <w:tcW w:w="4420" w:type="dxa"/>
            <w:vAlign w:val="bottom"/>
          </w:tcPr>
          <w:p>
            <w:pPr>
              <w:ind w:left="240"/>
              <w:spacing w:after="0"/>
              <w:rPr>
                <w:sz w:val="20"/>
                <w:szCs w:val="20"/>
                <w:color w:val="auto"/>
              </w:rPr>
            </w:pPr>
            <w:r>
              <w:rPr>
                <w:rFonts w:ascii="Arial" w:cs="Arial" w:eastAsia="Arial" w:hAnsi="Arial"/>
                <w:sz w:val="14"/>
                <w:szCs w:val="14"/>
                <w:b w:val="1"/>
                <w:bCs w:val="1"/>
                <w:i w:val="1"/>
                <w:iCs w:val="1"/>
                <w:color w:val="54565B"/>
              </w:rPr>
              <w:t>Directors and Named Executive Officers</w:t>
            </w:r>
          </w:p>
        </w:tc>
        <w:tc>
          <w:tcPr>
            <w:tcW w:w="310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596646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6460" cy="17970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84" w:lineRule="exact"/>
        <w:rPr>
          <w:sz w:val="20"/>
          <w:szCs w:val="20"/>
          <w:color w:val="auto"/>
        </w:rPr>
      </w:pPr>
    </w:p>
    <w:p>
      <w:pPr>
        <w:ind w:left="240"/>
        <w:spacing w:after="0"/>
        <w:rPr>
          <w:sz w:val="20"/>
          <w:szCs w:val="20"/>
          <w:color w:val="auto"/>
        </w:rPr>
      </w:pPr>
      <w:r>
        <w:rPr>
          <w:rFonts w:ascii="Arial" w:cs="Arial" w:eastAsia="Arial" w:hAnsi="Arial"/>
          <w:sz w:val="14"/>
          <w:szCs w:val="14"/>
          <w:color w:val="54565B"/>
        </w:rPr>
        <w:t>Carl H. Lindner III</w:t>
      </w:r>
      <w:r>
        <w:rPr>
          <w:rFonts w:ascii="Arial" w:cs="Arial" w:eastAsia="Arial" w:hAnsi="Arial"/>
          <w:sz w:val="23"/>
          <w:szCs w:val="23"/>
          <w:color w:val="54565B"/>
          <w:vertAlign w:val="superscript"/>
        </w:rPr>
        <w:t>(2)</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54565B"/>
        </w:rPr>
        <w:t>S. Craig Lindner</w:t>
      </w:r>
      <w:r>
        <w:rPr>
          <w:rFonts w:ascii="Arial" w:cs="Arial" w:eastAsia="Arial" w:hAnsi="Arial"/>
          <w:sz w:val="23"/>
          <w:szCs w:val="23"/>
          <w:color w:val="54565B"/>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5966460"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6460" cy="17970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4"/>
          <w:szCs w:val="14"/>
          <w:color w:val="54565B"/>
        </w:rPr>
        <w:t>John B. Berding</w:t>
      </w:r>
      <w:r>
        <w:rPr>
          <w:rFonts w:ascii="Arial" w:cs="Arial" w:eastAsia="Arial" w:hAnsi="Arial"/>
          <w:sz w:val="23"/>
          <w:szCs w:val="23"/>
          <w:color w:val="54565B"/>
          <w:vertAlign w:val="superscript"/>
        </w:rPr>
        <w:t>(4)</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4"/>
          <w:szCs w:val="14"/>
          <w:color w:val="54565B"/>
        </w:rPr>
        <w:t>Gregory G. Joseph</w:t>
      </w:r>
      <w:r>
        <w:rPr>
          <w:rFonts w:ascii="Arial" w:cs="Arial" w:eastAsia="Arial" w:hAnsi="Arial"/>
          <w:sz w:val="23"/>
          <w:szCs w:val="23"/>
          <w:color w:val="54565B"/>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5966460"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6460" cy="17970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4"/>
          <w:szCs w:val="14"/>
          <w:color w:val="54565B"/>
        </w:rPr>
        <w:t>Craig Lindner, Jr.</w:t>
      </w:r>
      <w:r>
        <w:rPr>
          <w:rFonts w:ascii="Arial" w:cs="Arial" w:eastAsia="Arial" w:hAnsi="Arial"/>
          <w:sz w:val="23"/>
          <w:szCs w:val="23"/>
          <w:color w:val="54565B"/>
          <w:vertAlign w:val="superscript"/>
        </w:rPr>
        <w:t>(6)</w:t>
      </w:r>
    </w:p>
    <w:p>
      <w:pPr>
        <w:spacing w:after="0" w:line="24" w:lineRule="exact"/>
        <w:rPr>
          <w:sz w:val="20"/>
          <w:szCs w:val="20"/>
          <w:color w:val="auto"/>
        </w:rPr>
      </w:pPr>
    </w:p>
    <w:p>
      <w:pPr>
        <w:ind w:left="240"/>
        <w:spacing w:after="0"/>
        <w:rPr>
          <w:sz w:val="20"/>
          <w:szCs w:val="20"/>
          <w:color w:val="auto"/>
        </w:rPr>
      </w:pPr>
      <w:r>
        <w:rPr>
          <w:rFonts w:ascii="Arial" w:cs="Arial" w:eastAsia="Arial" w:hAnsi="Arial"/>
          <w:sz w:val="14"/>
          <w:szCs w:val="14"/>
          <w:color w:val="54565B"/>
        </w:rPr>
        <w:t>Mary Beth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596646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6460" cy="163195"/>
                    </a:xfrm>
                    <a:prstGeom prst="rect">
                      <a:avLst/>
                    </a:prstGeom>
                    <a:noFill/>
                  </pic:spPr>
                </pic:pic>
              </a:graphicData>
            </a:graphic>
          </wp:anchor>
        </w:drawing>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4"/>
          <w:szCs w:val="14"/>
          <w:color w:val="54565B"/>
        </w:rPr>
        <w:t>Amy Y. Murray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4"/>
          <w:szCs w:val="14"/>
          <w:color w:val="54565B"/>
        </w:rPr>
        <w:t>Roger K. Newport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596646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6460" cy="163195"/>
                    </a:xfrm>
                    <a:prstGeom prst="rect">
                      <a:avLst/>
                    </a:prstGeom>
                    <a:noFill/>
                  </pic:spPr>
                </pic:pic>
              </a:graphicData>
            </a:graphic>
          </wp:anchor>
        </w:drawing>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4"/>
          <w:szCs w:val="14"/>
          <w:color w:val="54565B"/>
        </w:rPr>
        <w:t>Evans N. Nwankwo</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4"/>
          <w:szCs w:val="14"/>
          <w:color w:val="54565B"/>
        </w:rPr>
        <w:t>William W. Verity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596646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6460" cy="163195"/>
                    </a:xfrm>
                    <a:prstGeom prst="rect">
                      <a:avLst/>
                    </a:prstGeom>
                    <a:noFill/>
                  </pic:spPr>
                </pic:pic>
              </a:graphicData>
            </a:graphic>
          </wp:anchor>
        </w:drawing>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4"/>
          <w:szCs w:val="14"/>
          <w:color w:val="54565B"/>
        </w:rPr>
        <w:t>John I. Von Lehman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4"/>
          <w:szCs w:val="14"/>
          <w:color w:val="54565B"/>
        </w:rPr>
        <w:t>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5966460" cy="179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6460" cy="179705"/>
                    </a:xfrm>
                    <a:prstGeom prst="rect">
                      <a:avLst/>
                    </a:prstGeom>
                    <a:noFill/>
                  </pic:spPr>
                </pic:pic>
              </a:graphicData>
            </a:graphic>
          </wp:anchor>
        </w:drawing>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4"/>
          <w:szCs w:val="14"/>
          <w:color w:val="54565B"/>
        </w:rPr>
        <w:t>David L. Thompson</w:t>
      </w:r>
      <w:r>
        <w:rPr>
          <w:rFonts w:ascii="Arial" w:cs="Arial" w:eastAsia="Arial" w:hAnsi="Arial"/>
          <w:sz w:val="23"/>
          <w:szCs w:val="23"/>
          <w:color w:val="54565B"/>
          <w:vertAlign w:val="superscript"/>
        </w:rPr>
        <w:t>(7)</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54565B"/>
        </w:rPr>
        <w:t>Mark A. Weiss</w:t>
      </w:r>
      <w:r>
        <w:rPr>
          <w:rFonts w:ascii="Arial" w:cs="Arial" w:eastAsia="Arial" w:hAnsi="Arial"/>
          <w:sz w:val="23"/>
          <w:szCs w:val="23"/>
          <w:color w:val="54565B"/>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5966460" cy="1803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6460" cy="180340"/>
                    </a:xfrm>
                    <a:prstGeom prst="rect">
                      <a:avLst/>
                    </a:prstGeom>
                    <a:noFill/>
                  </pic:spPr>
                </pic:pic>
              </a:graphicData>
            </a:graphic>
          </wp:anchor>
        </w:drawing>
      </w:r>
    </w:p>
    <w:p>
      <w:pPr>
        <w:ind w:left="240" w:right="780"/>
        <w:spacing w:after="0" w:line="282" w:lineRule="auto"/>
        <w:rPr>
          <w:sz w:val="20"/>
          <w:szCs w:val="20"/>
          <w:color w:val="auto"/>
        </w:rPr>
      </w:pPr>
      <w:r>
        <w:rPr>
          <w:rFonts w:ascii="Arial" w:cs="Arial" w:eastAsia="Arial" w:hAnsi="Arial"/>
          <w:sz w:val="14"/>
          <w:szCs w:val="14"/>
          <w:b w:val="1"/>
          <w:bCs w:val="1"/>
          <w:color w:val="54565B"/>
        </w:rPr>
        <w:t>All Directors and Executive Officers as a group (15 persons)</w:t>
      </w:r>
      <w:r>
        <w:rPr>
          <w:rFonts w:ascii="Arial" w:cs="Arial" w:eastAsia="Arial" w:hAnsi="Arial"/>
          <w:sz w:val="23"/>
          <w:szCs w:val="23"/>
          <w:b w:val="1"/>
          <w:bCs w:val="1"/>
          <w:color w:val="54565B"/>
          <w:vertAlign w:val="superscript"/>
        </w:rPr>
        <w:t>(9)</w:t>
      </w:r>
      <w:r>
        <w:rPr>
          <w:rFonts w:ascii="Arial" w:cs="Arial" w:eastAsia="Arial" w:hAnsi="Arial"/>
          <w:sz w:val="14"/>
          <w:szCs w:val="14"/>
          <w:b w:val="1"/>
          <w:bCs w:val="1"/>
          <w:color w:val="54565B"/>
        </w:rPr>
        <w:t xml:space="preserve"> </w:t>
      </w:r>
      <w:r>
        <w:rPr>
          <w:rFonts w:ascii="Arial" w:cs="Arial" w:eastAsia="Arial" w:hAnsi="Arial"/>
          <w:sz w:val="14"/>
          <w:szCs w:val="14"/>
          <w:b w:val="1"/>
          <w:bCs w:val="1"/>
          <w:i w:val="1"/>
          <w:iCs w:val="1"/>
          <w:color w:val="54565B"/>
        </w:rPr>
        <w:t>Other Beneficial Owners of More than 5% of the Common Shares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380" w:type="dxa"/>
            <w:vAlign w:val="bottom"/>
            <w:gridSpan w:val="2"/>
          </w:tcPr>
          <w:p>
            <w:pPr>
              <w:spacing w:after="0"/>
              <w:rPr>
                <w:sz w:val="20"/>
                <w:szCs w:val="20"/>
                <w:color w:val="auto"/>
              </w:rPr>
            </w:pPr>
            <w:r>
              <w:rPr>
                <w:rFonts w:ascii="Arial" w:cs="Arial" w:eastAsia="Arial" w:hAnsi="Arial"/>
                <w:sz w:val="14"/>
                <w:szCs w:val="14"/>
                <w:color w:val="54565B"/>
              </w:rPr>
              <w:t>​ 5,662,146</w:t>
            </w:r>
          </w:p>
        </w:tc>
        <w:tc>
          <w:tcPr>
            <w:tcW w:w="1080" w:type="dxa"/>
            <w:vAlign w:val="bottom"/>
          </w:tcPr>
          <w:p>
            <w:pPr>
              <w:ind w:left="680"/>
              <w:spacing w:after="0"/>
              <w:rPr>
                <w:sz w:val="20"/>
                <w:szCs w:val="20"/>
                <w:color w:val="auto"/>
              </w:rPr>
            </w:pPr>
            <w:r>
              <w:rPr>
                <w:rFonts w:ascii="Arial" w:cs="Arial" w:eastAsia="Arial" w:hAnsi="Arial"/>
                <w:sz w:val="14"/>
                <w:szCs w:val="14"/>
                <w:color w:val="54565B"/>
              </w:rPr>
              <w:t>​ 6.8%</w:t>
            </w:r>
          </w:p>
        </w:tc>
      </w:tr>
      <w:tr>
        <w:trPr>
          <w:trHeight w:val="284"/>
        </w:trPr>
        <w:tc>
          <w:tcPr>
            <w:tcW w:w="1380" w:type="dxa"/>
            <w:vAlign w:val="bottom"/>
            <w:gridSpan w:val="2"/>
          </w:tcPr>
          <w:p>
            <w:pPr>
              <w:spacing w:after="0"/>
              <w:rPr>
                <w:sz w:val="20"/>
                <w:szCs w:val="20"/>
                <w:color w:val="auto"/>
              </w:rPr>
            </w:pPr>
            <w:r>
              <w:rPr>
                <w:rFonts w:ascii="Arial" w:cs="Arial" w:eastAsia="Arial" w:hAnsi="Arial"/>
                <w:sz w:val="14"/>
                <w:szCs w:val="14"/>
                <w:color w:val="54565B"/>
              </w:rPr>
              <w:t>​ 5,141,226</w:t>
            </w:r>
          </w:p>
        </w:tc>
        <w:tc>
          <w:tcPr>
            <w:tcW w:w="1080" w:type="dxa"/>
            <w:vAlign w:val="bottom"/>
          </w:tcPr>
          <w:p>
            <w:pPr>
              <w:ind w:left="680"/>
              <w:spacing w:after="0"/>
              <w:rPr>
                <w:sz w:val="20"/>
                <w:szCs w:val="20"/>
                <w:color w:val="auto"/>
              </w:rPr>
            </w:pPr>
            <w:r>
              <w:rPr>
                <w:rFonts w:ascii="Arial" w:cs="Arial" w:eastAsia="Arial" w:hAnsi="Arial"/>
                <w:sz w:val="14"/>
                <w:szCs w:val="14"/>
                <w:color w:val="54565B"/>
              </w:rPr>
              <w:t>​ 6.2%</w:t>
            </w:r>
          </w:p>
        </w:tc>
      </w:tr>
      <w:tr>
        <w:trPr>
          <w:trHeight w:val="283"/>
        </w:trPr>
        <w:tc>
          <w:tcPr>
            <w:tcW w:w="120" w:type="dxa"/>
            <w:vAlign w:val="bottom"/>
          </w:tcPr>
          <w:p>
            <w:pPr>
              <w:spacing w:after="0"/>
              <w:rPr>
                <w:sz w:val="20"/>
                <w:szCs w:val="20"/>
                <w:color w:val="auto"/>
              </w:rPr>
            </w:pPr>
            <w:r>
              <w:rPr>
                <w:rFonts w:ascii="Arial" w:cs="Arial" w:eastAsia="Arial" w:hAnsi="Arial"/>
                <w:sz w:val="14"/>
                <w:szCs w:val="14"/>
                <w:color w:val="54565B"/>
              </w:rPr>
              <w:t>​</w:t>
            </w:r>
          </w:p>
        </w:tc>
        <w:tc>
          <w:tcPr>
            <w:tcW w:w="1260" w:type="dxa"/>
            <w:vAlign w:val="bottom"/>
          </w:tcPr>
          <w:p>
            <w:pPr>
              <w:jc w:val="right"/>
              <w:ind w:right="608"/>
              <w:spacing w:after="0"/>
              <w:rPr>
                <w:sz w:val="20"/>
                <w:szCs w:val="20"/>
                <w:color w:val="auto"/>
              </w:rPr>
            </w:pPr>
            <w:r>
              <w:rPr>
                <w:rFonts w:ascii="Arial" w:cs="Arial" w:eastAsia="Arial" w:hAnsi="Arial"/>
                <w:sz w:val="14"/>
                <w:szCs w:val="14"/>
                <w:color w:val="54565B"/>
              </w:rPr>
              <w:t>138,882</w:t>
            </w:r>
          </w:p>
        </w:tc>
        <w:tc>
          <w:tcPr>
            <w:tcW w:w="1080" w:type="dxa"/>
            <w:vAlign w:val="bottom"/>
          </w:tcPr>
          <w:p>
            <w:pPr>
              <w:ind w:left="940"/>
              <w:spacing w:after="0"/>
              <w:rPr>
                <w:sz w:val="20"/>
                <w:szCs w:val="20"/>
                <w:color w:val="auto"/>
              </w:rPr>
            </w:pPr>
            <w:r>
              <w:rPr>
                <w:rFonts w:ascii="Arial" w:cs="Arial" w:eastAsia="Arial" w:hAnsi="Arial"/>
                <w:sz w:val="14"/>
                <w:szCs w:val="14"/>
                <w:color w:val="54565B"/>
              </w:rPr>
              <w:t>*</w:t>
            </w:r>
          </w:p>
        </w:tc>
      </w:tr>
      <w:tr>
        <w:trPr>
          <w:trHeight w:val="283"/>
        </w:trPr>
        <w:tc>
          <w:tcPr>
            <w:tcW w:w="120" w:type="dxa"/>
            <w:vAlign w:val="bottom"/>
          </w:tcPr>
          <w:p>
            <w:pPr>
              <w:spacing w:after="0"/>
              <w:rPr>
                <w:sz w:val="20"/>
                <w:szCs w:val="20"/>
                <w:color w:val="auto"/>
              </w:rPr>
            </w:pPr>
            <w:r>
              <w:rPr>
                <w:rFonts w:ascii="Arial" w:cs="Arial" w:eastAsia="Arial" w:hAnsi="Arial"/>
                <w:sz w:val="14"/>
                <w:szCs w:val="14"/>
                <w:color w:val="54565B"/>
              </w:rPr>
              <w:t>​</w:t>
            </w:r>
          </w:p>
        </w:tc>
        <w:tc>
          <w:tcPr>
            <w:tcW w:w="1260" w:type="dxa"/>
            <w:vAlign w:val="bottom"/>
          </w:tcPr>
          <w:p>
            <w:pPr>
              <w:jc w:val="right"/>
              <w:ind w:right="608"/>
              <w:spacing w:after="0"/>
              <w:rPr>
                <w:sz w:val="20"/>
                <w:szCs w:val="20"/>
                <w:color w:val="auto"/>
              </w:rPr>
            </w:pPr>
            <w:r>
              <w:rPr>
                <w:rFonts w:ascii="Arial" w:cs="Arial" w:eastAsia="Arial" w:hAnsi="Arial"/>
                <w:sz w:val="14"/>
                <w:szCs w:val="14"/>
                <w:color w:val="54565B"/>
              </w:rPr>
              <w:t>123,537</w:t>
            </w:r>
          </w:p>
        </w:tc>
        <w:tc>
          <w:tcPr>
            <w:tcW w:w="1080" w:type="dxa"/>
            <w:vAlign w:val="bottom"/>
          </w:tcPr>
          <w:p>
            <w:pPr>
              <w:ind w:left="940"/>
              <w:spacing w:after="0"/>
              <w:rPr>
                <w:sz w:val="20"/>
                <w:szCs w:val="20"/>
                <w:color w:val="auto"/>
              </w:rPr>
            </w:pPr>
            <w:r>
              <w:rPr>
                <w:rFonts w:ascii="Arial" w:cs="Arial" w:eastAsia="Arial" w:hAnsi="Arial"/>
                <w:sz w:val="14"/>
                <w:szCs w:val="14"/>
                <w:color w:val="54565B"/>
              </w:rPr>
              <w:t>*</w:t>
            </w:r>
          </w:p>
        </w:tc>
      </w:tr>
      <w:tr>
        <w:trPr>
          <w:trHeight w:val="283"/>
        </w:trPr>
        <w:tc>
          <w:tcPr>
            <w:tcW w:w="1380" w:type="dxa"/>
            <w:vAlign w:val="bottom"/>
            <w:gridSpan w:val="2"/>
          </w:tcPr>
          <w:p>
            <w:pPr>
              <w:spacing w:after="0"/>
              <w:rPr>
                <w:sz w:val="20"/>
                <w:szCs w:val="20"/>
                <w:color w:val="auto"/>
              </w:rPr>
            </w:pPr>
            <w:r>
              <w:rPr>
                <w:rFonts w:ascii="Arial" w:cs="Arial" w:eastAsia="Arial" w:hAnsi="Arial"/>
                <w:sz w:val="14"/>
                <w:szCs w:val="14"/>
                <w:color w:val="54565B"/>
              </w:rPr>
              <w:t>​ 1,853,091</w:t>
            </w:r>
          </w:p>
        </w:tc>
        <w:tc>
          <w:tcPr>
            <w:tcW w:w="1080" w:type="dxa"/>
            <w:vAlign w:val="bottom"/>
          </w:tcPr>
          <w:p>
            <w:pPr>
              <w:ind w:left="680"/>
              <w:spacing w:after="0"/>
              <w:rPr>
                <w:sz w:val="20"/>
                <w:szCs w:val="20"/>
                <w:color w:val="auto"/>
              </w:rPr>
            </w:pPr>
            <w:r>
              <w:rPr>
                <w:rFonts w:ascii="Arial" w:cs="Arial" w:eastAsia="Arial" w:hAnsi="Arial"/>
                <w:sz w:val="14"/>
                <w:szCs w:val="14"/>
                <w:color w:val="54565B"/>
              </w:rPr>
              <w:t>​ 2.2%</w:t>
            </w:r>
          </w:p>
        </w:tc>
      </w:tr>
      <w:tr>
        <w:trPr>
          <w:trHeight w:val="270"/>
        </w:trPr>
        <w:tc>
          <w:tcPr>
            <w:tcW w:w="120" w:type="dxa"/>
            <w:vAlign w:val="bottom"/>
          </w:tcPr>
          <w:p>
            <w:pPr>
              <w:spacing w:after="0"/>
              <w:rPr>
                <w:sz w:val="20"/>
                <w:szCs w:val="20"/>
                <w:color w:val="auto"/>
              </w:rPr>
            </w:pPr>
            <w:r>
              <w:rPr>
                <w:rFonts w:ascii="Arial" w:cs="Arial" w:eastAsia="Arial" w:hAnsi="Arial"/>
                <w:sz w:val="14"/>
                <w:szCs w:val="14"/>
                <w:color w:val="54565B"/>
              </w:rPr>
              <w:t>​</w:t>
            </w:r>
          </w:p>
        </w:tc>
        <w:tc>
          <w:tcPr>
            <w:tcW w:w="1260" w:type="dxa"/>
            <w:vAlign w:val="bottom"/>
          </w:tcPr>
          <w:p>
            <w:pPr>
              <w:jc w:val="right"/>
              <w:ind w:right="608"/>
              <w:spacing w:after="0"/>
              <w:rPr>
                <w:sz w:val="20"/>
                <w:szCs w:val="20"/>
                <w:color w:val="auto"/>
              </w:rPr>
            </w:pPr>
            <w:r>
              <w:rPr>
                <w:rFonts w:ascii="Arial" w:cs="Arial" w:eastAsia="Arial" w:hAnsi="Arial"/>
                <w:sz w:val="14"/>
                <w:szCs w:val="14"/>
                <w:color w:val="54565B"/>
              </w:rPr>
              <w:t>10,194</w:t>
            </w:r>
          </w:p>
        </w:tc>
        <w:tc>
          <w:tcPr>
            <w:tcW w:w="1080" w:type="dxa"/>
            <w:vAlign w:val="bottom"/>
          </w:tcPr>
          <w:p>
            <w:pPr>
              <w:ind w:left="940"/>
              <w:spacing w:after="0"/>
              <w:rPr>
                <w:sz w:val="20"/>
                <w:szCs w:val="20"/>
                <w:color w:val="auto"/>
              </w:rPr>
            </w:pPr>
            <w:r>
              <w:rPr>
                <w:rFonts w:ascii="Arial" w:cs="Arial" w:eastAsia="Arial" w:hAnsi="Arial"/>
                <w:sz w:val="14"/>
                <w:szCs w:val="14"/>
                <w:color w:val="54565B"/>
              </w:rPr>
              <w:t>*</w:t>
            </w:r>
          </w:p>
        </w:tc>
      </w:tr>
      <w:tr>
        <w:trPr>
          <w:trHeight w:val="257"/>
        </w:trPr>
        <w:tc>
          <w:tcPr>
            <w:tcW w:w="120" w:type="dxa"/>
            <w:vAlign w:val="bottom"/>
          </w:tcPr>
          <w:p>
            <w:pPr>
              <w:spacing w:after="0"/>
              <w:rPr>
                <w:sz w:val="20"/>
                <w:szCs w:val="20"/>
                <w:color w:val="auto"/>
              </w:rPr>
            </w:pPr>
            <w:r>
              <w:rPr>
                <w:rFonts w:ascii="Arial" w:cs="Arial" w:eastAsia="Arial" w:hAnsi="Arial"/>
                <w:sz w:val="14"/>
                <w:szCs w:val="14"/>
                <w:color w:val="54565B"/>
              </w:rPr>
              <w:t>​</w:t>
            </w:r>
          </w:p>
        </w:tc>
        <w:tc>
          <w:tcPr>
            <w:tcW w:w="1260" w:type="dxa"/>
            <w:vAlign w:val="bottom"/>
          </w:tcPr>
          <w:p>
            <w:pPr>
              <w:jc w:val="right"/>
              <w:ind w:right="588"/>
              <w:spacing w:after="0"/>
              <w:rPr>
                <w:sz w:val="20"/>
                <w:szCs w:val="20"/>
                <w:color w:val="auto"/>
              </w:rPr>
            </w:pPr>
            <w:r>
              <w:rPr>
                <w:rFonts w:ascii="Arial" w:cs="Arial" w:eastAsia="Arial" w:hAnsi="Arial"/>
                <w:sz w:val="14"/>
                <w:szCs w:val="14"/>
                <w:color w:val="54565B"/>
              </w:rPr>
              <w:t>2,651</w:t>
            </w:r>
          </w:p>
        </w:tc>
        <w:tc>
          <w:tcPr>
            <w:tcW w:w="1080" w:type="dxa"/>
            <w:vAlign w:val="bottom"/>
          </w:tcPr>
          <w:p>
            <w:pPr>
              <w:ind w:left="940"/>
              <w:spacing w:after="0"/>
              <w:rPr>
                <w:sz w:val="20"/>
                <w:szCs w:val="20"/>
                <w:color w:val="auto"/>
              </w:rPr>
            </w:pPr>
            <w:r>
              <w:rPr>
                <w:rFonts w:ascii="Arial" w:cs="Arial" w:eastAsia="Arial" w:hAnsi="Arial"/>
                <w:sz w:val="14"/>
                <w:szCs w:val="14"/>
                <w:color w:val="54565B"/>
              </w:rPr>
              <w:t>*</w:t>
            </w:r>
          </w:p>
        </w:tc>
      </w:tr>
      <w:tr>
        <w:trPr>
          <w:trHeight w:val="257"/>
        </w:trPr>
        <w:tc>
          <w:tcPr>
            <w:tcW w:w="120" w:type="dxa"/>
            <w:vAlign w:val="bottom"/>
          </w:tcPr>
          <w:p>
            <w:pPr>
              <w:spacing w:after="0"/>
              <w:rPr>
                <w:sz w:val="20"/>
                <w:szCs w:val="20"/>
                <w:color w:val="auto"/>
              </w:rPr>
            </w:pPr>
            <w:r>
              <w:rPr>
                <w:rFonts w:ascii="Arial" w:cs="Arial" w:eastAsia="Arial" w:hAnsi="Arial"/>
                <w:sz w:val="14"/>
                <w:szCs w:val="14"/>
                <w:color w:val="54565B"/>
              </w:rPr>
              <w:t>​</w:t>
            </w:r>
          </w:p>
        </w:tc>
        <w:tc>
          <w:tcPr>
            <w:tcW w:w="1260" w:type="dxa"/>
            <w:vAlign w:val="bottom"/>
          </w:tcPr>
          <w:p>
            <w:pPr>
              <w:jc w:val="right"/>
              <w:ind w:right="588"/>
              <w:spacing w:after="0"/>
              <w:rPr>
                <w:sz w:val="20"/>
                <w:szCs w:val="20"/>
                <w:color w:val="auto"/>
              </w:rPr>
            </w:pPr>
            <w:r>
              <w:rPr>
                <w:rFonts w:ascii="Arial" w:cs="Arial" w:eastAsia="Arial" w:hAnsi="Arial"/>
                <w:sz w:val="14"/>
                <w:szCs w:val="14"/>
                <w:color w:val="54565B"/>
              </w:rPr>
              <w:t>3,662</w:t>
            </w:r>
          </w:p>
        </w:tc>
        <w:tc>
          <w:tcPr>
            <w:tcW w:w="1080" w:type="dxa"/>
            <w:vAlign w:val="bottom"/>
          </w:tcPr>
          <w:p>
            <w:pPr>
              <w:ind w:left="940"/>
              <w:spacing w:after="0"/>
              <w:rPr>
                <w:sz w:val="20"/>
                <w:szCs w:val="20"/>
                <w:color w:val="auto"/>
              </w:rPr>
            </w:pPr>
            <w:r>
              <w:rPr>
                <w:rFonts w:ascii="Arial" w:cs="Arial" w:eastAsia="Arial" w:hAnsi="Arial"/>
                <w:sz w:val="14"/>
                <w:szCs w:val="14"/>
                <w:color w:val="54565B"/>
              </w:rPr>
              <w:t>*</w:t>
            </w:r>
          </w:p>
        </w:tc>
      </w:tr>
      <w:tr>
        <w:trPr>
          <w:trHeight w:val="256"/>
        </w:trPr>
        <w:tc>
          <w:tcPr>
            <w:tcW w:w="120" w:type="dxa"/>
            <w:vAlign w:val="bottom"/>
          </w:tcPr>
          <w:p>
            <w:pPr>
              <w:spacing w:after="0"/>
              <w:rPr>
                <w:sz w:val="20"/>
                <w:szCs w:val="20"/>
                <w:color w:val="auto"/>
              </w:rPr>
            </w:pPr>
            <w:r>
              <w:rPr>
                <w:rFonts w:ascii="Arial" w:cs="Arial" w:eastAsia="Arial" w:hAnsi="Arial"/>
                <w:sz w:val="14"/>
                <w:szCs w:val="14"/>
                <w:color w:val="54565B"/>
              </w:rPr>
              <w:t>​</w:t>
            </w:r>
          </w:p>
        </w:tc>
        <w:tc>
          <w:tcPr>
            <w:tcW w:w="1260" w:type="dxa"/>
            <w:vAlign w:val="bottom"/>
          </w:tcPr>
          <w:p>
            <w:pPr>
              <w:jc w:val="right"/>
              <w:ind w:right="588"/>
              <w:spacing w:after="0"/>
              <w:rPr>
                <w:sz w:val="20"/>
                <w:szCs w:val="20"/>
                <w:color w:val="auto"/>
              </w:rPr>
            </w:pPr>
            <w:r>
              <w:rPr>
                <w:rFonts w:ascii="Arial" w:cs="Arial" w:eastAsia="Arial" w:hAnsi="Arial"/>
                <w:sz w:val="14"/>
                <w:szCs w:val="14"/>
                <w:color w:val="54565B"/>
              </w:rPr>
              <w:t>6,347</w:t>
            </w:r>
          </w:p>
        </w:tc>
        <w:tc>
          <w:tcPr>
            <w:tcW w:w="1080" w:type="dxa"/>
            <w:vAlign w:val="bottom"/>
          </w:tcPr>
          <w:p>
            <w:pPr>
              <w:ind w:left="940"/>
              <w:spacing w:after="0"/>
              <w:rPr>
                <w:sz w:val="20"/>
                <w:szCs w:val="20"/>
                <w:color w:val="auto"/>
              </w:rPr>
            </w:pPr>
            <w:r>
              <w:rPr>
                <w:rFonts w:ascii="Arial" w:cs="Arial" w:eastAsia="Arial" w:hAnsi="Arial"/>
                <w:sz w:val="14"/>
                <w:szCs w:val="14"/>
                <w:color w:val="54565B"/>
              </w:rPr>
              <w:t>*</w:t>
            </w:r>
          </w:p>
        </w:tc>
      </w:tr>
      <w:tr>
        <w:trPr>
          <w:trHeight w:val="257"/>
        </w:trPr>
        <w:tc>
          <w:tcPr>
            <w:tcW w:w="120" w:type="dxa"/>
            <w:vAlign w:val="bottom"/>
          </w:tcPr>
          <w:p>
            <w:pPr>
              <w:spacing w:after="0"/>
              <w:rPr>
                <w:sz w:val="20"/>
                <w:szCs w:val="20"/>
                <w:color w:val="auto"/>
              </w:rPr>
            </w:pPr>
            <w:r>
              <w:rPr>
                <w:rFonts w:ascii="Arial" w:cs="Arial" w:eastAsia="Arial" w:hAnsi="Arial"/>
                <w:sz w:val="14"/>
                <w:szCs w:val="14"/>
                <w:color w:val="54565B"/>
              </w:rPr>
              <w:t>​</w:t>
            </w:r>
          </w:p>
        </w:tc>
        <w:tc>
          <w:tcPr>
            <w:tcW w:w="1260" w:type="dxa"/>
            <w:vAlign w:val="bottom"/>
          </w:tcPr>
          <w:p>
            <w:pPr>
              <w:jc w:val="right"/>
              <w:ind w:right="608"/>
              <w:spacing w:after="0"/>
              <w:rPr>
                <w:sz w:val="20"/>
                <w:szCs w:val="20"/>
                <w:color w:val="auto"/>
              </w:rPr>
            </w:pPr>
            <w:r>
              <w:rPr>
                <w:rFonts w:ascii="Arial" w:cs="Arial" w:eastAsia="Arial" w:hAnsi="Arial"/>
                <w:sz w:val="14"/>
                <w:szCs w:val="14"/>
                <w:color w:val="54565B"/>
              </w:rPr>
              <w:t>13,119</w:t>
            </w:r>
          </w:p>
        </w:tc>
        <w:tc>
          <w:tcPr>
            <w:tcW w:w="1080" w:type="dxa"/>
            <w:vAlign w:val="bottom"/>
          </w:tcPr>
          <w:p>
            <w:pPr>
              <w:ind w:left="940"/>
              <w:spacing w:after="0"/>
              <w:rPr>
                <w:sz w:val="20"/>
                <w:szCs w:val="20"/>
                <w:color w:val="auto"/>
              </w:rPr>
            </w:pPr>
            <w:r>
              <w:rPr>
                <w:rFonts w:ascii="Arial" w:cs="Arial" w:eastAsia="Arial" w:hAnsi="Arial"/>
                <w:sz w:val="14"/>
                <w:szCs w:val="14"/>
                <w:color w:val="54565B"/>
              </w:rPr>
              <w:t>*</w:t>
            </w:r>
          </w:p>
        </w:tc>
      </w:tr>
      <w:tr>
        <w:trPr>
          <w:trHeight w:val="257"/>
        </w:trPr>
        <w:tc>
          <w:tcPr>
            <w:tcW w:w="120" w:type="dxa"/>
            <w:vAlign w:val="bottom"/>
          </w:tcPr>
          <w:p>
            <w:pPr>
              <w:spacing w:after="0"/>
              <w:rPr>
                <w:sz w:val="20"/>
                <w:szCs w:val="20"/>
                <w:color w:val="auto"/>
              </w:rPr>
            </w:pPr>
            <w:r>
              <w:rPr>
                <w:rFonts w:ascii="Arial" w:cs="Arial" w:eastAsia="Arial" w:hAnsi="Arial"/>
                <w:sz w:val="14"/>
                <w:szCs w:val="14"/>
                <w:color w:val="54565B"/>
              </w:rPr>
              <w:t>​</w:t>
            </w:r>
          </w:p>
        </w:tc>
        <w:tc>
          <w:tcPr>
            <w:tcW w:w="1260" w:type="dxa"/>
            <w:vAlign w:val="bottom"/>
          </w:tcPr>
          <w:p>
            <w:pPr>
              <w:jc w:val="right"/>
              <w:ind w:right="608"/>
              <w:spacing w:after="0"/>
              <w:rPr>
                <w:sz w:val="20"/>
                <w:szCs w:val="20"/>
                <w:color w:val="auto"/>
              </w:rPr>
            </w:pPr>
            <w:r>
              <w:rPr>
                <w:rFonts w:ascii="Arial" w:cs="Arial" w:eastAsia="Arial" w:hAnsi="Arial"/>
                <w:sz w:val="14"/>
                <w:szCs w:val="14"/>
                <w:color w:val="54565B"/>
              </w:rPr>
              <w:t>12,463</w:t>
            </w:r>
          </w:p>
        </w:tc>
        <w:tc>
          <w:tcPr>
            <w:tcW w:w="1080" w:type="dxa"/>
            <w:vAlign w:val="bottom"/>
          </w:tcPr>
          <w:p>
            <w:pPr>
              <w:ind w:left="940"/>
              <w:spacing w:after="0"/>
              <w:rPr>
                <w:sz w:val="20"/>
                <w:szCs w:val="20"/>
                <w:color w:val="auto"/>
              </w:rPr>
            </w:pPr>
            <w:r>
              <w:rPr>
                <w:rFonts w:ascii="Arial" w:cs="Arial" w:eastAsia="Arial" w:hAnsi="Arial"/>
                <w:sz w:val="14"/>
                <w:szCs w:val="14"/>
                <w:color w:val="54565B"/>
              </w:rPr>
              <w:t>*</w:t>
            </w:r>
          </w:p>
        </w:tc>
      </w:tr>
      <w:tr>
        <w:trPr>
          <w:trHeight w:val="257"/>
        </w:trPr>
        <w:tc>
          <w:tcPr>
            <w:tcW w:w="120" w:type="dxa"/>
            <w:vAlign w:val="bottom"/>
          </w:tcPr>
          <w:p>
            <w:pPr>
              <w:spacing w:after="0"/>
              <w:rPr>
                <w:sz w:val="20"/>
                <w:szCs w:val="20"/>
                <w:color w:val="auto"/>
              </w:rPr>
            </w:pPr>
            <w:r>
              <w:rPr>
                <w:rFonts w:ascii="Arial" w:cs="Arial" w:eastAsia="Arial" w:hAnsi="Arial"/>
                <w:sz w:val="14"/>
                <w:szCs w:val="14"/>
                <w:color w:val="54565B"/>
              </w:rPr>
              <w:t>​</w:t>
            </w:r>
          </w:p>
        </w:tc>
        <w:tc>
          <w:tcPr>
            <w:tcW w:w="1260" w:type="dxa"/>
            <w:vAlign w:val="bottom"/>
          </w:tcPr>
          <w:p>
            <w:pPr>
              <w:jc w:val="right"/>
              <w:ind w:right="608"/>
              <w:spacing w:after="0"/>
              <w:rPr>
                <w:sz w:val="20"/>
                <w:szCs w:val="20"/>
                <w:color w:val="auto"/>
              </w:rPr>
            </w:pPr>
            <w:r>
              <w:rPr>
                <w:rFonts w:ascii="Arial" w:cs="Arial" w:eastAsia="Arial" w:hAnsi="Arial"/>
                <w:sz w:val="14"/>
                <w:szCs w:val="14"/>
                <w:color w:val="54565B"/>
              </w:rPr>
              <w:t>18,033</w:t>
            </w:r>
          </w:p>
        </w:tc>
        <w:tc>
          <w:tcPr>
            <w:tcW w:w="1080" w:type="dxa"/>
            <w:vAlign w:val="bottom"/>
          </w:tcPr>
          <w:p>
            <w:pPr>
              <w:ind w:left="940"/>
              <w:spacing w:after="0"/>
              <w:rPr>
                <w:sz w:val="20"/>
                <w:szCs w:val="20"/>
                <w:color w:val="auto"/>
              </w:rPr>
            </w:pPr>
            <w:r>
              <w:rPr>
                <w:rFonts w:ascii="Arial" w:cs="Arial" w:eastAsia="Arial" w:hAnsi="Arial"/>
                <w:sz w:val="14"/>
                <w:szCs w:val="14"/>
                <w:color w:val="54565B"/>
              </w:rPr>
              <w:t>*</w:t>
            </w:r>
          </w:p>
        </w:tc>
      </w:tr>
      <w:tr>
        <w:trPr>
          <w:trHeight w:val="270"/>
        </w:trPr>
        <w:tc>
          <w:tcPr>
            <w:tcW w:w="1380" w:type="dxa"/>
            <w:vAlign w:val="bottom"/>
            <w:gridSpan w:val="2"/>
          </w:tcPr>
          <w:p>
            <w:pPr>
              <w:spacing w:after="0"/>
              <w:rPr>
                <w:sz w:val="20"/>
                <w:szCs w:val="20"/>
                <w:color w:val="auto"/>
              </w:rPr>
            </w:pPr>
            <w:r>
              <w:rPr>
                <w:rFonts w:ascii="Arial" w:cs="Arial" w:eastAsia="Arial" w:hAnsi="Arial"/>
                <w:sz w:val="14"/>
                <w:szCs w:val="14"/>
                <w:color w:val="54565B"/>
              </w:rPr>
              <w:t>​ 1,557,736</w:t>
            </w:r>
          </w:p>
        </w:tc>
        <w:tc>
          <w:tcPr>
            <w:tcW w:w="1080" w:type="dxa"/>
            <w:vAlign w:val="bottom"/>
          </w:tcPr>
          <w:p>
            <w:pPr>
              <w:ind w:left="680"/>
              <w:spacing w:after="0"/>
              <w:rPr>
                <w:sz w:val="20"/>
                <w:szCs w:val="20"/>
                <w:color w:val="auto"/>
              </w:rPr>
            </w:pPr>
            <w:r>
              <w:rPr>
                <w:rFonts w:ascii="Arial" w:cs="Arial" w:eastAsia="Arial" w:hAnsi="Arial"/>
                <w:sz w:val="14"/>
                <w:szCs w:val="14"/>
                <w:color w:val="54565B"/>
              </w:rPr>
              <w:t>​ 1.9%</w:t>
            </w:r>
          </w:p>
        </w:tc>
      </w:tr>
      <w:tr>
        <w:trPr>
          <w:trHeight w:val="284"/>
        </w:trPr>
        <w:tc>
          <w:tcPr>
            <w:tcW w:w="120" w:type="dxa"/>
            <w:vAlign w:val="bottom"/>
          </w:tcPr>
          <w:p>
            <w:pPr>
              <w:spacing w:after="0"/>
              <w:rPr>
                <w:sz w:val="20"/>
                <w:szCs w:val="20"/>
                <w:color w:val="auto"/>
              </w:rPr>
            </w:pPr>
            <w:r>
              <w:rPr>
                <w:rFonts w:ascii="Arial" w:cs="Arial" w:eastAsia="Arial" w:hAnsi="Arial"/>
                <w:sz w:val="14"/>
                <w:szCs w:val="14"/>
                <w:color w:val="54565B"/>
              </w:rPr>
              <w:t>​</w:t>
            </w:r>
          </w:p>
        </w:tc>
        <w:tc>
          <w:tcPr>
            <w:tcW w:w="1260" w:type="dxa"/>
            <w:vAlign w:val="bottom"/>
          </w:tcPr>
          <w:p>
            <w:pPr>
              <w:jc w:val="right"/>
              <w:ind w:right="608"/>
              <w:spacing w:after="0"/>
              <w:rPr>
                <w:sz w:val="20"/>
                <w:szCs w:val="20"/>
                <w:color w:val="auto"/>
              </w:rPr>
            </w:pPr>
            <w:r>
              <w:rPr>
                <w:rFonts w:ascii="Arial" w:cs="Arial" w:eastAsia="Arial" w:hAnsi="Arial"/>
                <w:sz w:val="14"/>
                <w:szCs w:val="14"/>
                <w:color w:val="54565B"/>
              </w:rPr>
              <w:t>21,188</w:t>
            </w:r>
          </w:p>
        </w:tc>
        <w:tc>
          <w:tcPr>
            <w:tcW w:w="1080" w:type="dxa"/>
            <w:vAlign w:val="bottom"/>
          </w:tcPr>
          <w:p>
            <w:pPr>
              <w:ind w:left="940"/>
              <w:spacing w:after="0"/>
              <w:rPr>
                <w:sz w:val="20"/>
                <w:szCs w:val="20"/>
                <w:color w:val="auto"/>
              </w:rPr>
            </w:pPr>
            <w:r>
              <w:rPr>
                <w:rFonts w:ascii="Arial" w:cs="Arial" w:eastAsia="Arial" w:hAnsi="Arial"/>
                <w:sz w:val="14"/>
                <w:szCs w:val="14"/>
                <w:color w:val="54565B"/>
              </w:rPr>
              <w:t>*</w:t>
            </w:r>
          </w:p>
        </w:tc>
      </w:tr>
      <w:tr>
        <w:trPr>
          <w:trHeight w:val="283"/>
        </w:trPr>
        <w:tc>
          <w:tcPr>
            <w:tcW w:w="1380" w:type="dxa"/>
            <w:vAlign w:val="bottom"/>
            <w:gridSpan w:val="2"/>
          </w:tcPr>
          <w:p>
            <w:pPr>
              <w:spacing w:after="0"/>
              <w:rPr>
                <w:sz w:val="20"/>
                <w:szCs w:val="20"/>
                <w:color w:val="auto"/>
              </w:rPr>
            </w:pPr>
            <w:r>
              <w:rPr>
                <w:rFonts w:ascii="Arial" w:cs="Arial" w:eastAsia="Arial" w:hAnsi="Arial"/>
                <w:sz w:val="14"/>
                <w:szCs w:val="14"/>
                <w:color w:val="54565B"/>
              </w:rPr>
              <w:t>14,050,220​</w:t>
            </w:r>
          </w:p>
        </w:tc>
        <w:tc>
          <w:tcPr>
            <w:tcW w:w="1080" w:type="dxa"/>
            <w:vAlign w:val="bottom"/>
          </w:tcPr>
          <w:p>
            <w:pPr>
              <w:ind w:left="680"/>
              <w:spacing w:after="0"/>
              <w:rPr>
                <w:sz w:val="20"/>
                <w:szCs w:val="20"/>
                <w:color w:val="auto"/>
              </w:rPr>
            </w:pPr>
            <w:r>
              <w:rPr>
                <w:rFonts w:ascii="Arial" w:cs="Arial" w:eastAsia="Arial" w:hAnsi="Arial"/>
                <w:sz w:val="14"/>
                <w:szCs w:val="14"/>
                <w:color w:val="54565B"/>
                <w:w w:val="95"/>
              </w:rPr>
              <w:t>16​.9%</w:t>
            </w:r>
          </w:p>
        </w:tc>
      </w:tr>
    </w:tbl>
    <w:p>
      <w:pPr>
        <w:spacing w:after="0" w:line="305" w:lineRule="exact"/>
        <w:rPr>
          <w:sz w:val="20"/>
          <w:szCs w:val="20"/>
          <w:color w:val="auto"/>
        </w:rPr>
      </w:pPr>
    </w:p>
    <w:p>
      <w:pPr>
        <w:sectPr>
          <w:pgSz w:w="11900" w:h="16838" w:orient="portrait"/>
          <w:cols w:equalWidth="0" w:num="2">
            <w:col w:w="5460" w:space="720"/>
            <w:col w:w="3220"/>
          </w:cols>
          <w:pgMar w:left="1240" w:top="114" w:right="1259" w:bottom="1440"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4020" w:type="dxa"/>
            <w:vAlign w:val="bottom"/>
            <w:shd w:val="clear" w:color="auto" w:fill="EAF7FA"/>
          </w:tcPr>
          <w:p>
            <w:pPr>
              <w:ind w:left="240"/>
              <w:spacing w:after="0"/>
              <w:rPr>
                <w:sz w:val="20"/>
                <w:szCs w:val="20"/>
                <w:color w:val="auto"/>
              </w:rPr>
            </w:pPr>
            <w:r>
              <w:rPr>
                <w:rFonts w:ascii="Arial" w:cs="Arial" w:eastAsia="Arial" w:hAnsi="Arial"/>
                <w:sz w:val="14"/>
                <w:szCs w:val="14"/>
                <w:color w:val="54565B"/>
              </w:rPr>
              <w:t>The Vanguard Group</w:t>
            </w:r>
            <w:r>
              <w:rPr>
                <w:rFonts w:ascii="Arial" w:cs="Arial" w:eastAsia="Arial" w:hAnsi="Arial"/>
                <w:sz w:val="23"/>
                <w:szCs w:val="23"/>
                <w:color w:val="54565B"/>
                <w:vertAlign w:val="superscript"/>
              </w:rPr>
              <w:t>(10)</w:t>
            </w:r>
          </w:p>
        </w:tc>
        <w:tc>
          <w:tcPr>
            <w:tcW w:w="3580" w:type="dxa"/>
            <w:vAlign w:val="bottom"/>
            <w:shd w:val="clear" w:color="auto" w:fill="EAF7FA"/>
          </w:tcPr>
          <w:p>
            <w:pPr>
              <w:jc w:val="right"/>
              <w:ind w:right="648"/>
              <w:spacing w:after="0"/>
              <w:rPr>
                <w:sz w:val="20"/>
                <w:szCs w:val="20"/>
                <w:color w:val="auto"/>
              </w:rPr>
            </w:pPr>
            <w:r>
              <w:rPr>
                <w:rFonts w:ascii="Arial" w:cs="Arial" w:eastAsia="Arial" w:hAnsi="Arial"/>
                <w:sz w:val="14"/>
                <w:szCs w:val="14"/>
                <w:color w:val="54565B"/>
              </w:rPr>
              <w:t>8,187,402</w:t>
            </w:r>
          </w:p>
        </w:tc>
        <w:tc>
          <w:tcPr>
            <w:tcW w:w="1800" w:type="dxa"/>
            <w:vAlign w:val="bottom"/>
            <w:shd w:val="clear" w:color="auto" w:fill="EAF7FA"/>
          </w:tcPr>
          <w:p>
            <w:pPr>
              <w:jc w:val="right"/>
              <w:ind w:right="688"/>
              <w:spacing w:after="0"/>
              <w:rPr>
                <w:sz w:val="20"/>
                <w:szCs w:val="20"/>
                <w:color w:val="auto"/>
              </w:rPr>
            </w:pPr>
            <w:r>
              <w:rPr>
                <w:rFonts w:ascii="Arial" w:cs="Arial" w:eastAsia="Arial" w:hAnsi="Arial"/>
                <w:sz w:val="14"/>
                <w:szCs w:val="14"/>
                <w:color w:val="54565B"/>
              </w:rPr>
              <w:t>8.7%</w:t>
            </w:r>
          </w:p>
        </w:tc>
      </w:tr>
      <w:tr>
        <w:trPr>
          <w:trHeight w:val="283"/>
        </w:trPr>
        <w:tc>
          <w:tcPr>
            <w:tcW w:w="4020" w:type="dxa"/>
            <w:vAlign w:val="bottom"/>
          </w:tcPr>
          <w:p>
            <w:pPr>
              <w:ind w:left="240"/>
              <w:spacing w:after="0"/>
              <w:rPr>
                <w:sz w:val="20"/>
                <w:szCs w:val="20"/>
                <w:color w:val="auto"/>
              </w:rPr>
            </w:pPr>
            <w:r>
              <w:rPr>
                <w:rFonts w:ascii="Arial" w:cs="Arial" w:eastAsia="Arial" w:hAnsi="Arial"/>
                <w:sz w:val="14"/>
                <w:szCs w:val="14"/>
                <w:color w:val="54565B"/>
              </w:rPr>
              <w:t>BlackRock, Inc.</w:t>
            </w:r>
            <w:r>
              <w:rPr>
                <w:rFonts w:ascii="Arial" w:cs="Arial" w:eastAsia="Arial" w:hAnsi="Arial"/>
                <w:sz w:val="23"/>
                <w:szCs w:val="23"/>
                <w:color w:val="54565B"/>
                <w:vertAlign w:val="superscript"/>
              </w:rPr>
              <w:t>(11)</w:t>
            </w:r>
          </w:p>
        </w:tc>
        <w:tc>
          <w:tcPr>
            <w:tcW w:w="3580" w:type="dxa"/>
            <w:vAlign w:val="bottom"/>
          </w:tcPr>
          <w:p>
            <w:pPr>
              <w:jc w:val="right"/>
              <w:ind w:right="648"/>
              <w:spacing w:after="0"/>
              <w:rPr>
                <w:sz w:val="20"/>
                <w:szCs w:val="20"/>
                <w:color w:val="auto"/>
              </w:rPr>
            </w:pPr>
            <w:r>
              <w:rPr>
                <w:rFonts w:ascii="Arial" w:cs="Arial" w:eastAsia="Arial" w:hAnsi="Arial"/>
                <w:sz w:val="14"/>
                <w:szCs w:val="14"/>
                <w:color w:val="54565B"/>
              </w:rPr>
              <w:t>7,995,504</w:t>
            </w:r>
          </w:p>
        </w:tc>
        <w:tc>
          <w:tcPr>
            <w:tcW w:w="1800" w:type="dxa"/>
            <w:vAlign w:val="bottom"/>
          </w:tcPr>
          <w:p>
            <w:pPr>
              <w:jc w:val="right"/>
              <w:ind w:right="688"/>
              <w:spacing w:after="0"/>
              <w:rPr>
                <w:sz w:val="20"/>
                <w:szCs w:val="20"/>
                <w:color w:val="auto"/>
              </w:rPr>
            </w:pPr>
            <w:r>
              <w:rPr>
                <w:rFonts w:ascii="Arial" w:cs="Arial" w:eastAsia="Arial" w:hAnsi="Arial"/>
                <w:sz w:val="14"/>
                <w:szCs w:val="14"/>
                <w:color w:val="54565B"/>
              </w:rPr>
              <w:t>8.5%</w:t>
            </w:r>
          </w:p>
        </w:tc>
      </w:tr>
      <w:tr>
        <w:trPr>
          <w:trHeight w:val="263"/>
        </w:trPr>
        <w:tc>
          <w:tcPr>
            <w:tcW w:w="4020" w:type="dxa"/>
            <w:vAlign w:val="bottom"/>
            <w:tcBorders>
              <w:bottom w:val="single" w:sz="8" w:color="EAF7FA"/>
            </w:tcBorders>
            <w:shd w:val="clear" w:color="auto" w:fill="EAF7FA"/>
          </w:tcPr>
          <w:p>
            <w:pPr>
              <w:ind w:left="240"/>
              <w:spacing w:after="0" w:line="230" w:lineRule="exact"/>
              <w:rPr>
                <w:sz w:val="20"/>
                <w:szCs w:val="20"/>
                <w:color w:val="auto"/>
              </w:rPr>
            </w:pPr>
            <w:r>
              <w:rPr>
                <w:rFonts w:ascii="Arial" w:cs="Arial" w:eastAsia="Arial" w:hAnsi="Arial"/>
                <w:sz w:val="14"/>
                <w:szCs w:val="14"/>
                <w:color w:val="54565B"/>
              </w:rPr>
              <w:t>FMR, LLC</w:t>
            </w:r>
            <w:r>
              <w:rPr>
                <w:rFonts w:ascii="Arial" w:cs="Arial" w:eastAsia="Arial" w:hAnsi="Arial"/>
                <w:sz w:val="23"/>
                <w:szCs w:val="23"/>
                <w:color w:val="54565B"/>
                <w:vertAlign w:val="superscript"/>
              </w:rPr>
              <w:t>(12)</w:t>
            </w:r>
          </w:p>
        </w:tc>
        <w:tc>
          <w:tcPr>
            <w:tcW w:w="3580" w:type="dxa"/>
            <w:vAlign w:val="bottom"/>
            <w:tcBorders>
              <w:bottom w:val="single" w:sz="8" w:color="EAF7FA"/>
            </w:tcBorders>
            <w:shd w:val="clear" w:color="auto" w:fill="EAF7FA"/>
          </w:tcPr>
          <w:p>
            <w:pPr>
              <w:jc w:val="right"/>
              <w:ind w:right="648"/>
              <w:spacing w:after="0"/>
              <w:rPr>
                <w:sz w:val="20"/>
                <w:szCs w:val="20"/>
                <w:color w:val="auto"/>
              </w:rPr>
            </w:pPr>
            <w:r>
              <w:rPr>
                <w:rFonts w:ascii="Arial" w:cs="Arial" w:eastAsia="Arial" w:hAnsi="Arial"/>
                <w:sz w:val="14"/>
                <w:szCs w:val="14"/>
                <w:color w:val="54565B"/>
              </w:rPr>
              <w:t>5,121,287</w:t>
            </w:r>
          </w:p>
        </w:tc>
        <w:tc>
          <w:tcPr>
            <w:tcW w:w="1800" w:type="dxa"/>
            <w:vAlign w:val="bottom"/>
            <w:tcBorders>
              <w:bottom w:val="single" w:sz="8" w:color="EAF7FA"/>
            </w:tcBorders>
            <w:shd w:val="clear" w:color="auto" w:fill="EAF7FA"/>
          </w:tcPr>
          <w:p>
            <w:pPr>
              <w:jc w:val="right"/>
              <w:ind w:right="688"/>
              <w:spacing w:after="0"/>
              <w:rPr>
                <w:sz w:val="20"/>
                <w:szCs w:val="20"/>
                <w:color w:val="auto"/>
              </w:rPr>
            </w:pPr>
            <w:r>
              <w:rPr>
                <w:rFonts w:ascii="Arial" w:cs="Arial" w:eastAsia="Arial" w:hAnsi="Arial"/>
                <w:sz w:val="14"/>
                <w:szCs w:val="14"/>
                <w:color w:val="54565B"/>
              </w:rPr>
              <w:t>7.9%</w:t>
            </w:r>
          </w:p>
        </w:tc>
      </w:tr>
      <w:tr>
        <w:trPr>
          <w:trHeight w:val="20"/>
        </w:trPr>
        <w:tc>
          <w:tcPr>
            <w:tcW w:w="4020" w:type="dxa"/>
            <w:vAlign w:val="bottom"/>
            <w:shd w:val="clear" w:color="auto" w:fill="0B3C61"/>
          </w:tcPr>
          <w:p>
            <w:pPr>
              <w:spacing w:after="0" w:line="20" w:lineRule="exact"/>
              <w:rPr>
                <w:sz w:val="1"/>
                <w:szCs w:val="1"/>
                <w:color w:val="auto"/>
              </w:rPr>
            </w:pPr>
          </w:p>
        </w:tc>
        <w:tc>
          <w:tcPr>
            <w:tcW w:w="3580" w:type="dxa"/>
            <w:vAlign w:val="bottom"/>
            <w:shd w:val="clear" w:color="auto" w:fill="0B3C61"/>
          </w:tcPr>
          <w:p>
            <w:pPr>
              <w:spacing w:after="0" w:line="20" w:lineRule="exact"/>
              <w:rPr>
                <w:sz w:val="1"/>
                <w:szCs w:val="1"/>
                <w:color w:val="auto"/>
              </w:rPr>
            </w:pPr>
          </w:p>
        </w:tc>
        <w:tc>
          <w:tcPr>
            <w:tcW w:w="1800" w:type="dxa"/>
            <w:vAlign w:val="bottom"/>
            <w:shd w:val="clear" w:color="auto" w:fill="0B3C61"/>
          </w:tcPr>
          <w:p>
            <w:pPr>
              <w:spacing w:after="0" w:line="20" w:lineRule="exact"/>
              <w:rPr>
                <w:sz w:val="1"/>
                <w:szCs w:val="1"/>
                <w:color w:val="auto"/>
              </w:rPr>
            </w:pPr>
          </w:p>
        </w:tc>
      </w:tr>
    </w:tbl>
    <w:p>
      <w:pPr>
        <w:spacing w:after="0" w:line="144" w:lineRule="exact"/>
        <w:rPr>
          <w:sz w:val="20"/>
          <w:szCs w:val="20"/>
          <w:color w:val="auto"/>
        </w:rPr>
      </w:pPr>
    </w:p>
    <w:p>
      <w:pPr>
        <w:ind w:left="160"/>
        <w:spacing w:after="0"/>
        <w:rPr>
          <w:sz w:val="20"/>
          <w:szCs w:val="20"/>
          <w:color w:val="auto"/>
        </w:rPr>
      </w:pPr>
      <w:r>
        <w:rPr>
          <w:rFonts w:ascii="Arial" w:cs="Arial" w:eastAsia="Arial" w:hAnsi="Arial"/>
          <w:sz w:val="13"/>
          <w:szCs w:val="13"/>
          <w:color w:val="54565B"/>
        </w:rPr>
        <w:t>(* means less than 1%)</w:t>
      </w:r>
    </w:p>
    <w:p>
      <w:pPr>
        <w:spacing w:after="0" w:line="40" w:lineRule="exact"/>
        <w:rPr>
          <w:sz w:val="20"/>
          <w:szCs w:val="20"/>
          <w:color w:val="auto"/>
        </w:rPr>
      </w:pPr>
    </w:p>
    <w:p>
      <w:pPr>
        <w:jc w:val="both"/>
        <w:ind w:left="440" w:hanging="272"/>
        <w:spacing w:after="0" w:line="259" w:lineRule="auto"/>
        <w:tabs>
          <w:tab w:leader="none" w:pos="440" w:val="left"/>
        </w:tabs>
        <w:numPr>
          <w:ilvl w:val="0"/>
          <w:numId w:val="7"/>
        </w:numPr>
        <w:rPr>
          <w:rFonts w:ascii="Arial" w:cs="Arial" w:eastAsia="Arial" w:hAnsi="Arial"/>
          <w:sz w:val="12"/>
          <w:szCs w:val="12"/>
          <w:color w:val="54565B"/>
        </w:rPr>
      </w:pPr>
      <w:r>
        <w:rPr>
          <w:rFonts w:ascii="Arial" w:cs="Arial" w:eastAsia="Arial" w:hAnsi="Arial"/>
          <w:sz w:val="12"/>
          <w:szCs w:val="12"/>
          <w:color w:val="54565B"/>
        </w:rPr>
        <w:t>Includes the following number of shares held in the Company’s 401(k) Retirement and Savings Plan (RASP) (provided as of March 13, 2026): S. Craig Lindner – 120,495; John B. Berding – 53,112; Brian S. Hertzman – 4,034; and Craig Lindner Jr. – 4,433. For Mr. Berding and Mr. Hertzman, shares owned excludes shares held in the RASP, for which each serves on the Administrative Plan Committee, other than those shares allocated to his personal RASP account.</w:t>
      </w:r>
    </w:p>
    <w:p>
      <w:pPr>
        <w:spacing w:after="0" w:line="12" w:lineRule="exact"/>
        <w:rPr>
          <w:rFonts w:ascii="Arial" w:cs="Arial" w:eastAsia="Arial" w:hAnsi="Arial"/>
          <w:sz w:val="12"/>
          <w:szCs w:val="12"/>
          <w:color w:val="54565B"/>
        </w:rPr>
      </w:pPr>
    </w:p>
    <w:p>
      <w:pPr>
        <w:ind w:left="440" w:right="80" w:hanging="272"/>
        <w:spacing w:after="0" w:line="226" w:lineRule="auto"/>
        <w:tabs>
          <w:tab w:leader="none" w:pos="440" w:val="left"/>
        </w:tabs>
        <w:numPr>
          <w:ilvl w:val="0"/>
          <w:numId w:val="7"/>
        </w:numPr>
        <w:rPr>
          <w:rFonts w:ascii="Arial" w:cs="Arial" w:eastAsia="Arial" w:hAnsi="Arial"/>
          <w:sz w:val="13"/>
          <w:szCs w:val="13"/>
          <w:color w:val="54565B"/>
        </w:rPr>
      </w:pPr>
      <w:r>
        <w:rPr>
          <w:rFonts w:ascii="Arial" w:cs="Arial" w:eastAsia="Arial" w:hAnsi="Arial"/>
          <w:sz w:val="13"/>
          <w:szCs w:val="13"/>
          <w:color w:val="54565B"/>
        </w:rPr>
        <w:t>Includes 3,643,670 shares held in trusts over which he holds voting and dispositive power; 343,162 shares held by a trust over which his spouse has voting and dispositive power; 838,480 shares held in a limited liability company over which shares he holds dispositive power; 509,622 shares held by a charitable foundation over which he shares voting and dispositive power with his brother, S. Craig Lindner and his mother; 63,834 shares held in trusts for family members over which he holds voting and dispositive power; and 263,378 shares held in two charitable foundations over which he and/or his spouse have or share voting and dispositive power. Mr. Lindner’s address is 301 East Fourth Street, Cincinnati, Ohio, 45202.</w:t>
      </w:r>
    </w:p>
    <w:p>
      <w:pPr>
        <w:spacing w:after="0" w:line="25" w:lineRule="exact"/>
        <w:rPr>
          <w:rFonts w:ascii="Arial" w:cs="Arial" w:eastAsia="Arial" w:hAnsi="Arial"/>
          <w:sz w:val="13"/>
          <w:szCs w:val="13"/>
          <w:color w:val="54565B"/>
        </w:rPr>
      </w:pPr>
    </w:p>
    <w:p>
      <w:pPr>
        <w:ind w:left="440" w:right="40" w:hanging="272"/>
        <w:spacing w:after="0" w:line="226" w:lineRule="auto"/>
        <w:tabs>
          <w:tab w:leader="none" w:pos="440" w:val="left"/>
        </w:tabs>
        <w:numPr>
          <w:ilvl w:val="0"/>
          <w:numId w:val="7"/>
        </w:numPr>
        <w:rPr>
          <w:rFonts w:ascii="Arial" w:cs="Arial" w:eastAsia="Arial" w:hAnsi="Arial"/>
          <w:sz w:val="13"/>
          <w:szCs w:val="13"/>
          <w:color w:val="54565B"/>
        </w:rPr>
      </w:pPr>
      <w:r>
        <w:rPr>
          <w:rFonts w:ascii="Arial" w:cs="Arial" w:eastAsia="Arial" w:hAnsi="Arial"/>
          <w:sz w:val="13"/>
          <w:szCs w:val="13"/>
          <w:color w:val="54565B"/>
        </w:rPr>
        <w:t>Includes 4,015,209 shares held in trusts over which he has voting and dispositive power; 134,044 shares held in a trust over which he has dispositive power; 116,578 shares held by a trust over which his spouse has voting and dispositive power; 509,622 shares held by a charitable foundation over which he shares voting and dispositive power with his brother, Carl H. Lindner III and his mother; 6,000 shares held in trusts for family members over which he holds voting and dispositive power; and 239,278 shares held by a charitable foundation over which he shares voting and dispositive power with his spouse. Mr. Lindner’s address is 301 East Fourth Street, Cincinnati, Ohio, 45202.</w:t>
      </w:r>
    </w:p>
    <w:p>
      <w:pPr>
        <w:spacing w:after="0" w:line="25" w:lineRule="exact"/>
        <w:rPr>
          <w:rFonts w:ascii="Arial" w:cs="Arial" w:eastAsia="Arial" w:hAnsi="Arial"/>
          <w:sz w:val="13"/>
          <w:szCs w:val="13"/>
          <w:color w:val="54565B"/>
        </w:rPr>
      </w:pPr>
    </w:p>
    <w:p>
      <w:pPr>
        <w:ind w:left="440" w:hanging="272"/>
        <w:spacing w:after="0"/>
        <w:tabs>
          <w:tab w:leader="none" w:pos="440" w:val="left"/>
        </w:tabs>
        <w:numPr>
          <w:ilvl w:val="0"/>
          <w:numId w:val="7"/>
        </w:numPr>
        <w:rPr>
          <w:rFonts w:ascii="Arial" w:cs="Arial" w:eastAsia="Arial" w:hAnsi="Arial"/>
          <w:sz w:val="13"/>
          <w:szCs w:val="13"/>
          <w:color w:val="54565B"/>
        </w:rPr>
      </w:pPr>
      <w:r>
        <w:rPr>
          <w:rFonts w:ascii="Arial" w:cs="Arial" w:eastAsia="Arial" w:hAnsi="Arial"/>
          <w:sz w:val="13"/>
          <w:szCs w:val="13"/>
          <w:color w:val="54565B"/>
        </w:rPr>
        <w:t>Includes 1,899 shares held by family trusts.</w:t>
      </w:r>
    </w:p>
    <w:p>
      <w:pPr>
        <w:spacing w:after="0" w:line="39" w:lineRule="exact"/>
        <w:rPr>
          <w:rFonts w:ascii="Arial" w:cs="Arial" w:eastAsia="Arial" w:hAnsi="Arial"/>
          <w:sz w:val="13"/>
          <w:szCs w:val="13"/>
          <w:color w:val="54565B"/>
        </w:rPr>
      </w:pPr>
    </w:p>
    <w:p>
      <w:pPr>
        <w:ind w:left="440" w:right="20" w:hanging="272"/>
        <w:spacing w:after="0" w:line="229" w:lineRule="auto"/>
        <w:tabs>
          <w:tab w:leader="none" w:pos="440" w:val="left"/>
        </w:tabs>
        <w:numPr>
          <w:ilvl w:val="0"/>
          <w:numId w:val="7"/>
        </w:numPr>
        <w:rPr>
          <w:rFonts w:ascii="Arial" w:cs="Arial" w:eastAsia="Arial" w:hAnsi="Arial"/>
          <w:sz w:val="13"/>
          <w:szCs w:val="13"/>
          <w:color w:val="54565B"/>
        </w:rPr>
      </w:pPr>
      <w:r>
        <w:rPr>
          <w:rFonts w:ascii="Arial" w:cs="Arial" w:eastAsia="Arial" w:hAnsi="Arial"/>
          <w:sz w:val="13"/>
          <w:szCs w:val="13"/>
          <w:color w:val="54565B"/>
        </w:rPr>
        <w:t>Includes 68,009 shares held by companies in which he is a minority shareholder and for which he serves as an executive officer or director, 3,000 shares held by a family partnership in which he holds a 25% interest and 6,618 shares held as trustee in trusts for the benefit of family members and 334 shares held by spouse. Does not include 83,684 shares held by Mr. Joseph’s father for which Mr. Joseph holds a power of attorney; Mr. Joseph disclaims beneficial ownership of such shares.</w:t>
      </w:r>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22 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COMPANY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440" w:right="140" w:hanging="272"/>
        <w:spacing w:after="0" w:line="233" w:lineRule="auto"/>
        <w:tabs>
          <w:tab w:leader="none" w:pos="440" w:val="left"/>
        </w:tabs>
        <w:numPr>
          <w:ilvl w:val="0"/>
          <w:numId w:val="8"/>
        </w:numPr>
        <w:rPr>
          <w:rFonts w:ascii="Arial" w:cs="Arial" w:eastAsia="Arial" w:hAnsi="Arial"/>
          <w:sz w:val="13"/>
          <w:szCs w:val="13"/>
          <w:color w:val="54565B"/>
        </w:rPr>
      </w:pPr>
      <w:r>
        <w:rPr>
          <w:rFonts w:ascii="Arial" w:cs="Arial" w:eastAsia="Arial" w:hAnsi="Arial"/>
          <w:sz w:val="13"/>
          <w:szCs w:val="13"/>
          <w:color w:val="54565B"/>
        </w:rPr>
        <w:t>Includes 329,163 shares held in trusts over which he holds voting and dispositive power; 10,327 shares held by his spouse; 27,442 shares as custodian for his minor children; 552,104 shares held in trusts for family members over which he holds dispositive power; 134,044 shares held in trusts for family members over which he holds voting power; and 795,578 shares held in trusts for family members over which he holds voting and dispositive power.</w:t>
      </w:r>
    </w:p>
    <w:p>
      <w:pPr>
        <w:spacing w:after="0" w:line="23" w:lineRule="exact"/>
        <w:rPr>
          <w:rFonts w:ascii="Arial" w:cs="Arial" w:eastAsia="Arial" w:hAnsi="Arial"/>
          <w:sz w:val="13"/>
          <w:szCs w:val="13"/>
          <w:color w:val="54565B"/>
        </w:rPr>
      </w:pPr>
    </w:p>
    <w:p>
      <w:pPr>
        <w:ind w:left="440" w:right="200" w:hanging="272"/>
        <w:spacing w:after="0" w:line="243" w:lineRule="auto"/>
        <w:tabs>
          <w:tab w:leader="none" w:pos="440" w:val="left"/>
        </w:tabs>
        <w:numPr>
          <w:ilvl w:val="0"/>
          <w:numId w:val="8"/>
        </w:numPr>
        <w:rPr>
          <w:rFonts w:ascii="Arial" w:cs="Arial" w:eastAsia="Arial" w:hAnsi="Arial"/>
          <w:sz w:val="13"/>
          <w:szCs w:val="13"/>
          <w:color w:val="54565B"/>
        </w:rPr>
      </w:pPr>
      <w:r>
        <w:rPr>
          <w:rFonts w:ascii="Arial" w:cs="Arial" w:eastAsia="Arial" w:hAnsi="Arial"/>
          <w:sz w:val="13"/>
          <w:szCs w:val="13"/>
          <w:color w:val="54565B"/>
        </w:rPr>
        <w:t>Includes 1,454,947 shares held in trusts for family members where he or his spouse has voting and dispositive power, 72,797 shares held in a charitable trust where his wife shares voting and dispositive power and 29,992 shares held by his spouse as custodian for his minor children.</w:t>
      </w:r>
    </w:p>
    <w:p>
      <w:pPr>
        <w:spacing w:after="0" w:line="21" w:lineRule="exact"/>
        <w:rPr>
          <w:rFonts w:ascii="Arial" w:cs="Arial" w:eastAsia="Arial" w:hAnsi="Arial"/>
          <w:sz w:val="13"/>
          <w:szCs w:val="13"/>
          <w:color w:val="54565B"/>
        </w:rPr>
      </w:pPr>
    </w:p>
    <w:p>
      <w:pPr>
        <w:ind w:left="440" w:hanging="272"/>
        <w:spacing w:after="0"/>
        <w:tabs>
          <w:tab w:leader="none" w:pos="440" w:val="left"/>
        </w:tabs>
        <w:numPr>
          <w:ilvl w:val="0"/>
          <w:numId w:val="8"/>
        </w:numPr>
        <w:rPr>
          <w:rFonts w:ascii="Arial" w:cs="Arial" w:eastAsia="Arial" w:hAnsi="Arial"/>
          <w:sz w:val="13"/>
          <w:szCs w:val="13"/>
          <w:color w:val="54565B"/>
        </w:rPr>
      </w:pPr>
      <w:r>
        <w:rPr>
          <w:rFonts w:ascii="Arial" w:cs="Arial" w:eastAsia="Arial" w:hAnsi="Arial"/>
          <w:sz w:val="13"/>
          <w:szCs w:val="13"/>
          <w:color w:val="54565B"/>
        </w:rPr>
        <w:t>Includes 9,461 shares held in trust.</w:t>
      </w:r>
    </w:p>
    <w:p>
      <w:pPr>
        <w:spacing w:after="0" w:line="39" w:lineRule="exact"/>
        <w:rPr>
          <w:rFonts w:ascii="Arial" w:cs="Arial" w:eastAsia="Arial" w:hAnsi="Arial"/>
          <w:sz w:val="13"/>
          <w:szCs w:val="13"/>
          <w:color w:val="54565B"/>
        </w:rPr>
      </w:pPr>
    </w:p>
    <w:p>
      <w:pPr>
        <w:ind w:left="440" w:right="280" w:hanging="272"/>
        <w:spacing w:after="0" w:line="243" w:lineRule="auto"/>
        <w:tabs>
          <w:tab w:leader="none" w:pos="440" w:val="left"/>
        </w:tabs>
        <w:numPr>
          <w:ilvl w:val="0"/>
          <w:numId w:val="8"/>
        </w:numPr>
        <w:rPr>
          <w:rFonts w:ascii="Arial" w:cs="Arial" w:eastAsia="Arial" w:hAnsi="Arial"/>
          <w:sz w:val="13"/>
          <w:szCs w:val="13"/>
          <w:color w:val="54565B"/>
        </w:rPr>
      </w:pPr>
      <w:r>
        <w:rPr>
          <w:rFonts w:ascii="Arial" w:cs="Arial" w:eastAsia="Arial" w:hAnsi="Arial"/>
          <w:sz w:val="13"/>
          <w:szCs w:val="13"/>
          <w:color w:val="54565B"/>
        </w:rPr>
        <w:t>Shares held by all directors, nominees and executive officers as a group is calculated by counting shares over which Carl H. Lindner III and S. Craig Lindner share voting and dispositive power only once.</w:t>
      </w:r>
    </w:p>
    <w:p>
      <w:pPr>
        <w:spacing w:after="0" w:line="21" w:lineRule="exact"/>
        <w:rPr>
          <w:rFonts w:ascii="Arial" w:cs="Arial" w:eastAsia="Arial" w:hAnsi="Arial"/>
          <w:sz w:val="13"/>
          <w:szCs w:val="13"/>
          <w:color w:val="54565B"/>
        </w:rPr>
      </w:pPr>
    </w:p>
    <w:p>
      <w:pPr>
        <w:ind w:left="440" w:right="60" w:hanging="272"/>
        <w:spacing w:after="0" w:line="229" w:lineRule="auto"/>
        <w:tabs>
          <w:tab w:leader="none" w:pos="440" w:val="left"/>
        </w:tabs>
        <w:numPr>
          <w:ilvl w:val="0"/>
          <w:numId w:val="8"/>
        </w:numPr>
        <w:rPr>
          <w:rFonts w:ascii="Arial" w:cs="Arial" w:eastAsia="Arial" w:hAnsi="Arial"/>
          <w:sz w:val="13"/>
          <w:szCs w:val="13"/>
          <w:color w:val="54565B"/>
        </w:rPr>
      </w:pPr>
      <w:r>
        <w:rPr>
          <w:rFonts w:ascii="Arial" w:cs="Arial" w:eastAsia="Arial" w:hAnsi="Arial"/>
          <w:sz w:val="13"/>
          <w:szCs w:val="13"/>
          <w:color w:val="54565B"/>
        </w:rPr>
        <w:t>Based solely on information contained in the prior Schedule 13G amendment filed with the SEC by The Vanguard Group, on January 30, 2026, reporting shared voting power of 514,751 shares and shared dispositive power of 7,297,408 shares. The address for The Vanguard Group is 100 Vanguard Blvd., Malvern, Pennsylvania, 19355. The Vanguard Group subsequently reported that due to an internal realignment it no longer has, or is deemed to have, beneficial ownership over Company shares beneficially owned by various Vanguard subsidiaries and/or business divisions.</w:t>
      </w:r>
    </w:p>
    <w:p>
      <w:pPr>
        <w:spacing w:after="0" w:line="23" w:lineRule="exact"/>
        <w:rPr>
          <w:rFonts w:ascii="Arial" w:cs="Arial" w:eastAsia="Arial" w:hAnsi="Arial"/>
          <w:sz w:val="13"/>
          <w:szCs w:val="13"/>
          <w:color w:val="54565B"/>
        </w:rPr>
      </w:pPr>
    </w:p>
    <w:p>
      <w:pPr>
        <w:ind w:left="440" w:right="120" w:hanging="272"/>
        <w:spacing w:after="0" w:line="281" w:lineRule="auto"/>
        <w:tabs>
          <w:tab w:leader="none" w:pos="440" w:val="left"/>
        </w:tabs>
        <w:numPr>
          <w:ilvl w:val="0"/>
          <w:numId w:val="8"/>
        </w:numPr>
        <w:rPr>
          <w:rFonts w:ascii="Arial" w:cs="Arial" w:eastAsia="Arial" w:hAnsi="Arial"/>
          <w:sz w:val="12"/>
          <w:szCs w:val="12"/>
          <w:color w:val="54565B"/>
        </w:rPr>
      </w:pPr>
      <w:r>
        <w:rPr>
          <w:rFonts w:ascii="Arial" w:cs="Arial" w:eastAsia="Arial" w:hAnsi="Arial"/>
          <w:sz w:val="12"/>
          <w:szCs w:val="12"/>
          <w:color w:val="54565B"/>
        </w:rPr>
        <w:t>Based solely on information contained in the most recent Schedule 13G amendment filed with the SEC by BlackRock, Inc., on October 17, 2025, reporting sole voting power of 6,548,769 shares and sole dispositive power of 7,071,034 shares. The address for BlackRock, Inc. is 50 Hudson Yards, New York, NY, 10001.</w:t>
      </w:r>
    </w:p>
    <w:p>
      <w:pPr>
        <w:ind w:left="440" w:right="400" w:hanging="272"/>
        <w:spacing w:after="0" w:line="226" w:lineRule="auto"/>
        <w:tabs>
          <w:tab w:leader="none" w:pos="440" w:val="left"/>
        </w:tabs>
        <w:numPr>
          <w:ilvl w:val="0"/>
          <w:numId w:val="8"/>
        </w:numPr>
        <w:rPr>
          <w:rFonts w:ascii="Arial" w:cs="Arial" w:eastAsia="Arial" w:hAnsi="Arial"/>
          <w:sz w:val="13"/>
          <w:szCs w:val="13"/>
          <w:color w:val="54565B"/>
        </w:rPr>
      </w:pPr>
      <w:r>
        <w:rPr>
          <w:rFonts w:ascii="Arial" w:cs="Arial" w:eastAsia="Arial" w:hAnsi="Arial"/>
          <w:sz w:val="13"/>
          <w:szCs w:val="13"/>
          <w:color w:val="54565B"/>
        </w:rPr>
        <w:t>Based solely on information contained in the most recent Schedule 13G filed with the SEC by FMR LLC, on August 6, 2025. FMR, LLC is a parent holding company of certain entities as described in such Schedule 13G and has sole voting power of 6,445,076 shares and sole dispositive power of</w:t>
      </w:r>
    </w:p>
    <w:p>
      <w:pPr>
        <w:ind w:left="440" w:right="280"/>
        <w:spacing w:after="0" w:line="231" w:lineRule="auto"/>
        <w:rPr>
          <w:rFonts w:ascii="Arial" w:cs="Arial" w:eastAsia="Arial" w:hAnsi="Arial"/>
          <w:sz w:val="13"/>
          <w:szCs w:val="13"/>
          <w:color w:val="54565B"/>
        </w:rPr>
      </w:pPr>
      <w:r>
        <w:rPr>
          <w:rFonts w:ascii="Arial" w:cs="Arial" w:eastAsia="Arial" w:hAnsi="Arial"/>
          <w:sz w:val="13"/>
          <w:szCs w:val="13"/>
          <w:color w:val="54565B"/>
        </w:rPr>
        <w:t>6,586,231.31 shares. Abigail P. Johnson, who, together with other members of the Johnson family own shares representing 49% of the voting power of FMR LLC, has sole dispositive power over 6,586,231.31 common shares. The address for FMR LLC is 245 Summer Street, Boston, MA.</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3"/>
          <w:szCs w:val="13"/>
          <w:color w:val="0B3C61"/>
        </w:rPr>
        <w:t xml:space="preserve">2026 Proxy Statement | American Financial Group   </w:t>
      </w:r>
      <w:r>
        <w:rPr>
          <w:rFonts w:ascii="Arial" w:cs="Arial" w:eastAsia="Arial" w:hAnsi="Arial"/>
          <w:sz w:val="13"/>
          <w:szCs w:val="13"/>
          <w:b w:val="1"/>
          <w:bCs w:val="1"/>
          <w:color w:val="EA1D2D"/>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222885</wp:posOffset>
            </wp:positionV>
            <wp:extent cx="59664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50"/>
          <w:szCs w:val="50"/>
          <w:color w:val="0B3C61"/>
        </w:rPr>
        <w:t>Corporate Governance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0B3C61"/>
        </w:rPr>
        <w:t>LEADERSHIP STRUCTURE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Management</w:t>
      </w:r>
    </w:p>
    <w:p>
      <w:pPr>
        <w:spacing w:after="0" w:line="99"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54565B"/>
        </w:rPr>
        <w:t>The Company has two principal executive officers, Carl H. Lindner III and S. Craig Lindner. Each has been designated as a Co-Chief Executive Officer and each also serves on the Board of Directors.</w:t>
      </w:r>
    </w:p>
    <w:p>
      <w:pPr>
        <w:spacing w:after="0" w:line="2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54565B"/>
        </w:rPr>
        <w:t>The Board recognizes that having two principal executive officers is not customary for public companies, including the Company’s peers, but the Board has determined for the reasons set forth below that the executive leadership structure is both appropriate for the Company and optimal for achieving corporate objectives. Notably, the Company does not have numerous additional senior officer designations prevalent at other public companies with senior management responsibilities concentrated among fewer executives.</w:t>
      </w:r>
    </w:p>
    <w:p>
      <w:pPr>
        <w:spacing w:after="0" w:line="5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54565B"/>
        </w:rPr>
        <w:t>Carl H. Lindner III serves as CEO of AFG’s Great American Insurance Group and is primarily responsible for AFG’s property and casualty insurance operations. S. Craig Lindner is primarily responsible for AFG’s investment portfolio and heavily involved in the Company’s capital management and strategic planning. While each Co-CEO functions within a clearly defined role with respect to the day-to-day operations of the Company, both Co-CEOs work together closely and are significantly involved in all aspects of Company management. The Co-CEOs work collaboratively in determining overall corporate strategy and planning, as well as in assessing and managing enterprise risks. Because of their close working relationship, either Co-CEO could assume the additional responsibilities of the other in the event such a need arose.</w:t>
      </w:r>
    </w:p>
    <w:p>
      <w:pPr>
        <w:spacing w:after="0" w:line="6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54565B"/>
        </w:rPr>
        <w:t>The Co-CEOs are the largest non-institutional shareholders of the Company, and each has served as Co-CEO and/or Co-President since AFG was formed through the merger of predecessor companies in 1994. As of March 13, 2026, the Co-CEOs and other members of the Lindner family own, directly or through trusts and other entities, approximately 20% of AFG’s outstanding common shares. As a result of their long history, the Co-CEOs have unique perspectives and a broad and deep understanding of the Company, its culture, operations and key drivers of success, and are aligned with their fellow shareholders in being principally focused on creating sustainable long-term value. Their respective strengths and areas of focus complement one another, and the Board believes that this results in the best leadership structure for the Company.</w:t>
      </w:r>
    </w:p>
    <w:p>
      <w:pPr>
        <w:spacing w:after="0" w:line="46" w:lineRule="exact"/>
        <w:rPr>
          <w:sz w:val="20"/>
          <w:szCs w:val="20"/>
          <w:color w:val="auto"/>
        </w:rPr>
      </w:pPr>
    </w:p>
    <w:p>
      <w:pPr>
        <w:ind w:right="560"/>
        <w:spacing w:after="0" w:line="266" w:lineRule="auto"/>
        <w:rPr>
          <w:sz w:val="20"/>
          <w:szCs w:val="20"/>
          <w:color w:val="auto"/>
        </w:rPr>
      </w:pPr>
      <w:r>
        <w:rPr>
          <w:rFonts w:ascii="Arial" w:cs="Arial" w:eastAsia="Arial" w:hAnsi="Arial"/>
          <w:sz w:val="16"/>
          <w:szCs w:val="16"/>
          <w:color w:val="54565B"/>
        </w:rPr>
        <w:t>The Board of Directors also believes that the Company’s leadership structure aids in succession planning and provides the Company with significant executive depth and leadership experience. The Board continues to believe that the Company’s leadership structure is currently the most appropriate for the Company.</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Board of Directors</w:t>
      </w:r>
    </w:p>
    <w:p>
      <w:pPr>
        <w:spacing w:after="0" w:line="99" w:lineRule="exact"/>
        <w:rPr>
          <w:sz w:val="20"/>
          <w:szCs w:val="20"/>
          <w:color w:val="auto"/>
        </w:rPr>
      </w:pPr>
    </w:p>
    <w:p>
      <w:pPr>
        <w:spacing w:after="0" w:line="254" w:lineRule="auto"/>
        <w:rPr>
          <w:sz w:val="20"/>
          <w:szCs w:val="20"/>
          <w:color w:val="auto"/>
        </w:rPr>
      </w:pPr>
      <w:r>
        <w:rPr>
          <w:rFonts w:ascii="Arial" w:cs="Arial" w:eastAsia="Arial" w:hAnsi="Arial"/>
          <w:sz w:val="16"/>
          <w:szCs w:val="16"/>
          <w:color w:val="54565B"/>
        </w:rPr>
        <w:t>The Board does not currently have a Chairperson. Additionally, the Board does not have a formal policy as to whether the same person may serve as both the principal executive officer of the Company and Chairperson. At the present time, the Board does not believe that such a policy is necessary because the current Board membership, together with the Company’s management, possesses the requisite leadership and industry skills, expertise and experience to oversee the business and affairs of the Company effectively. The Board believes that this flexibility is in the best interest of the Company and that a one-size-fits-all approach to corporate governance, with a mandated independent Chairperson, would not result in better governance or oversight.</w:t>
      </w:r>
    </w:p>
    <w:p>
      <w:pPr>
        <w:spacing w:after="0" w:line="47"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54565B"/>
        </w:rPr>
        <w:t>The Company’s Corporate Governance Guidelines provide for the selection of a Lead Director from the independent directors at times when the Company has no Chairperson or no independent Chairperson. The Lead Independent Director is appointed annually and is generally expected to serve for more than one year. The Lead Independent Director has the authority to call meetings of the non-employee directors and to preside over such meetings. When the Chairperson, or in the absence of a Chairperson, the Co-CEOs, are absent, the Lead Independent Director presides over meetings of the Board.</w:t>
      </w: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24 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40"/>
          </w:cols>
          <w:pgMar w:left="1240" w:top="114" w:right="1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32"/>
          <w:szCs w:val="32"/>
          <w:color w:val="0B3C61"/>
        </w:rPr>
        <w:t>The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1920240" cy="17227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20240" cy="172275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660"/>
        <w:spacing w:after="0"/>
        <w:rPr>
          <w:sz w:val="20"/>
          <w:szCs w:val="20"/>
          <w:color w:val="auto"/>
        </w:rPr>
      </w:pPr>
      <w:r>
        <w:rPr>
          <w:rFonts w:ascii="Arial" w:cs="Arial" w:eastAsia="Arial" w:hAnsi="Arial"/>
          <w:sz w:val="16"/>
          <w:szCs w:val="16"/>
          <w:color w:val="0B3C61"/>
        </w:rPr>
        <w:t>Gregory G. Joseph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spacing w:after="0"/>
        <w:rPr>
          <w:sz w:val="20"/>
          <w:szCs w:val="20"/>
          <w:color w:val="auto"/>
        </w:rPr>
      </w:pPr>
      <w:r>
        <w:rPr>
          <w:rFonts w:ascii="Arial" w:cs="Arial" w:eastAsia="Arial" w:hAnsi="Arial"/>
          <w:sz w:val="16"/>
          <w:szCs w:val="16"/>
          <w:color w:val="0B3C61"/>
        </w:rPr>
        <w:t xml:space="preserve">  </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54565B"/>
        </w:rPr>
        <w:t>Among other delineated responsibilities:</w:t>
      </w:r>
    </w:p>
    <w:p>
      <w:pPr>
        <w:spacing w:after="0" w:line="21" w:lineRule="exact"/>
        <w:rPr>
          <w:sz w:val="20"/>
          <w:szCs w:val="20"/>
          <w:color w:val="auto"/>
        </w:rPr>
      </w:pPr>
    </w:p>
    <w:p>
      <w:pPr>
        <w:ind w:left="180" w:hanging="174"/>
        <w:spacing w:after="0" w:line="246" w:lineRule="auto"/>
        <w:tabs>
          <w:tab w:leader="none" w:pos="180" w:val="left"/>
        </w:tabs>
        <w:numPr>
          <w:ilvl w:val="0"/>
          <w:numId w:val="9"/>
        </w:numPr>
        <w:rPr>
          <w:rFonts w:ascii="Arial" w:cs="Arial" w:eastAsia="Arial" w:hAnsi="Arial"/>
          <w:sz w:val="16"/>
          <w:szCs w:val="16"/>
          <w:color w:val="54565B"/>
        </w:rPr>
      </w:pPr>
      <w:r>
        <w:rPr>
          <w:rFonts w:ascii="Arial" w:cs="Arial" w:eastAsia="Arial" w:hAnsi="Arial"/>
          <w:sz w:val="16"/>
          <w:szCs w:val="16"/>
          <w:color w:val="54565B"/>
        </w:rPr>
        <w:t>Serves as a liaison between the non-employee directors and the Co-CEOs, encouraging direct communication between them, including providing feedback and counsel regarding interactions with the Board.</w:t>
      </w:r>
    </w:p>
    <w:p>
      <w:pPr>
        <w:spacing w:after="0" w:line="1" w:lineRule="exact"/>
        <w:rPr>
          <w:rFonts w:ascii="Arial" w:cs="Arial" w:eastAsia="Arial" w:hAnsi="Arial"/>
          <w:sz w:val="16"/>
          <w:szCs w:val="16"/>
          <w:color w:val="54565B"/>
        </w:rPr>
      </w:pPr>
    </w:p>
    <w:p>
      <w:pPr>
        <w:ind w:left="180" w:hanging="174"/>
        <w:spacing w:after="0"/>
        <w:tabs>
          <w:tab w:leader="none" w:pos="180" w:val="left"/>
        </w:tabs>
        <w:numPr>
          <w:ilvl w:val="0"/>
          <w:numId w:val="9"/>
        </w:numPr>
        <w:rPr>
          <w:rFonts w:ascii="Arial" w:cs="Arial" w:eastAsia="Arial" w:hAnsi="Arial"/>
          <w:sz w:val="16"/>
          <w:szCs w:val="16"/>
          <w:color w:val="54565B"/>
        </w:rPr>
      </w:pPr>
      <w:r>
        <w:rPr>
          <w:rFonts w:ascii="Arial" w:cs="Arial" w:eastAsia="Arial" w:hAnsi="Arial"/>
          <w:sz w:val="16"/>
          <w:szCs w:val="16"/>
          <w:color w:val="54565B"/>
        </w:rPr>
        <w:t>Consults on Board meeting agendas and other information sent to the Board.</w:t>
      </w:r>
    </w:p>
    <w:p>
      <w:pPr>
        <w:spacing w:after="0" w:line="5" w:lineRule="exact"/>
        <w:rPr>
          <w:rFonts w:ascii="Arial" w:cs="Arial" w:eastAsia="Arial" w:hAnsi="Arial"/>
          <w:sz w:val="16"/>
          <w:szCs w:val="16"/>
          <w:color w:val="54565B"/>
        </w:rPr>
      </w:pPr>
    </w:p>
    <w:p>
      <w:pPr>
        <w:ind w:left="180" w:right="600" w:hanging="174"/>
        <w:spacing w:after="0" w:line="246" w:lineRule="auto"/>
        <w:tabs>
          <w:tab w:leader="none" w:pos="180" w:val="left"/>
        </w:tabs>
        <w:numPr>
          <w:ilvl w:val="0"/>
          <w:numId w:val="9"/>
        </w:numPr>
        <w:rPr>
          <w:rFonts w:ascii="Arial" w:cs="Arial" w:eastAsia="Arial" w:hAnsi="Arial"/>
          <w:sz w:val="16"/>
          <w:szCs w:val="16"/>
          <w:color w:val="54565B"/>
        </w:rPr>
      </w:pPr>
      <w:r>
        <w:rPr>
          <w:rFonts w:ascii="Arial" w:cs="Arial" w:eastAsia="Arial" w:hAnsi="Arial"/>
          <w:sz w:val="16"/>
          <w:szCs w:val="16"/>
          <w:color w:val="54565B"/>
        </w:rPr>
        <w:t>Reviews the quality, quantity, appropriateness and timeliness of information provided to the Board.</w:t>
      </w:r>
    </w:p>
    <w:p>
      <w:pPr>
        <w:ind w:left="180" w:right="240" w:hanging="174"/>
        <w:spacing w:after="0" w:line="246" w:lineRule="auto"/>
        <w:tabs>
          <w:tab w:leader="none" w:pos="180" w:val="left"/>
        </w:tabs>
        <w:numPr>
          <w:ilvl w:val="0"/>
          <w:numId w:val="9"/>
        </w:numPr>
        <w:rPr>
          <w:rFonts w:ascii="Arial" w:cs="Arial" w:eastAsia="Arial" w:hAnsi="Arial"/>
          <w:sz w:val="16"/>
          <w:szCs w:val="16"/>
          <w:color w:val="54565B"/>
        </w:rPr>
      </w:pPr>
      <w:r>
        <w:rPr>
          <w:rFonts w:ascii="Arial" w:cs="Arial" w:eastAsia="Arial" w:hAnsi="Arial"/>
          <w:sz w:val="16"/>
          <w:szCs w:val="16"/>
          <w:color w:val="54565B"/>
        </w:rPr>
        <w:t>Consults on and approves Board meeting schedules to ensure there is sufficient time for discussion of all agenda items.</w:t>
      </w:r>
    </w:p>
    <w:p>
      <w:pPr>
        <w:ind w:left="180" w:right="160" w:hanging="174"/>
        <w:spacing w:after="0" w:line="246" w:lineRule="auto"/>
        <w:tabs>
          <w:tab w:leader="none" w:pos="180" w:val="left"/>
        </w:tabs>
        <w:numPr>
          <w:ilvl w:val="0"/>
          <w:numId w:val="9"/>
        </w:numPr>
        <w:rPr>
          <w:rFonts w:ascii="Arial" w:cs="Arial" w:eastAsia="Arial" w:hAnsi="Arial"/>
          <w:sz w:val="16"/>
          <w:szCs w:val="16"/>
          <w:color w:val="54565B"/>
        </w:rPr>
      </w:pPr>
      <w:r>
        <w:rPr>
          <w:rFonts w:ascii="Arial" w:cs="Arial" w:eastAsia="Arial" w:hAnsi="Arial"/>
          <w:sz w:val="16"/>
          <w:szCs w:val="16"/>
          <w:color w:val="54565B"/>
        </w:rPr>
        <w:t>Facilitates discussion and open dialogue among the independent directors during Board meetings, executive sessions and outside of Board meetings.</w:t>
      </w:r>
    </w:p>
    <w:p>
      <w:pPr>
        <w:ind w:left="180" w:right="80" w:hanging="174"/>
        <w:spacing w:after="0" w:line="246" w:lineRule="auto"/>
        <w:tabs>
          <w:tab w:leader="none" w:pos="180" w:val="left"/>
        </w:tabs>
        <w:numPr>
          <w:ilvl w:val="0"/>
          <w:numId w:val="9"/>
        </w:numPr>
        <w:rPr>
          <w:rFonts w:ascii="Arial" w:cs="Arial" w:eastAsia="Arial" w:hAnsi="Arial"/>
          <w:sz w:val="16"/>
          <w:szCs w:val="16"/>
          <w:color w:val="54565B"/>
        </w:rPr>
      </w:pPr>
      <w:r>
        <w:rPr>
          <w:rFonts w:ascii="Arial" w:cs="Arial" w:eastAsia="Arial" w:hAnsi="Arial"/>
          <w:sz w:val="16"/>
          <w:szCs w:val="16"/>
          <w:color w:val="54565B"/>
        </w:rPr>
        <w:t>Maintains availability, when appropriate, for consultation and direct communication with shareholders.</w:t>
      </w:r>
    </w:p>
    <w:p>
      <w:pPr>
        <w:ind w:left="180" w:right="60" w:hanging="174"/>
        <w:spacing w:after="0" w:line="256" w:lineRule="auto"/>
        <w:tabs>
          <w:tab w:leader="none" w:pos="180" w:val="left"/>
        </w:tabs>
        <w:numPr>
          <w:ilvl w:val="0"/>
          <w:numId w:val="9"/>
        </w:numPr>
        <w:rPr>
          <w:rFonts w:ascii="Arial" w:cs="Arial" w:eastAsia="Arial" w:hAnsi="Arial"/>
          <w:sz w:val="16"/>
          <w:szCs w:val="16"/>
          <w:color w:val="54565B"/>
        </w:rPr>
      </w:pPr>
      <w:r>
        <w:rPr>
          <w:rFonts w:ascii="Arial" w:cs="Arial" w:eastAsia="Arial" w:hAnsi="Arial"/>
          <w:sz w:val="16"/>
          <w:szCs w:val="16"/>
          <w:color w:val="54565B"/>
        </w:rPr>
        <w:t>Communicates with the Co-CEOs and, as appropriate, regarding significant matters including decisions reached, suggestions, views or concerns expressed by non-employee directors in executive sessions or outside of Board meetings.</w:t>
      </w:r>
    </w:p>
    <w:p>
      <w:pPr>
        <w:spacing w:after="0" w:line="125" w:lineRule="exact"/>
        <w:rPr>
          <w:sz w:val="20"/>
          <w:szCs w:val="20"/>
          <w:color w:val="auto"/>
        </w:rPr>
      </w:pPr>
    </w:p>
    <w:p>
      <w:pPr>
        <w:sectPr>
          <w:pgSz w:w="11900" w:h="16838" w:orient="portrait"/>
          <w:cols w:equalWidth="0" w:num="2">
            <w:col w:w="2520" w:space="720"/>
            <w:col w:w="6160"/>
          </w:cols>
          <w:pgMar w:left="1240" w:top="114" w:right="1259" w:bottom="1440" w:gutter="0" w:footer="0" w:header="0"/>
          <w:type w:val="continuous"/>
        </w:sectPr>
      </w:pPr>
    </w:p>
    <w:p>
      <w:pPr>
        <w:spacing w:after="0"/>
        <w:rPr>
          <w:sz w:val="20"/>
          <w:szCs w:val="20"/>
          <w:color w:val="auto"/>
        </w:rPr>
      </w:pPr>
      <w:r>
        <w:rPr>
          <w:rFonts w:ascii="Arial" w:cs="Arial" w:eastAsia="Arial" w:hAnsi="Arial"/>
          <w:sz w:val="22"/>
          <w:szCs w:val="22"/>
          <w:color w:val="0B3C61"/>
        </w:rPr>
        <w:t>BOARD OF DIRECTORS AND COMMITTEES</w:t>
      </w:r>
    </w:p>
    <w:p>
      <w:pPr>
        <w:spacing w:after="0" w:line="97"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54565B"/>
        </w:rPr>
        <w:t>There are 12 members on the Board of Directors. The Board met eight times during 2025. Each incumbent director attended at least 75% of total Board and committee meetings to which he or she was appointed and served during 2025. The members of the Board are expected to be present at the annual meeting. All of the Directors attended last year’s annual meeting, which permitted their ability to respond to shareholder questions.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54565B"/>
        </w:rPr>
        <w:t>The committees of the Board consist of the Audit Committee, Compensation Committee and Corporate Governance Committee.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54565B"/>
        </w:rPr>
        <w:t>Each committee is governed by a charter that defines its role and responsibilities and are available on the Company’s website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54565B"/>
        </w:rPr>
        <w:t>at www.AFGinc.com under “Leadership and Governance – Board Committees.” A printed copy of these charters may be obtained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54565B"/>
        </w:rPr>
        <w:t>by shareholders upon written request addressed to the Company’s Secretary, at the address set forth under “Board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54565B"/>
        </w:rPr>
        <w:t>Communications” in the Proxy Statement Summary.</w:t>
      </w:r>
    </w:p>
    <w:p>
      <w:pPr>
        <w:spacing w:after="0" w:line="70"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54565B"/>
        </w:rPr>
        <w:t>The below table identifies membership and the Chairperson of each of the current committees of the Board, as well as the number of times each committee met during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580" w:type="dxa"/>
            <w:vAlign w:val="bottom"/>
            <w:shd w:val="clear" w:color="auto" w:fill="0B3C61"/>
          </w:tcPr>
          <w:p>
            <w:pPr>
              <w:spacing w:after="0"/>
              <w:rPr>
                <w:sz w:val="21"/>
                <w:szCs w:val="21"/>
                <w:color w:val="auto"/>
              </w:rPr>
            </w:pPr>
          </w:p>
        </w:tc>
        <w:tc>
          <w:tcPr>
            <w:tcW w:w="2200" w:type="dxa"/>
            <w:vAlign w:val="bottom"/>
            <w:shd w:val="clear" w:color="auto" w:fill="0B3C61"/>
          </w:tcPr>
          <w:p>
            <w:pPr>
              <w:jc w:val="center"/>
              <w:ind w:left="488"/>
              <w:spacing w:after="0"/>
              <w:rPr>
                <w:sz w:val="20"/>
                <w:szCs w:val="20"/>
                <w:color w:val="auto"/>
              </w:rPr>
            </w:pPr>
            <w:r>
              <w:rPr>
                <w:rFonts w:ascii="Arial" w:cs="Arial" w:eastAsia="Arial" w:hAnsi="Arial"/>
                <w:sz w:val="14"/>
                <w:szCs w:val="14"/>
                <w:color w:val="FFFFFF"/>
              </w:rPr>
              <w:t>Lead</w:t>
            </w:r>
          </w:p>
        </w:tc>
        <w:tc>
          <w:tcPr>
            <w:tcW w:w="1480" w:type="dxa"/>
            <w:vAlign w:val="bottom"/>
            <w:shd w:val="clear" w:color="auto" w:fill="0B3C61"/>
          </w:tcPr>
          <w:p>
            <w:pPr>
              <w:spacing w:after="0"/>
              <w:rPr>
                <w:sz w:val="21"/>
                <w:szCs w:val="21"/>
                <w:color w:val="auto"/>
              </w:rPr>
            </w:pPr>
          </w:p>
        </w:tc>
        <w:tc>
          <w:tcPr>
            <w:tcW w:w="1740" w:type="dxa"/>
            <w:vAlign w:val="bottom"/>
            <w:shd w:val="clear" w:color="auto" w:fill="0B3C61"/>
          </w:tcPr>
          <w:p>
            <w:pPr>
              <w:spacing w:after="0"/>
              <w:rPr>
                <w:sz w:val="21"/>
                <w:szCs w:val="21"/>
                <w:color w:val="auto"/>
              </w:rPr>
            </w:pPr>
          </w:p>
        </w:tc>
        <w:tc>
          <w:tcPr>
            <w:tcW w:w="1400" w:type="dxa"/>
            <w:vAlign w:val="bottom"/>
            <w:shd w:val="clear" w:color="auto" w:fill="0B3C61"/>
          </w:tcPr>
          <w:p>
            <w:pPr>
              <w:jc w:val="center"/>
              <w:ind w:left="128"/>
              <w:spacing w:after="0"/>
              <w:rPr>
                <w:sz w:val="20"/>
                <w:szCs w:val="20"/>
                <w:color w:val="auto"/>
              </w:rPr>
            </w:pPr>
            <w:r>
              <w:rPr>
                <w:rFonts w:ascii="Arial" w:cs="Arial" w:eastAsia="Arial" w:hAnsi="Arial"/>
                <w:sz w:val="14"/>
                <w:szCs w:val="14"/>
                <w:color w:val="FFFFFF"/>
              </w:rPr>
              <w:t>Corporate</w:t>
            </w:r>
          </w:p>
        </w:tc>
      </w:tr>
      <w:tr>
        <w:trPr>
          <w:trHeight w:val="162"/>
        </w:trPr>
        <w:tc>
          <w:tcPr>
            <w:tcW w:w="2580" w:type="dxa"/>
            <w:vAlign w:val="bottom"/>
            <w:shd w:val="clear" w:color="auto" w:fill="0B3C61"/>
          </w:tcPr>
          <w:p>
            <w:pPr>
              <w:spacing w:after="0"/>
              <w:rPr>
                <w:sz w:val="14"/>
                <w:szCs w:val="14"/>
                <w:color w:val="auto"/>
              </w:rPr>
            </w:pPr>
          </w:p>
        </w:tc>
        <w:tc>
          <w:tcPr>
            <w:tcW w:w="2200" w:type="dxa"/>
            <w:vAlign w:val="bottom"/>
            <w:shd w:val="clear" w:color="auto" w:fill="0B3C61"/>
          </w:tcPr>
          <w:p>
            <w:pPr>
              <w:jc w:val="center"/>
              <w:ind w:left="528"/>
              <w:spacing w:after="0"/>
              <w:rPr>
                <w:sz w:val="20"/>
                <w:szCs w:val="20"/>
                <w:color w:val="auto"/>
              </w:rPr>
            </w:pPr>
            <w:r>
              <w:rPr>
                <w:rFonts w:ascii="Arial" w:cs="Arial" w:eastAsia="Arial" w:hAnsi="Arial"/>
                <w:sz w:val="14"/>
                <w:szCs w:val="14"/>
                <w:color w:val="FFFFFF"/>
              </w:rPr>
              <w:t>Independent</w:t>
            </w:r>
          </w:p>
        </w:tc>
        <w:tc>
          <w:tcPr>
            <w:tcW w:w="148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Audit</w:t>
            </w:r>
          </w:p>
        </w:tc>
        <w:tc>
          <w:tcPr>
            <w:tcW w:w="174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Compensation</w:t>
            </w:r>
          </w:p>
        </w:tc>
        <w:tc>
          <w:tcPr>
            <w:tcW w:w="1400" w:type="dxa"/>
            <w:vAlign w:val="bottom"/>
            <w:shd w:val="clear" w:color="auto" w:fill="0B3C61"/>
          </w:tcPr>
          <w:p>
            <w:pPr>
              <w:jc w:val="center"/>
              <w:ind w:left="108"/>
              <w:spacing w:after="0"/>
              <w:rPr>
                <w:sz w:val="20"/>
                <w:szCs w:val="20"/>
                <w:color w:val="auto"/>
              </w:rPr>
            </w:pPr>
            <w:r>
              <w:rPr>
                <w:rFonts w:ascii="Arial" w:cs="Arial" w:eastAsia="Arial" w:hAnsi="Arial"/>
                <w:sz w:val="14"/>
                <w:szCs w:val="14"/>
                <w:color w:val="FFFFFF"/>
              </w:rPr>
              <w:t>Governance</w:t>
            </w:r>
          </w:p>
        </w:tc>
      </w:tr>
      <w:tr>
        <w:trPr>
          <w:trHeight w:val="190"/>
        </w:trPr>
        <w:tc>
          <w:tcPr>
            <w:tcW w:w="2580" w:type="dxa"/>
            <w:vAlign w:val="bottom"/>
            <w:shd w:val="clear" w:color="auto" w:fill="0B3C61"/>
          </w:tcPr>
          <w:p>
            <w:pPr>
              <w:ind w:left="240"/>
              <w:spacing w:after="0"/>
              <w:rPr>
                <w:sz w:val="20"/>
                <w:szCs w:val="20"/>
                <w:color w:val="auto"/>
              </w:rPr>
            </w:pPr>
            <w:r>
              <w:rPr>
                <w:rFonts w:ascii="Arial" w:cs="Arial" w:eastAsia="Arial" w:hAnsi="Arial"/>
                <w:sz w:val="14"/>
                <w:szCs w:val="14"/>
                <w:color w:val="FFFFFF"/>
              </w:rPr>
              <w:t>Director</w:t>
            </w:r>
          </w:p>
        </w:tc>
        <w:tc>
          <w:tcPr>
            <w:tcW w:w="2200" w:type="dxa"/>
            <w:vAlign w:val="bottom"/>
            <w:shd w:val="clear" w:color="auto" w:fill="0B3C61"/>
          </w:tcPr>
          <w:p>
            <w:pPr>
              <w:jc w:val="center"/>
              <w:ind w:left="508"/>
              <w:spacing w:after="0"/>
              <w:rPr>
                <w:sz w:val="20"/>
                <w:szCs w:val="20"/>
                <w:color w:val="auto"/>
              </w:rPr>
            </w:pPr>
            <w:r>
              <w:rPr>
                <w:rFonts w:ascii="Arial" w:cs="Arial" w:eastAsia="Arial" w:hAnsi="Arial"/>
                <w:sz w:val="14"/>
                <w:szCs w:val="14"/>
                <w:color w:val="FFFFFF"/>
              </w:rPr>
              <w:t>Director</w:t>
            </w:r>
          </w:p>
        </w:tc>
        <w:tc>
          <w:tcPr>
            <w:tcW w:w="148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Committee</w:t>
            </w:r>
          </w:p>
        </w:tc>
        <w:tc>
          <w:tcPr>
            <w:tcW w:w="174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Committee</w:t>
            </w:r>
          </w:p>
        </w:tc>
        <w:tc>
          <w:tcPr>
            <w:tcW w:w="1400" w:type="dxa"/>
            <w:vAlign w:val="bottom"/>
            <w:shd w:val="clear" w:color="auto" w:fill="0B3C61"/>
          </w:tcPr>
          <w:p>
            <w:pPr>
              <w:jc w:val="center"/>
              <w:ind w:left="148"/>
              <w:spacing w:after="0"/>
              <w:rPr>
                <w:sz w:val="20"/>
                <w:szCs w:val="20"/>
                <w:color w:val="auto"/>
              </w:rPr>
            </w:pPr>
            <w:r>
              <w:rPr>
                <w:rFonts w:ascii="Arial" w:cs="Arial" w:eastAsia="Arial" w:hAnsi="Arial"/>
                <w:sz w:val="14"/>
                <w:szCs w:val="14"/>
                <w:color w:val="FFFFFF"/>
              </w:rPr>
              <w:t>Committee</w:t>
            </w:r>
          </w:p>
        </w:tc>
      </w:tr>
      <w:tr>
        <w:trPr>
          <w:trHeight w:val="62"/>
        </w:trPr>
        <w:tc>
          <w:tcPr>
            <w:tcW w:w="2580" w:type="dxa"/>
            <w:vAlign w:val="bottom"/>
            <w:shd w:val="clear" w:color="auto" w:fill="0B3C61"/>
          </w:tcPr>
          <w:p>
            <w:pPr>
              <w:spacing w:after="0"/>
              <w:rPr>
                <w:sz w:val="5"/>
                <w:szCs w:val="5"/>
                <w:color w:val="auto"/>
              </w:rPr>
            </w:pPr>
          </w:p>
        </w:tc>
        <w:tc>
          <w:tcPr>
            <w:tcW w:w="2200" w:type="dxa"/>
            <w:vAlign w:val="bottom"/>
            <w:shd w:val="clear" w:color="auto" w:fill="0B3C61"/>
          </w:tcPr>
          <w:p>
            <w:pPr>
              <w:spacing w:after="0"/>
              <w:rPr>
                <w:sz w:val="5"/>
                <w:szCs w:val="5"/>
                <w:color w:val="auto"/>
              </w:rPr>
            </w:pPr>
          </w:p>
        </w:tc>
        <w:tc>
          <w:tcPr>
            <w:tcW w:w="1480" w:type="dxa"/>
            <w:vAlign w:val="bottom"/>
            <w:shd w:val="clear" w:color="auto" w:fill="0B3C61"/>
          </w:tcPr>
          <w:p>
            <w:pPr>
              <w:spacing w:after="0"/>
              <w:rPr>
                <w:sz w:val="5"/>
                <w:szCs w:val="5"/>
                <w:color w:val="auto"/>
              </w:rPr>
            </w:pPr>
          </w:p>
        </w:tc>
        <w:tc>
          <w:tcPr>
            <w:tcW w:w="1740" w:type="dxa"/>
            <w:vAlign w:val="bottom"/>
            <w:shd w:val="clear" w:color="auto" w:fill="0B3C61"/>
          </w:tcPr>
          <w:p>
            <w:pPr>
              <w:spacing w:after="0"/>
              <w:rPr>
                <w:sz w:val="5"/>
                <w:szCs w:val="5"/>
                <w:color w:val="auto"/>
              </w:rPr>
            </w:pPr>
          </w:p>
        </w:tc>
        <w:tc>
          <w:tcPr>
            <w:tcW w:w="1400" w:type="dxa"/>
            <w:vAlign w:val="bottom"/>
            <w:shd w:val="clear" w:color="auto" w:fill="0B3C61"/>
          </w:tcPr>
          <w:p>
            <w:pPr>
              <w:spacing w:after="0"/>
              <w:rPr>
                <w:sz w:val="5"/>
                <w:szCs w:val="5"/>
                <w:color w:val="auto"/>
              </w:rPr>
            </w:pPr>
          </w:p>
        </w:tc>
      </w:tr>
      <w:tr>
        <w:trPr>
          <w:trHeight w:val="248"/>
        </w:trPr>
        <w:tc>
          <w:tcPr>
            <w:tcW w:w="2580" w:type="dxa"/>
            <w:vAlign w:val="bottom"/>
          </w:tcPr>
          <w:p>
            <w:pPr>
              <w:ind w:left="240"/>
              <w:spacing w:after="0"/>
              <w:rPr>
                <w:sz w:val="20"/>
                <w:szCs w:val="20"/>
                <w:color w:val="auto"/>
              </w:rPr>
            </w:pPr>
            <w:r>
              <w:rPr>
                <w:rFonts w:ascii="Arial" w:cs="Arial" w:eastAsia="Arial" w:hAnsi="Arial"/>
                <w:sz w:val="14"/>
                <w:szCs w:val="14"/>
                <w:color w:val="54565B"/>
              </w:rPr>
              <w:t>Gregory G. Joseph</w:t>
            </w:r>
          </w:p>
        </w:tc>
        <w:tc>
          <w:tcPr>
            <w:tcW w:w="22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54565B"/>
              </w:rPr>
              <w:t>Chair</w:t>
            </w:r>
          </w:p>
        </w:tc>
        <w:tc>
          <w:tcPr>
            <w:tcW w:w="17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49"/>
        </w:trPr>
        <w:tc>
          <w:tcPr>
            <w:tcW w:w="25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36"/>
        </w:trPr>
        <w:tc>
          <w:tcPr>
            <w:tcW w:w="258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color w:val="54565B"/>
              </w:rPr>
              <w:t>Mary Beth Martin</w:t>
            </w:r>
          </w:p>
        </w:tc>
        <w:tc>
          <w:tcPr>
            <w:tcW w:w="2200" w:type="dxa"/>
            <w:vAlign w:val="bottom"/>
            <w:tcBorders>
              <w:bottom w:val="single" w:sz="8" w:color="EAF7FA"/>
            </w:tcBorders>
            <w:shd w:val="clear" w:color="auto" w:fill="EAF7FA"/>
          </w:tcPr>
          <w:p>
            <w:pPr>
              <w:spacing w:after="0"/>
              <w:rPr>
                <w:sz w:val="20"/>
                <w:szCs w:val="20"/>
                <w:color w:val="auto"/>
              </w:rPr>
            </w:pPr>
          </w:p>
        </w:tc>
        <w:tc>
          <w:tcPr>
            <w:tcW w:w="1480" w:type="dxa"/>
            <w:vAlign w:val="bottom"/>
            <w:tcBorders>
              <w:bottom w:val="single" w:sz="8" w:color="EAF7FA"/>
            </w:tcBorders>
            <w:shd w:val="clear" w:color="auto" w:fill="EAF7FA"/>
          </w:tcPr>
          <w:p>
            <w:pPr>
              <w:spacing w:after="0"/>
              <w:rPr>
                <w:sz w:val="20"/>
                <w:szCs w:val="20"/>
                <w:color w:val="auto"/>
              </w:rPr>
            </w:pPr>
          </w:p>
        </w:tc>
        <w:tc>
          <w:tcPr>
            <w:tcW w:w="174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Chair</w:t>
            </w:r>
          </w:p>
        </w:tc>
        <w:tc>
          <w:tcPr>
            <w:tcW w:w="1400" w:type="dxa"/>
            <w:vAlign w:val="bottom"/>
            <w:tcBorders>
              <w:bottom w:val="single" w:sz="8" w:color="EAF7FA"/>
            </w:tcBorders>
            <w:shd w:val="clear" w:color="auto" w:fill="EAF7FA"/>
          </w:tcPr>
          <w:p>
            <w:pPr>
              <w:jc w:val="center"/>
              <w:ind w:left="168"/>
              <w:spacing w:after="0"/>
              <w:rPr>
                <w:sz w:val="20"/>
                <w:szCs w:val="20"/>
                <w:color w:val="auto"/>
              </w:rPr>
            </w:pPr>
            <w:r>
              <w:rPr>
                <w:rFonts w:ascii="Arial" w:cs="Arial" w:eastAsia="Arial" w:hAnsi="Arial"/>
                <w:sz w:val="14"/>
                <w:szCs w:val="14"/>
                <w:color w:val="54565B"/>
              </w:rPr>
              <w:t>Member</w:t>
            </w:r>
          </w:p>
        </w:tc>
      </w:tr>
      <w:tr>
        <w:trPr>
          <w:trHeight w:val="221"/>
        </w:trPr>
        <w:tc>
          <w:tcPr>
            <w:tcW w:w="2580" w:type="dxa"/>
            <w:vAlign w:val="bottom"/>
          </w:tcPr>
          <w:p>
            <w:pPr>
              <w:ind w:left="240"/>
              <w:spacing w:after="0"/>
              <w:rPr>
                <w:sz w:val="20"/>
                <w:szCs w:val="20"/>
                <w:color w:val="auto"/>
              </w:rPr>
            </w:pPr>
            <w:r>
              <w:rPr>
                <w:rFonts w:ascii="Arial" w:cs="Arial" w:eastAsia="Arial" w:hAnsi="Arial"/>
                <w:sz w:val="14"/>
                <w:szCs w:val="14"/>
                <w:color w:val="54565B"/>
              </w:rPr>
              <w:t>Amy Y. Murray</w:t>
            </w:r>
          </w:p>
        </w:tc>
        <w:tc>
          <w:tcPr>
            <w:tcW w:w="22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54565B"/>
              </w:rPr>
              <w:t>Member</w:t>
            </w:r>
          </w:p>
        </w:tc>
        <w:tc>
          <w:tcPr>
            <w:tcW w:w="1740" w:type="dxa"/>
            <w:vAlign w:val="bottom"/>
          </w:tcPr>
          <w:p>
            <w:pPr>
              <w:jc w:val="center"/>
              <w:spacing w:after="0"/>
              <w:rPr>
                <w:sz w:val="20"/>
                <w:szCs w:val="20"/>
                <w:color w:val="auto"/>
              </w:rPr>
            </w:pPr>
            <w:r>
              <w:rPr>
                <w:rFonts w:ascii="Arial" w:cs="Arial" w:eastAsia="Arial" w:hAnsi="Arial"/>
                <w:sz w:val="14"/>
                <w:szCs w:val="14"/>
                <w:color w:val="54565B"/>
              </w:rPr>
              <w:t>Member</w:t>
            </w:r>
          </w:p>
        </w:tc>
        <w:tc>
          <w:tcPr>
            <w:tcW w:w="1400" w:type="dxa"/>
            <w:vAlign w:val="bottom"/>
          </w:tcPr>
          <w:p>
            <w:pPr>
              <w:spacing w:after="0"/>
              <w:rPr>
                <w:sz w:val="19"/>
                <w:szCs w:val="19"/>
                <w:color w:val="auto"/>
              </w:rPr>
            </w:pPr>
          </w:p>
        </w:tc>
      </w:tr>
      <w:tr>
        <w:trPr>
          <w:trHeight w:val="35"/>
        </w:trPr>
        <w:tc>
          <w:tcPr>
            <w:tcW w:w="258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6"/>
        </w:trPr>
        <w:tc>
          <w:tcPr>
            <w:tcW w:w="258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color w:val="54565B"/>
              </w:rPr>
              <w:t>Roger K. Newport</w:t>
            </w:r>
          </w:p>
        </w:tc>
        <w:tc>
          <w:tcPr>
            <w:tcW w:w="2200" w:type="dxa"/>
            <w:vAlign w:val="bottom"/>
            <w:tcBorders>
              <w:bottom w:val="single" w:sz="8" w:color="EAF7FA"/>
            </w:tcBorders>
            <w:shd w:val="clear" w:color="auto" w:fill="EAF7FA"/>
          </w:tcPr>
          <w:p>
            <w:pPr>
              <w:spacing w:after="0"/>
              <w:rPr>
                <w:sz w:val="20"/>
                <w:szCs w:val="20"/>
                <w:color w:val="auto"/>
              </w:rPr>
            </w:pPr>
          </w:p>
        </w:tc>
        <w:tc>
          <w:tcPr>
            <w:tcW w:w="148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Member</w:t>
            </w:r>
          </w:p>
        </w:tc>
        <w:tc>
          <w:tcPr>
            <w:tcW w:w="1740" w:type="dxa"/>
            <w:vAlign w:val="bottom"/>
            <w:tcBorders>
              <w:bottom w:val="single" w:sz="8" w:color="EAF7FA"/>
            </w:tcBorders>
            <w:shd w:val="clear" w:color="auto" w:fill="EAF7FA"/>
          </w:tcPr>
          <w:p>
            <w:pPr>
              <w:spacing w:after="0"/>
              <w:rPr>
                <w:sz w:val="20"/>
                <w:szCs w:val="20"/>
                <w:color w:val="auto"/>
              </w:rPr>
            </w:pPr>
          </w:p>
        </w:tc>
        <w:tc>
          <w:tcPr>
            <w:tcW w:w="1400" w:type="dxa"/>
            <w:vAlign w:val="bottom"/>
            <w:tcBorders>
              <w:bottom w:val="single" w:sz="8" w:color="EAF7FA"/>
            </w:tcBorders>
            <w:shd w:val="clear" w:color="auto" w:fill="EAF7FA"/>
          </w:tcPr>
          <w:p>
            <w:pPr>
              <w:spacing w:after="0"/>
              <w:rPr>
                <w:sz w:val="20"/>
                <w:szCs w:val="20"/>
                <w:color w:val="auto"/>
              </w:rPr>
            </w:pPr>
          </w:p>
        </w:tc>
      </w:tr>
      <w:tr>
        <w:trPr>
          <w:trHeight w:val="221"/>
        </w:trPr>
        <w:tc>
          <w:tcPr>
            <w:tcW w:w="2580" w:type="dxa"/>
            <w:vAlign w:val="bottom"/>
          </w:tcPr>
          <w:p>
            <w:pPr>
              <w:ind w:left="240"/>
              <w:spacing w:after="0"/>
              <w:rPr>
                <w:sz w:val="20"/>
                <w:szCs w:val="20"/>
                <w:color w:val="auto"/>
              </w:rPr>
            </w:pPr>
            <w:r>
              <w:rPr>
                <w:rFonts w:ascii="Arial" w:cs="Arial" w:eastAsia="Arial" w:hAnsi="Arial"/>
                <w:sz w:val="14"/>
                <w:szCs w:val="14"/>
                <w:color w:val="54565B"/>
              </w:rPr>
              <w:t>Evans N. Nwankwo</w:t>
            </w:r>
          </w:p>
        </w:tc>
        <w:tc>
          <w:tcPr>
            <w:tcW w:w="2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0" w:type="dxa"/>
            <w:vAlign w:val="bottom"/>
          </w:tcPr>
          <w:p>
            <w:pPr>
              <w:jc w:val="center"/>
              <w:ind w:left="168"/>
              <w:spacing w:after="0"/>
              <w:rPr>
                <w:sz w:val="20"/>
                <w:szCs w:val="20"/>
                <w:color w:val="auto"/>
              </w:rPr>
            </w:pPr>
            <w:r>
              <w:rPr>
                <w:rFonts w:ascii="Arial" w:cs="Arial" w:eastAsia="Arial" w:hAnsi="Arial"/>
                <w:sz w:val="14"/>
                <w:szCs w:val="14"/>
                <w:color w:val="54565B"/>
              </w:rPr>
              <w:t>Member</w:t>
            </w:r>
          </w:p>
        </w:tc>
      </w:tr>
      <w:tr>
        <w:trPr>
          <w:trHeight w:val="35"/>
        </w:trPr>
        <w:tc>
          <w:tcPr>
            <w:tcW w:w="258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6"/>
        </w:trPr>
        <w:tc>
          <w:tcPr>
            <w:tcW w:w="258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color w:val="54565B"/>
              </w:rPr>
              <w:t>William W. Verity</w:t>
            </w:r>
          </w:p>
        </w:tc>
        <w:tc>
          <w:tcPr>
            <w:tcW w:w="2200" w:type="dxa"/>
            <w:vAlign w:val="bottom"/>
            <w:tcBorders>
              <w:bottom w:val="single" w:sz="8" w:color="EAF7FA"/>
            </w:tcBorders>
            <w:shd w:val="clear" w:color="auto" w:fill="EAF7FA"/>
          </w:tcPr>
          <w:p>
            <w:pPr>
              <w:spacing w:after="0"/>
              <w:rPr>
                <w:sz w:val="20"/>
                <w:szCs w:val="20"/>
                <w:color w:val="auto"/>
              </w:rPr>
            </w:pPr>
          </w:p>
        </w:tc>
        <w:tc>
          <w:tcPr>
            <w:tcW w:w="1480" w:type="dxa"/>
            <w:vAlign w:val="bottom"/>
            <w:tcBorders>
              <w:bottom w:val="single" w:sz="8" w:color="EAF7FA"/>
            </w:tcBorders>
            <w:shd w:val="clear" w:color="auto" w:fill="EAF7FA"/>
          </w:tcPr>
          <w:p>
            <w:pPr>
              <w:spacing w:after="0"/>
              <w:rPr>
                <w:sz w:val="20"/>
                <w:szCs w:val="20"/>
                <w:color w:val="auto"/>
              </w:rPr>
            </w:pPr>
          </w:p>
        </w:tc>
        <w:tc>
          <w:tcPr>
            <w:tcW w:w="174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Member</w:t>
            </w:r>
          </w:p>
        </w:tc>
        <w:tc>
          <w:tcPr>
            <w:tcW w:w="1400" w:type="dxa"/>
            <w:vAlign w:val="bottom"/>
            <w:tcBorders>
              <w:bottom w:val="single" w:sz="8" w:color="EAF7FA"/>
            </w:tcBorders>
            <w:shd w:val="clear" w:color="auto" w:fill="EAF7FA"/>
          </w:tcPr>
          <w:p>
            <w:pPr>
              <w:jc w:val="center"/>
              <w:ind w:left="148"/>
              <w:spacing w:after="0"/>
              <w:rPr>
                <w:sz w:val="20"/>
                <w:szCs w:val="20"/>
                <w:color w:val="auto"/>
              </w:rPr>
            </w:pPr>
            <w:r>
              <w:rPr>
                <w:rFonts w:ascii="Arial" w:cs="Arial" w:eastAsia="Arial" w:hAnsi="Arial"/>
                <w:sz w:val="14"/>
                <w:szCs w:val="14"/>
                <w:color w:val="54565B"/>
              </w:rPr>
              <w:t>Chair</w:t>
            </w:r>
          </w:p>
        </w:tc>
      </w:tr>
      <w:tr>
        <w:trPr>
          <w:trHeight w:val="222"/>
        </w:trPr>
        <w:tc>
          <w:tcPr>
            <w:tcW w:w="2580" w:type="dxa"/>
            <w:vAlign w:val="bottom"/>
          </w:tcPr>
          <w:p>
            <w:pPr>
              <w:ind w:left="240"/>
              <w:spacing w:after="0"/>
              <w:rPr>
                <w:sz w:val="20"/>
                <w:szCs w:val="20"/>
                <w:color w:val="auto"/>
              </w:rPr>
            </w:pPr>
            <w:r>
              <w:rPr>
                <w:rFonts w:ascii="Arial" w:cs="Arial" w:eastAsia="Arial" w:hAnsi="Arial"/>
                <w:sz w:val="14"/>
                <w:szCs w:val="14"/>
                <w:color w:val="54565B"/>
              </w:rPr>
              <w:t>John I. Von Lehman</w:t>
            </w:r>
          </w:p>
        </w:tc>
        <w:tc>
          <w:tcPr>
            <w:tcW w:w="22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54565B"/>
              </w:rPr>
              <w:t>Member</w:t>
            </w:r>
          </w:p>
        </w:tc>
        <w:tc>
          <w:tcPr>
            <w:tcW w:w="1740" w:type="dxa"/>
            <w:vAlign w:val="bottom"/>
          </w:tcPr>
          <w:p>
            <w:pPr>
              <w:spacing w:after="0"/>
              <w:rPr>
                <w:sz w:val="19"/>
                <w:szCs w:val="19"/>
                <w:color w:val="auto"/>
              </w:rPr>
            </w:pPr>
          </w:p>
        </w:tc>
        <w:tc>
          <w:tcPr>
            <w:tcW w:w="1400" w:type="dxa"/>
            <w:vAlign w:val="bottom"/>
          </w:tcPr>
          <w:p>
            <w:pPr>
              <w:jc w:val="center"/>
              <w:ind w:left="168"/>
              <w:spacing w:after="0"/>
              <w:rPr>
                <w:sz w:val="20"/>
                <w:szCs w:val="20"/>
                <w:color w:val="auto"/>
              </w:rPr>
            </w:pPr>
            <w:r>
              <w:rPr>
                <w:rFonts w:ascii="Arial" w:cs="Arial" w:eastAsia="Arial" w:hAnsi="Arial"/>
                <w:sz w:val="14"/>
                <w:szCs w:val="14"/>
                <w:color w:val="54565B"/>
              </w:rPr>
              <w:t>Member</w:t>
            </w:r>
          </w:p>
        </w:tc>
      </w:tr>
      <w:tr>
        <w:trPr>
          <w:trHeight w:val="35"/>
        </w:trPr>
        <w:tc>
          <w:tcPr>
            <w:tcW w:w="258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6"/>
        </w:trPr>
        <w:tc>
          <w:tcPr>
            <w:tcW w:w="2580" w:type="dxa"/>
            <w:vAlign w:val="bottom"/>
            <w:tcBorders>
              <w:bottom w:val="single" w:sz="8" w:color="EAF7FA"/>
            </w:tcBorders>
            <w:shd w:val="clear" w:color="auto" w:fill="EAF7FA"/>
          </w:tcPr>
          <w:p>
            <w:pPr>
              <w:ind w:left="420"/>
              <w:spacing w:after="0"/>
              <w:rPr>
                <w:sz w:val="20"/>
                <w:szCs w:val="20"/>
                <w:color w:val="auto"/>
              </w:rPr>
            </w:pPr>
            <w:r>
              <w:rPr>
                <w:rFonts w:ascii="Arial" w:cs="Arial" w:eastAsia="Arial" w:hAnsi="Arial"/>
                <w:sz w:val="14"/>
                <w:szCs w:val="14"/>
                <w:b w:val="1"/>
                <w:bCs w:val="1"/>
                <w:color w:val="54565B"/>
              </w:rPr>
              <w:t>Meetings in 2025</w:t>
            </w:r>
          </w:p>
        </w:tc>
        <w:tc>
          <w:tcPr>
            <w:tcW w:w="2200" w:type="dxa"/>
            <w:vAlign w:val="bottom"/>
            <w:tcBorders>
              <w:bottom w:val="single" w:sz="8" w:color="EAF7FA"/>
            </w:tcBorders>
            <w:shd w:val="clear" w:color="auto" w:fill="EAF7FA"/>
          </w:tcPr>
          <w:p>
            <w:pPr>
              <w:spacing w:after="0"/>
              <w:rPr>
                <w:sz w:val="20"/>
                <w:szCs w:val="20"/>
                <w:color w:val="auto"/>
              </w:rPr>
            </w:pPr>
          </w:p>
        </w:tc>
        <w:tc>
          <w:tcPr>
            <w:tcW w:w="148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8</w:t>
            </w:r>
          </w:p>
        </w:tc>
        <w:tc>
          <w:tcPr>
            <w:tcW w:w="174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5</w:t>
            </w:r>
          </w:p>
        </w:tc>
        <w:tc>
          <w:tcPr>
            <w:tcW w:w="1400" w:type="dxa"/>
            <w:vAlign w:val="bottom"/>
            <w:tcBorders>
              <w:bottom w:val="single" w:sz="8" w:color="EAF7FA"/>
            </w:tcBorders>
            <w:shd w:val="clear" w:color="auto" w:fill="EAF7FA"/>
          </w:tcPr>
          <w:p>
            <w:pPr>
              <w:jc w:val="center"/>
              <w:ind w:left="168"/>
              <w:spacing w:after="0"/>
              <w:rPr>
                <w:sz w:val="20"/>
                <w:szCs w:val="20"/>
                <w:color w:val="auto"/>
              </w:rPr>
            </w:pPr>
            <w:r>
              <w:rPr>
                <w:rFonts w:ascii="Arial" w:cs="Arial" w:eastAsia="Arial" w:hAnsi="Arial"/>
                <w:sz w:val="14"/>
                <w:szCs w:val="14"/>
                <w:color w:val="54565B"/>
              </w:rPr>
              <w:t>4</w:t>
            </w:r>
          </w:p>
        </w:tc>
      </w:tr>
      <w:tr>
        <w:trPr>
          <w:trHeight w:val="20"/>
        </w:trPr>
        <w:tc>
          <w:tcPr>
            <w:tcW w:w="2580" w:type="dxa"/>
            <w:vAlign w:val="bottom"/>
            <w:shd w:val="clear" w:color="auto" w:fill="0B3C61"/>
          </w:tcPr>
          <w:p>
            <w:pPr>
              <w:spacing w:after="0" w:line="20" w:lineRule="exact"/>
              <w:rPr>
                <w:sz w:val="1"/>
                <w:szCs w:val="1"/>
                <w:color w:val="auto"/>
              </w:rPr>
            </w:pPr>
          </w:p>
        </w:tc>
        <w:tc>
          <w:tcPr>
            <w:tcW w:w="2200" w:type="dxa"/>
            <w:vAlign w:val="bottom"/>
            <w:shd w:val="clear" w:color="auto" w:fill="0B3C61"/>
          </w:tcPr>
          <w:p>
            <w:pPr>
              <w:spacing w:after="0" w:line="20" w:lineRule="exact"/>
              <w:rPr>
                <w:sz w:val="1"/>
                <w:szCs w:val="1"/>
                <w:color w:val="auto"/>
              </w:rPr>
            </w:pPr>
          </w:p>
        </w:tc>
        <w:tc>
          <w:tcPr>
            <w:tcW w:w="1480" w:type="dxa"/>
            <w:vAlign w:val="bottom"/>
            <w:shd w:val="clear" w:color="auto" w:fill="0B3C61"/>
          </w:tcPr>
          <w:p>
            <w:pPr>
              <w:spacing w:after="0" w:line="20" w:lineRule="exact"/>
              <w:rPr>
                <w:sz w:val="1"/>
                <w:szCs w:val="1"/>
                <w:color w:val="auto"/>
              </w:rPr>
            </w:pPr>
          </w:p>
        </w:tc>
        <w:tc>
          <w:tcPr>
            <w:tcW w:w="1740" w:type="dxa"/>
            <w:vAlign w:val="bottom"/>
            <w:shd w:val="clear" w:color="auto" w:fill="0B3C61"/>
          </w:tcPr>
          <w:p>
            <w:pPr>
              <w:spacing w:after="0" w:line="20" w:lineRule="exact"/>
              <w:rPr>
                <w:sz w:val="1"/>
                <w:szCs w:val="1"/>
                <w:color w:val="auto"/>
              </w:rPr>
            </w:pPr>
          </w:p>
        </w:tc>
        <w:tc>
          <w:tcPr>
            <w:tcW w:w="1400" w:type="dxa"/>
            <w:vAlign w:val="bottom"/>
            <w:shd w:val="clear" w:color="auto" w:fill="0B3C61"/>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2446655</wp:posOffset>
            </wp:positionH>
            <wp:positionV relativeFrom="paragraph">
              <wp:posOffset>-1311275</wp:posOffset>
            </wp:positionV>
            <wp:extent cx="12827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270" cy="137160"/>
                    </a:xfrm>
                    <a:prstGeom prst="rect">
                      <a:avLst/>
                    </a:prstGeom>
                    <a:noFill/>
                  </pic:spPr>
                </pic:pic>
              </a:graphicData>
            </a:graphic>
          </wp:anchor>
        </w:drawing>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0B3C61"/>
        </w:rPr>
        <w:t xml:space="preserve">2026 Proxy Statement | American Financial Group   </w:t>
      </w:r>
      <w:r>
        <w:rPr>
          <w:rFonts w:ascii="Arial" w:cs="Arial" w:eastAsia="Arial" w:hAnsi="Arial"/>
          <w:sz w:val="13"/>
          <w:szCs w:val="13"/>
          <w:b w:val="1"/>
          <w:bCs w:val="1"/>
          <w:color w:val="EA1D2D"/>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1"/>
          <w:szCs w:val="21"/>
          <w:color w:val="0B3C61"/>
        </w:rPr>
        <w:t>PRIMARY COMMITTEE RESPONSIBILITIES</w:t>
      </w:r>
    </w:p>
    <w:p>
      <w:pPr>
        <w:sectPr>
          <w:pgSz w:w="11900" w:h="16838" w:orient="portrait"/>
          <w:cols w:equalWidth="0" w:num="1">
            <w:col w:w="9360"/>
          </w:cols>
          <w:pgMar w:left="1240" w:top="114" w:right="129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32"/>
          <w:szCs w:val="32"/>
          <w:color w:val="0B3C61"/>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1920240" cy="20656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20240" cy="20656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25"/>
          <w:szCs w:val="25"/>
          <w:color w:val="0B3C61"/>
        </w:rPr>
        <w:t>Members:</w:t>
      </w:r>
    </w:p>
    <w:p>
      <w:pPr>
        <w:spacing w:after="0" w:line="180" w:lineRule="exact"/>
        <w:rPr>
          <w:sz w:val="20"/>
          <w:szCs w:val="20"/>
          <w:color w:val="auto"/>
        </w:rPr>
      </w:pPr>
    </w:p>
    <w:p>
      <w:pPr>
        <w:ind w:left="660"/>
        <w:spacing w:after="0" w:line="259" w:lineRule="auto"/>
        <w:rPr>
          <w:sz w:val="20"/>
          <w:szCs w:val="20"/>
          <w:color w:val="auto"/>
        </w:rPr>
      </w:pPr>
      <w:r>
        <w:rPr>
          <w:rFonts w:ascii="Arial" w:cs="Arial" w:eastAsia="Arial" w:hAnsi="Arial"/>
          <w:sz w:val="16"/>
          <w:szCs w:val="16"/>
          <w:color w:val="0B3C61"/>
        </w:rPr>
        <w:t>Gregory G. Joseph (Chair) Amy Y. Murray Roger K. Newport John I. Von Lehman</w:t>
      </w: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40"/>
          <w:szCs w:val="40"/>
          <w:color w:val="EA1D2D"/>
        </w:rPr>
        <w:t>8</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6"/>
          <w:szCs w:val="16"/>
          <w:color w:val="0B3C61"/>
        </w:rPr>
        <w:t>Meetings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852170</wp:posOffset>
            </wp:positionH>
            <wp:positionV relativeFrom="paragraph">
              <wp:posOffset>1409700</wp:posOffset>
            </wp:positionV>
            <wp:extent cx="874395" cy="8743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74395" cy="8743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74" w:right="160" w:hanging="174"/>
        <w:spacing w:after="0" w:line="256" w:lineRule="auto"/>
        <w:tabs>
          <w:tab w:leader="none" w:pos="174" w:val="left"/>
        </w:tabs>
        <w:numPr>
          <w:ilvl w:val="0"/>
          <w:numId w:val="10"/>
        </w:numPr>
        <w:rPr>
          <w:rFonts w:ascii="Arial" w:cs="Arial" w:eastAsia="Arial" w:hAnsi="Arial"/>
          <w:sz w:val="16"/>
          <w:szCs w:val="16"/>
          <w:color w:val="54565B"/>
        </w:rPr>
      </w:pPr>
      <w:r>
        <w:rPr>
          <w:rFonts w:ascii="Arial" w:cs="Arial" w:eastAsia="Arial" w:hAnsi="Arial"/>
          <w:sz w:val="16"/>
          <w:szCs w:val="16"/>
          <w:color w:val="54565B"/>
        </w:rPr>
        <w:t>Oversees the Company’s accounting and financial reporting processes, audits of the financial statements, and internal controls over financial reporting.</w:t>
      </w:r>
    </w:p>
    <w:p>
      <w:pPr>
        <w:spacing w:after="0" w:line="1" w:lineRule="exact"/>
        <w:rPr>
          <w:rFonts w:ascii="Arial" w:cs="Arial" w:eastAsia="Arial" w:hAnsi="Arial"/>
          <w:sz w:val="16"/>
          <w:szCs w:val="16"/>
          <w:color w:val="54565B"/>
        </w:rPr>
      </w:pPr>
    </w:p>
    <w:p>
      <w:pPr>
        <w:ind w:left="174" w:right="200" w:hanging="174"/>
        <w:spacing w:after="0" w:line="246" w:lineRule="auto"/>
        <w:tabs>
          <w:tab w:leader="none" w:pos="174" w:val="left"/>
        </w:tabs>
        <w:numPr>
          <w:ilvl w:val="0"/>
          <w:numId w:val="10"/>
        </w:numPr>
        <w:rPr>
          <w:rFonts w:ascii="Arial" w:cs="Arial" w:eastAsia="Arial" w:hAnsi="Arial"/>
          <w:sz w:val="16"/>
          <w:szCs w:val="16"/>
          <w:color w:val="54565B"/>
        </w:rPr>
      </w:pPr>
      <w:r>
        <w:rPr>
          <w:rFonts w:ascii="Arial" w:cs="Arial" w:eastAsia="Arial" w:hAnsi="Arial"/>
          <w:sz w:val="16"/>
          <w:szCs w:val="16"/>
          <w:color w:val="54565B"/>
        </w:rPr>
        <w:t>Appoints the Company’s independent registered public accounting firm and oversees the relationship, including by monitoring the auditor’s independence, establishing the auditor’s compensation and reviewing the scope of the auditor’s work, including pre-approval of audit and non-audit services.</w:t>
      </w:r>
    </w:p>
    <w:p>
      <w:pPr>
        <w:spacing w:after="0" w:line="1" w:lineRule="exact"/>
        <w:rPr>
          <w:rFonts w:ascii="Arial" w:cs="Arial" w:eastAsia="Arial" w:hAnsi="Arial"/>
          <w:sz w:val="16"/>
          <w:szCs w:val="16"/>
          <w:color w:val="54565B"/>
        </w:rPr>
      </w:pPr>
    </w:p>
    <w:p>
      <w:pPr>
        <w:ind w:left="174" w:right="160" w:hanging="174"/>
        <w:spacing w:after="0" w:line="246" w:lineRule="auto"/>
        <w:tabs>
          <w:tab w:leader="none" w:pos="174" w:val="left"/>
        </w:tabs>
        <w:numPr>
          <w:ilvl w:val="0"/>
          <w:numId w:val="10"/>
        </w:numPr>
        <w:rPr>
          <w:rFonts w:ascii="Arial" w:cs="Arial" w:eastAsia="Arial" w:hAnsi="Arial"/>
          <w:sz w:val="16"/>
          <w:szCs w:val="16"/>
          <w:color w:val="54565B"/>
        </w:rPr>
      </w:pPr>
      <w:r>
        <w:rPr>
          <w:rFonts w:ascii="Arial" w:cs="Arial" w:eastAsia="Arial" w:hAnsi="Arial"/>
          <w:sz w:val="16"/>
          <w:szCs w:val="16"/>
          <w:color w:val="54565B"/>
        </w:rPr>
        <w:t>Reviews and discusses with our management and independent registered public accounting firm, the Company’s interim and audited annual financial statements, and recommends to the Board whether the audited annual financial statements should be included in the Company’s annual report on Form 10-K.</w:t>
      </w:r>
    </w:p>
    <w:p>
      <w:pPr>
        <w:spacing w:after="0" w:line="1" w:lineRule="exact"/>
        <w:rPr>
          <w:rFonts w:ascii="Arial" w:cs="Arial" w:eastAsia="Arial" w:hAnsi="Arial"/>
          <w:sz w:val="16"/>
          <w:szCs w:val="16"/>
          <w:color w:val="54565B"/>
        </w:rPr>
      </w:pPr>
    </w:p>
    <w:p>
      <w:pPr>
        <w:ind w:left="174" w:right="60" w:hanging="174"/>
        <w:spacing w:after="0" w:line="246" w:lineRule="auto"/>
        <w:tabs>
          <w:tab w:leader="none" w:pos="174" w:val="left"/>
        </w:tabs>
        <w:numPr>
          <w:ilvl w:val="0"/>
          <w:numId w:val="10"/>
        </w:numPr>
        <w:rPr>
          <w:rFonts w:ascii="Arial" w:cs="Arial" w:eastAsia="Arial" w:hAnsi="Arial"/>
          <w:sz w:val="16"/>
          <w:szCs w:val="16"/>
          <w:color w:val="54565B"/>
        </w:rPr>
      </w:pPr>
      <w:r>
        <w:rPr>
          <w:rFonts w:ascii="Arial" w:cs="Arial" w:eastAsia="Arial" w:hAnsi="Arial"/>
          <w:sz w:val="16"/>
          <w:szCs w:val="16"/>
          <w:color w:val="54565B"/>
        </w:rPr>
        <w:t>Reviews management’s report on its assessment of the effectiveness of internal control over financial reporting and the independent public accounting firm’s report on the effectiveness of internal control over financial reporting.</w:t>
      </w:r>
    </w:p>
    <w:p>
      <w:pPr>
        <w:spacing w:after="0" w:line="1" w:lineRule="exact"/>
        <w:rPr>
          <w:rFonts w:ascii="Arial" w:cs="Arial" w:eastAsia="Arial" w:hAnsi="Arial"/>
          <w:sz w:val="16"/>
          <w:szCs w:val="16"/>
          <w:color w:val="54565B"/>
        </w:rPr>
      </w:pPr>
    </w:p>
    <w:p>
      <w:pPr>
        <w:ind w:left="174" w:right="460" w:hanging="174"/>
        <w:spacing w:after="0" w:line="246" w:lineRule="auto"/>
        <w:tabs>
          <w:tab w:leader="none" w:pos="174" w:val="left"/>
        </w:tabs>
        <w:numPr>
          <w:ilvl w:val="0"/>
          <w:numId w:val="10"/>
        </w:numPr>
        <w:rPr>
          <w:rFonts w:ascii="Arial" w:cs="Arial" w:eastAsia="Arial" w:hAnsi="Arial"/>
          <w:sz w:val="16"/>
          <w:szCs w:val="16"/>
          <w:color w:val="54565B"/>
        </w:rPr>
      </w:pPr>
      <w:r>
        <w:rPr>
          <w:rFonts w:ascii="Arial" w:cs="Arial" w:eastAsia="Arial" w:hAnsi="Arial"/>
          <w:sz w:val="16"/>
          <w:szCs w:val="16"/>
          <w:color w:val="54565B"/>
        </w:rPr>
        <w:t>Reviews the adequacy and effectiveness of the Company’s internal controls, including a review of the scope and results of its program.</w:t>
      </w:r>
    </w:p>
    <w:p>
      <w:pPr>
        <w:ind w:left="174" w:right="180" w:hanging="174"/>
        <w:spacing w:after="0" w:line="246" w:lineRule="auto"/>
        <w:tabs>
          <w:tab w:leader="none" w:pos="174" w:val="left"/>
        </w:tabs>
        <w:numPr>
          <w:ilvl w:val="0"/>
          <w:numId w:val="10"/>
        </w:numPr>
        <w:rPr>
          <w:rFonts w:ascii="Arial" w:cs="Arial" w:eastAsia="Arial" w:hAnsi="Arial"/>
          <w:sz w:val="16"/>
          <w:szCs w:val="16"/>
          <w:color w:val="54565B"/>
        </w:rPr>
      </w:pPr>
      <w:r>
        <w:rPr>
          <w:rFonts w:ascii="Arial" w:cs="Arial" w:eastAsia="Arial" w:hAnsi="Arial"/>
          <w:sz w:val="16"/>
          <w:szCs w:val="16"/>
          <w:color w:val="54565B"/>
        </w:rPr>
        <w:t>Pre-approves all transactions with related persons, whether or not required to be disclosed in the proxy statement.</w:t>
      </w:r>
    </w:p>
    <w:p>
      <w:pPr>
        <w:ind w:left="174" w:right="120" w:hanging="174"/>
        <w:spacing w:after="0" w:line="246" w:lineRule="auto"/>
        <w:tabs>
          <w:tab w:leader="none" w:pos="174" w:val="left"/>
        </w:tabs>
        <w:numPr>
          <w:ilvl w:val="0"/>
          <w:numId w:val="10"/>
        </w:numPr>
        <w:rPr>
          <w:rFonts w:ascii="Arial" w:cs="Arial" w:eastAsia="Arial" w:hAnsi="Arial"/>
          <w:sz w:val="16"/>
          <w:szCs w:val="16"/>
          <w:color w:val="54565B"/>
        </w:rPr>
      </w:pPr>
      <w:r>
        <w:rPr>
          <w:rFonts w:ascii="Arial" w:cs="Arial" w:eastAsia="Arial" w:hAnsi="Arial"/>
          <w:sz w:val="16"/>
          <w:szCs w:val="16"/>
          <w:color w:val="54565B"/>
        </w:rPr>
        <w:t>Reviews and discusses with management and the independent auditors earnings press releases prior to issuance.</w:t>
      </w:r>
    </w:p>
    <w:p>
      <w:pPr>
        <w:ind w:left="174" w:hanging="174"/>
        <w:spacing w:after="0" w:line="246" w:lineRule="auto"/>
        <w:tabs>
          <w:tab w:leader="none" w:pos="174" w:val="left"/>
        </w:tabs>
        <w:numPr>
          <w:ilvl w:val="0"/>
          <w:numId w:val="10"/>
        </w:numPr>
        <w:rPr>
          <w:rFonts w:ascii="Arial" w:cs="Arial" w:eastAsia="Arial" w:hAnsi="Arial"/>
          <w:sz w:val="16"/>
          <w:szCs w:val="16"/>
          <w:color w:val="54565B"/>
        </w:rPr>
      </w:pPr>
      <w:r>
        <w:rPr>
          <w:rFonts w:ascii="Arial" w:cs="Arial" w:eastAsia="Arial" w:hAnsi="Arial"/>
          <w:sz w:val="16"/>
          <w:szCs w:val="16"/>
          <w:color w:val="54565B"/>
        </w:rPr>
        <w:t>Discusses with management the Company’s guidelines and policies related to enterprise risk assessment and risk management (including quarterly cybersecurity assessments) and assists the Board of Directors in its oversight of the Company’s enterprise risk management process, including privacy, cybersecurity,</w:t>
      </w:r>
    </w:p>
    <w:p>
      <w:pPr>
        <w:spacing w:after="0" w:line="1" w:lineRule="exact"/>
        <w:rPr>
          <w:rFonts w:ascii="Arial" w:cs="Arial" w:eastAsia="Arial" w:hAnsi="Arial"/>
          <w:sz w:val="16"/>
          <w:szCs w:val="16"/>
          <w:color w:val="54565B"/>
        </w:rPr>
      </w:pPr>
    </w:p>
    <w:p>
      <w:pPr>
        <w:ind w:left="174"/>
        <w:spacing w:after="0"/>
        <w:rPr>
          <w:rFonts w:ascii="Arial" w:cs="Arial" w:eastAsia="Arial" w:hAnsi="Arial"/>
          <w:sz w:val="16"/>
          <w:szCs w:val="16"/>
          <w:color w:val="54565B"/>
        </w:rPr>
      </w:pPr>
      <w:r>
        <w:rPr>
          <w:rFonts w:ascii="Arial" w:cs="Arial" w:eastAsia="Arial" w:hAnsi="Arial"/>
          <w:sz w:val="16"/>
          <w:szCs w:val="16"/>
          <w:color w:val="54565B"/>
        </w:rPr>
        <w:t>artificial intelligence, social and environmental risks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319405</wp:posOffset>
            </wp:positionV>
            <wp:extent cx="3188970" cy="9347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88970" cy="9347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60" w:space="686"/>
            <w:col w:w="6114"/>
          </w:cols>
          <w:pgMar w:left="1240" w:top="114"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240" w:type="dxa"/>
        <w:tblCellMar>
          <w:top w:w="0" w:type="dxa"/>
          <w:left w:w="0" w:type="dxa"/>
          <w:bottom w:w="0" w:type="dxa"/>
          <w:right w:w="0" w:type="dxa"/>
        </w:tblCellMar>
      </w:tblPr>
      <w:tr>
        <w:trPr>
          <w:trHeight w:val="190"/>
        </w:trPr>
        <w:tc>
          <w:tcPr>
            <w:tcW w:w="940" w:type="dxa"/>
            <w:vAlign w:val="bottom"/>
          </w:tcPr>
          <w:p>
            <w:pPr>
              <w:spacing w:after="0"/>
              <w:rPr>
                <w:sz w:val="20"/>
                <w:szCs w:val="20"/>
                <w:color w:val="auto"/>
              </w:rPr>
            </w:pPr>
            <w:r>
              <w:rPr>
                <w:rFonts w:ascii="Arial" w:cs="Arial" w:eastAsia="Arial" w:hAnsi="Arial"/>
                <w:sz w:val="14"/>
                <w:szCs w:val="14"/>
                <w:color w:val="54565B"/>
              </w:rPr>
              <w:t xml:space="preserve">  </w:t>
            </w:r>
          </w:p>
        </w:tc>
        <w:tc>
          <w:tcPr>
            <w:tcW w:w="1780" w:type="dxa"/>
            <w:vAlign w:val="bottom"/>
            <w:vMerge w:val="restart"/>
          </w:tcPr>
          <w:p>
            <w:pPr>
              <w:ind w:left="860"/>
              <w:spacing w:after="0"/>
              <w:rPr>
                <w:sz w:val="20"/>
                <w:szCs w:val="20"/>
                <w:color w:val="auto"/>
              </w:rPr>
            </w:pPr>
            <w:r>
              <w:rPr>
                <w:rFonts w:ascii="Arial" w:cs="Arial" w:eastAsia="Arial" w:hAnsi="Arial"/>
                <w:sz w:val="14"/>
                <w:szCs w:val="14"/>
                <w:color w:val="54565B"/>
              </w:rPr>
              <w:t xml:space="preserve">  </w:t>
            </w:r>
          </w:p>
        </w:tc>
        <w:tc>
          <w:tcPr>
            <w:tcW w:w="1760" w:type="dxa"/>
            <w:vAlign w:val="bottom"/>
            <w:vMerge w:val="restart"/>
          </w:tcPr>
          <w:p>
            <w:pPr>
              <w:ind w:left="860"/>
              <w:spacing w:after="0"/>
              <w:rPr>
                <w:sz w:val="20"/>
                <w:szCs w:val="20"/>
                <w:color w:val="auto"/>
              </w:rPr>
            </w:pPr>
            <w:r>
              <w:rPr>
                <w:rFonts w:ascii="Arial" w:cs="Arial" w:eastAsia="Arial" w:hAnsi="Arial"/>
                <w:sz w:val="14"/>
                <w:szCs w:val="14"/>
                <w:color w:val="54565B"/>
              </w:rPr>
              <w:t> </w:t>
            </w:r>
          </w:p>
        </w:tc>
        <w:tc>
          <w:tcPr>
            <w:tcW w:w="920" w:type="dxa"/>
            <w:vAlign w:val="bottom"/>
            <w:vMerge w:val="restart"/>
          </w:tcPr>
          <w:p>
            <w:pPr>
              <w:ind w:left="880"/>
              <w:spacing w:after="0"/>
              <w:rPr>
                <w:sz w:val="20"/>
                <w:szCs w:val="20"/>
                <w:color w:val="auto"/>
              </w:rPr>
            </w:pPr>
            <w:r>
              <w:rPr>
                <w:rFonts w:ascii="Arial" w:cs="Arial" w:eastAsia="Arial" w:hAnsi="Arial"/>
                <w:sz w:val="13"/>
                <w:szCs w:val="13"/>
                <w:color w:val="54565B"/>
                <w:w w:val="75"/>
              </w:rPr>
              <w:t> </w:t>
            </w:r>
          </w:p>
        </w:tc>
        <w:tc>
          <w:tcPr>
            <w:tcW w:w="0" w:type="dxa"/>
            <w:vAlign w:val="bottom"/>
          </w:tcPr>
          <w:p>
            <w:pPr>
              <w:spacing w:after="0"/>
              <w:rPr>
                <w:sz w:val="1"/>
                <w:szCs w:val="1"/>
                <w:color w:val="auto"/>
              </w:rPr>
            </w:pPr>
          </w:p>
        </w:tc>
      </w:tr>
      <w:tr>
        <w:trPr>
          <w:trHeight w:val="95"/>
        </w:trPr>
        <w:tc>
          <w:tcPr>
            <w:tcW w:w="94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59664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26 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32"/>
          <w:szCs w:val="32"/>
          <w:color w:val="0B3C61"/>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1920240" cy="1945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20240" cy="194564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Arial" w:cs="Arial" w:eastAsia="Arial" w:hAnsi="Arial"/>
          <w:sz w:val="25"/>
          <w:szCs w:val="25"/>
          <w:color w:val="0B3C61"/>
        </w:rPr>
        <w:t>Members:</w:t>
      </w:r>
    </w:p>
    <w:p>
      <w:pPr>
        <w:spacing w:after="0" w:line="180" w:lineRule="exact"/>
        <w:rPr>
          <w:sz w:val="20"/>
          <w:szCs w:val="20"/>
          <w:color w:val="auto"/>
        </w:rPr>
      </w:pPr>
    </w:p>
    <w:p>
      <w:pPr>
        <w:ind w:left="660" w:right="106"/>
        <w:spacing w:after="0" w:line="266" w:lineRule="auto"/>
        <w:rPr>
          <w:sz w:val="20"/>
          <w:szCs w:val="20"/>
          <w:color w:val="auto"/>
        </w:rPr>
      </w:pPr>
      <w:r>
        <w:rPr>
          <w:rFonts w:ascii="Arial" w:cs="Arial" w:eastAsia="Arial" w:hAnsi="Arial"/>
          <w:sz w:val="16"/>
          <w:szCs w:val="16"/>
          <w:color w:val="0B3C61"/>
        </w:rPr>
        <w:t>Mary Beth Martin (Chair) Amy Y. Murray William W. Verity</w:t>
      </w: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40"/>
          <w:szCs w:val="40"/>
          <w:color w:val="EA1D2D"/>
        </w:rPr>
        <w:t>5</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6"/>
          <w:szCs w:val="16"/>
          <w:color w:val="0B3C61"/>
        </w:rPr>
        <w:t>Meetings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586740</wp:posOffset>
            </wp:positionV>
            <wp:extent cx="840105" cy="8401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40105" cy="8401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both"/>
        <w:ind w:left="174" w:right="80" w:hanging="174"/>
        <w:spacing w:after="0" w:line="253" w:lineRule="auto"/>
        <w:tabs>
          <w:tab w:leader="none" w:pos="174" w:val="left"/>
        </w:tabs>
        <w:numPr>
          <w:ilvl w:val="0"/>
          <w:numId w:val="11"/>
        </w:numPr>
        <w:rPr>
          <w:rFonts w:ascii="Arial" w:cs="Arial" w:eastAsia="Arial" w:hAnsi="Arial"/>
          <w:sz w:val="16"/>
          <w:szCs w:val="16"/>
          <w:color w:val="54565B"/>
        </w:rPr>
      </w:pPr>
      <w:r>
        <w:rPr>
          <w:rFonts w:ascii="Arial" w:cs="Arial" w:eastAsia="Arial" w:hAnsi="Arial"/>
          <w:sz w:val="16"/>
          <w:szCs w:val="16"/>
          <w:color w:val="54565B"/>
        </w:rPr>
        <w:t>Designs AFG’s executive compensation program to align with the Company’s pay-for-performance compensation philosophy and monitors the program’s adherence to that philosophy.</w:t>
      </w:r>
    </w:p>
    <w:p>
      <w:pPr>
        <w:spacing w:after="0" w:line="1" w:lineRule="exact"/>
        <w:rPr>
          <w:rFonts w:ascii="Arial" w:cs="Arial" w:eastAsia="Arial" w:hAnsi="Arial"/>
          <w:sz w:val="16"/>
          <w:szCs w:val="16"/>
          <w:color w:val="54565B"/>
        </w:rPr>
      </w:pPr>
    </w:p>
    <w:p>
      <w:pPr>
        <w:ind w:left="174" w:right="300" w:hanging="174"/>
        <w:spacing w:after="0" w:line="246" w:lineRule="auto"/>
        <w:tabs>
          <w:tab w:leader="none" w:pos="174" w:val="left"/>
        </w:tabs>
        <w:numPr>
          <w:ilvl w:val="0"/>
          <w:numId w:val="11"/>
        </w:numPr>
        <w:rPr>
          <w:rFonts w:ascii="Arial" w:cs="Arial" w:eastAsia="Arial" w:hAnsi="Arial"/>
          <w:sz w:val="16"/>
          <w:szCs w:val="16"/>
          <w:color w:val="54565B"/>
        </w:rPr>
      </w:pPr>
      <w:r>
        <w:rPr>
          <w:rFonts w:ascii="Arial" w:cs="Arial" w:eastAsia="Arial" w:hAnsi="Arial"/>
          <w:sz w:val="16"/>
          <w:szCs w:val="16"/>
          <w:color w:val="54565B"/>
        </w:rPr>
        <w:t>Ensures that the total compensation paid to the named executive officers is fair, reasonable and competitive.</w:t>
      </w:r>
    </w:p>
    <w:p>
      <w:pPr>
        <w:ind w:left="174" w:right="320" w:hanging="174"/>
        <w:spacing w:after="0" w:line="246" w:lineRule="auto"/>
        <w:tabs>
          <w:tab w:leader="none" w:pos="174" w:val="left"/>
        </w:tabs>
        <w:numPr>
          <w:ilvl w:val="0"/>
          <w:numId w:val="11"/>
        </w:numPr>
        <w:rPr>
          <w:rFonts w:ascii="Arial" w:cs="Arial" w:eastAsia="Arial" w:hAnsi="Arial"/>
          <w:sz w:val="16"/>
          <w:szCs w:val="16"/>
          <w:color w:val="54565B"/>
        </w:rPr>
      </w:pPr>
      <w:r>
        <w:rPr>
          <w:rFonts w:ascii="Arial" w:cs="Arial" w:eastAsia="Arial" w:hAnsi="Arial"/>
          <w:sz w:val="16"/>
          <w:szCs w:val="16"/>
          <w:color w:val="54565B"/>
        </w:rPr>
        <w:t>Oversees the Company’s stock incentive plans, incentive plans covering senior executive officers and deferred compensation plans.</w:t>
      </w:r>
    </w:p>
    <w:p>
      <w:pPr>
        <w:ind w:left="174" w:right="40" w:hanging="174"/>
        <w:spacing w:after="0" w:line="246" w:lineRule="auto"/>
        <w:tabs>
          <w:tab w:leader="none" w:pos="174" w:val="left"/>
        </w:tabs>
        <w:numPr>
          <w:ilvl w:val="0"/>
          <w:numId w:val="11"/>
        </w:numPr>
        <w:rPr>
          <w:rFonts w:ascii="Arial" w:cs="Arial" w:eastAsia="Arial" w:hAnsi="Arial"/>
          <w:sz w:val="16"/>
          <w:szCs w:val="16"/>
          <w:color w:val="54565B"/>
        </w:rPr>
      </w:pPr>
      <w:r>
        <w:rPr>
          <w:rFonts w:ascii="Arial" w:cs="Arial" w:eastAsia="Arial" w:hAnsi="Arial"/>
          <w:sz w:val="16"/>
          <w:szCs w:val="16"/>
          <w:color w:val="54565B"/>
        </w:rPr>
        <w:t>Reviews and approves the executive compensation program and corporate goals and objectives relevant to CEO compensation, evaluates CEO performance in light of those goals and objectives, and determines and approves CEO compensation level(s) based on this evaluation.</w:t>
      </w:r>
    </w:p>
    <w:p>
      <w:pPr>
        <w:spacing w:after="0" w:line="1" w:lineRule="exact"/>
        <w:rPr>
          <w:rFonts w:ascii="Arial" w:cs="Arial" w:eastAsia="Arial" w:hAnsi="Arial"/>
          <w:sz w:val="16"/>
          <w:szCs w:val="16"/>
          <w:color w:val="54565B"/>
        </w:rPr>
      </w:pPr>
    </w:p>
    <w:p>
      <w:pPr>
        <w:ind w:left="174" w:right="120" w:hanging="174"/>
        <w:spacing w:after="0" w:line="246" w:lineRule="auto"/>
        <w:tabs>
          <w:tab w:leader="none" w:pos="174" w:val="left"/>
        </w:tabs>
        <w:numPr>
          <w:ilvl w:val="0"/>
          <w:numId w:val="11"/>
        </w:numPr>
        <w:rPr>
          <w:rFonts w:ascii="Arial" w:cs="Arial" w:eastAsia="Arial" w:hAnsi="Arial"/>
          <w:sz w:val="16"/>
          <w:szCs w:val="16"/>
          <w:color w:val="54565B"/>
        </w:rPr>
      </w:pPr>
      <w:r>
        <w:rPr>
          <w:rFonts w:ascii="Arial" w:cs="Arial" w:eastAsia="Arial" w:hAnsi="Arial"/>
          <w:sz w:val="16"/>
          <w:szCs w:val="16"/>
          <w:color w:val="54565B"/>
        </w:rPr>
        <w:t>Has the sole authority to retain or obtain the advice of a compensation consultant, outside legal counsel and any other advisors for assistance in carrying out its responsibilities.</w:t>
      </w:r>
    </w:p>
    <w:p>
      <w:pPr>
        <w:spacing w:after="0" w:line="1" w:lineRule="exact"/>
        <w:rPr>
          <w:rFonts w:ascii="Arial" w:cs="Arial" w:eastAsia="Arial" w:hAnsi="Arial"/>
          <w:sz w:val="16"/>
          <w:szCs w:val="16"/>
          <w:color w:val="54565B"/>
        </w:rPr>
      </w:pPr>
    </w:p>
    <w:p>
      <w:pPr>
        <w:ind w:left="174" w:hanging="174"/>
        <w:spacing w:after="0"/>
        <w:tabs>
          <w:tab w:leader="none" w:pos="174" w:val="left"/>
        </w:tabs>
        <w:numPr>
          <w:ilvl w:val="0"/>
          <w:numId w:val="11"/>
        </w:numPr>
        <w:rPr>
          <w:rFonts w:ascii="Arial" w:cs="Arial" w:eastAsia="Arial" w:hAnsi="Arial"/>
          <w:sz w:val="16"/>
          <w:szCs w:val="16"/>
          <w:color w:val="54565B"/>
        </w:rPr>
      </w:pPr>
      <w:r>
        <w:rPr>
          <w:rFonts w:ascii="Arial" w:cs="Arial" w:eastAsia="Arial" w:hAnsi="Arial"/>
          <w:sz w:val="16"/>
          <w:szCs w:val="16"/>
          <w:color w:val="54565B"/>
        </w:rPr>
        <w:t>Oversees the Company’s Executive Officer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456565</wp:posOffset>
            </wp:positionV>
            <wp:extent cx="2280285" cy="8655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280285" cy="8655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6" w:space="720"/>
            <w:col w:w="6154"/>
          </w:cols>
          <w:pgMar w:left="1240" w:top="114"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460"/>
        <w:spacing w:after="0"/>
        <w:tabs>
          <w:tab w:leader="none" w:pos="3680" w:val="left"/>
          <w:tab w:leader="none" w:pos="5900" w:val="left"/>
        </w:tabs>
        <w:rPr>
          <w:sz w:val="20"/>
          <w:szCs w:val="20"/>
          <w:color w:val="auto"/>
        </w:rPr>
      </w:pPr>
      <w:r>
        <w:rPr>
          <w:rFonts w:ascii="Arial" w:cs="Arial" w:eastAsia="Arial" w:hAnsi="Arial"/>
          <w:sz w:val="29"/>
          <w:szCs w:val="29"/>
          <w:color w:val="54565B"/>
          <w:vertAlign w:val="superscript"/>
        </w:rPr>
        <w:t> </w:t>
      </w:r>
      <w:r>
        <w:rPr>
          <w:sz w:val="20"/>
          <w:szCs w:val="20"/>
          <w:color w:val="auto"/>
        </w:rPr>
        <w:tab/>
      </w:r>
      <w:r>
        <w:rPr>
          <w:rFonts w:ascii="Arial" w:cs="Arial" w:eastAsia="Arial" w:hAnsi="Arial"/>
          <w:sz w:val="14"/>
          <w:szCs w:val="14"/>
          <w:color w:val="54565B"/>
        </w:rPr>
        <w:t> </w:t>
      </w:r>
      <w:r>
        <w:rPr>
          <w:sz w:val="20"/>
          <w:szCs w:val="20"/>
          <w:color w:val="auto"/>
        </w:rPr>
        <w:tab/>
      </w:r>
      <w:r>
        <w:rPr>
          <w:rFonts w:ascii="Arial" w:cs="Arial" w:eastAsia="Arial" w:hAnsi="Arial"/>
          <w:sz w:val="14"/>
          <w:szCs w:val="14"/>
          <w:color w:val="54565B"/>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wp:posOffset>
            </wp:positionV>
            <wp:extent cx="59664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13"/>
          <w:szCs w:val="13"/>
          <w:color w:val="0B3C61"/>
        </w:rPr>
        <w:t xml:space="preserve">2026 Proxy Statement | American Financial Group   </w:t>
      </w:r>
      <w:r>
        <w:rPr>
          <w:rFonts w:ascii="Arial" w:cs="Arial" w:eastAsia="Arial" w:hAnsi="Arial"/>
          <w:sz w:val="13"/>
          <w:szCs w:val="13"/>
          <w:b w:val="1"/>
          <w:bCs w:val="1"/>
          <w:color w:val="EA1D2D"/>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32"/>
          <w:szCs w:val="32"/>
          <w:color w:val="0B3C61"/>
        </w:rPr>
        <w:t>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1920240" cy="21342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20240" cy="213423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Arial" w:cs="Arial" w:eastAsia="Arial" w:hAnsi="Arial"/>
          <w:sz w:val="25"/>
          <w:szCs w:val="25"/>
          <w:color w:val="0B3C61"/>
        </w:rPr>
        <w:t>Members:</w:t>
      </w:r>
    </w:p>
    <w:p>
      <w:pPr>
        <w:spacing w:after="0" w:line="180" w:lineRule="exact"/>
        <w:rPr>
          <w:sz w:val="20"/>
          <w:szCs w:val="20"/>
          <w:color w:val="auto"/>
        </w:rPr>
      </w:pPr>
    </w:p>
    <w:p>
      <w:pPr>
        <w:ind w:left="660" w:right="126"/>
        <w:spacing w:after="0" w:line="282" w:lineRule="auto"/>
        <w:rPr>
          <w:sz w:val="20"/>
          <w:szCs w:val="20"/>
          <w:color w:val="auto"/>
        </w:rPr>
      </w:pPr>
      <w:r>
        <w:rPr>
          <w:rFonts w:ascii="Arial" w:cs="Arial" w:eastAsia="Arial" w:hAnsi="Arial"/>
          <w:sz w:val="15"/>
          <w:szCs w:val="15"/>
          <w:color w:val="0B3C61"/>
        </w:rPr>
        <w:t>William W. Verity (Chair) Mary Beth Martin Evans N. Nwankwo John I. Von Lehman</w:t>
      </w:r>
    </w:p>
    <w:p>
      <w:pPr>
        <w:spacing w:after="0" w:line="200" w:lineRule="exact"/>
        <w:rPr>
          <w:sz w:val="20"/>
          <w:szCs w:val="20"/>
          <w:color w:val="auto"/>
        </w:rPr>
      </w:pPr>
    </w:p>
    <w:p>
      <w:pPr>
        <w:spacing w:after="0" w:line="308" w:lineRule="exact"/>
        <w:rPr>
          <w:sz w:val="20"/>
          <w:szCs w:val="20"/>
          <w:color w:val="auto"/>
        </w:rPr>
      </w:pPr>
    </w:p>
    <w:p>
      <w:pPr>
        <w:ind w:left="660"/>
        <w:spacing w:after="0"/>
        <w:rPr>
          <w:sz w:val="20"/>
          <w:szCs w:val="20"/>
          <w:color w:val="auto"/>
        </w:rPr>
      </w:pPr>
      <w:r>
        <w:rPr>
          <w:rFonts w:ascii="Arial" w:cs="Arial" w:eastAsia="Arial" w:hAnsi="Arial"/>
          <w:sz w:val="40"/>
          <w:szCs w:val="40"/>
          <w:color w:val="EA1D2D"/>
        </w:rPr>
        <w:t>4</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6"/>
          <w:szCs w:val="16"/>
          <w:color w:val="0B3C61"/>
        </w:rPr>
        <w:t>Meetings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586740</wp:posOffset>
            </wp:positionV>
            <wp:extent cx="857250" cy="8572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174" w:right="20" w:hanging="174"/>
        <w:spacing w:after="0" w:line="256" w:lineRule="auto"/>
        <w:tabs>
          <w:tab w:leader="none" w:pos="174" w:val="left"/>
        </w:tabs>
        <w:numPr>
          <w:ilvl w:val="0"/>
          <w:numId w:val="12"/>
        </w:numPr>
        <w:rPr>
          <w:rFonts w:ascii="Arial" w:cs="Arial" w:eastAsia="Arial" w:hAnsi="Arial"/>
          <w:sz w:val="16"/>
          <w:szCs w:val="16"/>
          <w:color w:val="54565B"/>
        </w:rPr>
      </w:pPr>
      <w:r>
        <w:rPr>
          <w:rFonts w:ascii="Arial" w:cs="Arial" w:eastAsia="Arial" w:hAnsi="Arial"/>
          <w:sz w:val="16"/>
          <w:szCs w:val="16"/>
          <w:color w:val="54565B"/>
        </w:rPr>
        <w:t>Oversees Board succession planning, including establishing criteria for selecting new directors and identifying individuals qualified to be Board members as needed.</w:t>
      </w:r>
    </w:p>
    <w:p>
      <w:pPr>
        <w:spacing w:after="0" w:line="1" w:lineRule="exact"/>
        <w:rPr>
          <w:rFonts w:ascii="Arial" w:cs="Arial" w:eastAsia="Arial" w:hAnsi="Arial"/>
          <w:sz w:val="16"/>
          <w:szCs w:val="16"/>
          <w:color w:val="54565B"/>
        </w:rPr>
      </w:pPr>
    </w:p>
    <w:p>
      <w:pPr>
        <w:ind w:left="174" w:right="160" w:hanging="174"/>
        <w:spacing w:after="0" w:line="246" w:lineRule="auto"/>
        <w:tabs>
          <w:tab w:leader="none" w:pos="174" w:val="left"/>
        </w:tabs>
        <w:numPr>
          <w:ilvl w:val="0"/>
          <w:numId w:val="12"/>
        </w:numPr>
        <w:rPr>
          <w:rFonts w:ascii="Arial" w:cs="Arial" w:eastAsia="Arial" w:hAnsi="Arial"/>
          <w:sz w:val="16"/>
          <w:szCs w:val="16"/>
          <w:color w:val="54565B"/>
        </w:rPr>
      </w:pPr>
      <w:r>
        <w:rPr>
          <w:rFonts w:ascii="Arial" w:cs="Arial" w:eastAsia="Arial" w:hAnsi="Arial"/>
          <w:sz w:val="16"/>
          <w:szCs w:val="16"/>
          <w:color w:val="54565B"/>
        </w:rPr>
        <w:t>Recommends director nominees for the next annual meeting of shareholders, the appointment and removal of members of the Board committees and the amount and form of compensation to non-management directors.</w:t>
      </w:r>
    </w:p>
    <w:p>
      <w:pPr>
        <w:spacing w:after="0" w:line="1" w:lineRule="exact"/>
        <w:rPr>
          <w:rFonts w:ascii="Arial" w:cs="Arial" w:eastAsia="Arial" w:hAnsi="Arial"/>
          <w:sz w:val="16"/>
          <w:szCs w:val="16"/>
          <w:color w:val="54565B"/>
        </w:rPr>
      </w:pPr>
    </w:p>
    <w:p>
      <w:pPr>
        <w:ind w:left="174" w:right="380" w:hanging="174"/>
        <w:spacing w:after="0" w:line="246" w:lineRule="auto"/>
        <w:tabs>
          <w:tab w:leader="none" w:pos="174" w:val="left"/>
        </w:tabs>
        <w:numPr>
          <w:ilvl w:val="0"/>
          <w:numId w:val="12"/>
        </w:numPr>
        <w:rPr>
          <w:rFonts w:ascii="Arial" w:cs="Arial" w:eastAsia="Arial" w:hAnsi="Arial"/>
          <w:sz w:val="16"/>
          <w:szCs w:val="16"/>
          <w:color w:val="54565B"/>
        </w:rPr>
      </w:pPr>
      <w:r>
        <w:rPr>
          <w:rFonts w:ascii="Arial" w:cs="Arial" w:eastAsia="Arial" w:hAnsi="Arial"/>
          <w:sz w:val="16"/>
          <w:szCs w:val="16"/>
          <w:color w:val="54565B"/>
        </w:rPr>
        <w:t>Reviews the reporting structure, operations and charters for each of the Board committees and recommends changes to the full Board.</w:t>
      </w:r>
    </w:p>
    <w:p>
      <w:pPr>
        <w:ind w:left="174" w:right="240" w:hanging="174"/>
        <w:spacing w:after="0" w:line="246" w:lineRule="auto"/>
        <w:tabs>
          <w:tab w:leader="none" w:pos="174" w:val="left"/>
        </w:tabs>
        <w:numPr>
          <w:ilvl w:val="0"/>
          <w:numId w:val="12"/>
        </w:numPr>
        <w:rPr>
          <w:rFonts w:ascii="Arial" w:cs="Arial" w:eastAsia="Arial" w:hAnsi="Arial"/>
          <w:sz w:val="16"/>
          <w:szCs w:val="16"/>
          <w:color w:val="54565B"/>
        </w:rPr>
      </w:pPr>
      <w:r>
        <w:rPr>
          <w:rFonts w:ascii="Arial" w:cs="Arial" w:eastAsia="Arial" w:hAnsi="Arial"/>
          <w:sz w:val="16"/>
          <w:szCs w:val="16"/>
          <w:color w:val="54565B"/>
        </w:rPr>
        <w:t>Develops, recommends to the full Board and oversees an annual self-evaluation process of the Board and its committees.</w:t>
      </w:r>
    </w:p>
    <w:p>
      <w:pPr>
        <w:ind w:left="174" w:right="260" w:hanging="174"/>
        <w:spacing w:after="0" w:line="246" w:lineRule="auto"/>
        <w:tabs>
          <w:tab w:leader="none" w:pos="174" w:val="left"/>
        </w:tabs>
        <w:numPr>
          <w:ilvl w:val="0"/>
          <w:numId w:val="12"/>
        </w:numPr>
        <w:rPr>
          <w:rFonts w:ascii="Arial" w:cs="Arial" w:eastAsia="Arial" w:hAnsi="Arial"/>
          <w:sz w:val="16"/>
          <w:szCs w:val="16"/>
          <w:color w:val="54565B"/>
        </w:rPr>
      </w:pPr>
      <w:r>
        <w:rPr>
          <w:rFonts w:ascii="Arial" w:cs="Arial" w:eastAsia="Arial" w:hAnsi="Arial"/>
          <w:sz w:val="16"/>
          <w:szCs w:val="16"/>
          <w:color w:val="54565B"/>
        </w:rPr>
        <w:t>Advises the Board in connection with succession planning for the Co-CEOs and other key executives.</w:t>
      </w:r>
    </w:p>
    <w:p>
      <w:pPr>
        <w:jc w:val="both"/>
        <w:ind w:left="174" w:right="80" w:hanging="174"/>
        <w:spacing w:after="0" w:line="246" w:lineRule="auto"/>
        <w:tabs>
          <w:tab w:leader="none" w:pos="174" w:val="left"/>
        </w:tabs>
        <w:numPr>
          <w:ilvl w:val="0"/>
          <w:numId w:val="12"/>
        </w:numPr>
        <w:rPr>
          <w:rFonts w:ascii="Arial" w:cs="Arial" w:eastAsia="Arial" w:hAnsi="Arial"/>
          <w:sz w:val="16"/>
          <w:szCs w:val="16"/>
          <w:color w:val="54565B"/>
        </w:rPr>
      </w:pPr>
      <w:r>
        <w:rPr>
          <w:rFonts w:ascii="Arial" w:cs="Arial" w:eastAsia="Arial" w:hAnsi="Arial"/>
          <w:sz w:val="16"/>
          <w:szCs w:val="16"/>
          <w:color w:val="54565B"/>
        </w:rPr>
        <w:t>Advises the Board with respect to stewardship and sustainability issues in order to assist in the development and refinement of the Company’s strategies and policies in these areas.</w:t>
      </w:r>
    </w:p>
    <w:p>
      <w:pPr>
        <w:spacing w:after="0" w:line="1" w:lineRule="exact"/>
        <w:rPr>
          <w:rFonts w:ascii="Arial" w:cs="Arial" w:eastAsia="Arial" w:hAnsi="Arial"/>
          <w:sz w:val="16"/>
          <w:szCs w:val="16"/>
          <w:color w:val="54565B"/>
        </w:rPr>
      </w:pPr>
    </w:p>
    <w:p>
      <w:pPr>
        <w:ind w:left="174" w:right="620" w:hanging="174"/>
        <w:spacing w:after="0" w:line="265" w:lineRule="auto"/>
        <w:tabs>
          <w:tab w:leader="none" w:pos="174" w:val="left"/>
        </w:tabs>
        <w:numPr>
          <w:ilvl w:val="0"/>
          <w:numId w:val="12"/>
        </w:numPr>
        <w:rPr>
          <w:rFonts w:ascii="Arial" w:cs="Arial" w:eastAsia="Arial" w:hAnsi="Arial"/>
          <w:sz w:val="16"/>
          <w:szCs w:val="16"/>
          <w:color w:val="54565B"/>
        </w:rPr>
      </w:pPr>
      <w:r>
        <w:rPr>
          <w:rFonts w:ascii="Arial" w:cs="Arial" w:eastAsia="Arial" w:hAnsi="Arial"/>
          <w:sz w:val="16"/>
          <w:szCs w:val="16"/>
          <w:color w:val="54565B"/>
        </w:rPr>
        <w:t>Conducts and facilitates Board and Committee succession and recruitment activities, both in and outside of regular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503555</wp:posOffset>
            </wp:positionV>
            <wp:extent cx="3180080" cy="8655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180080" cy="8655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6" w:space="720"/>
            <w:col w:w="6154"/>
          </w:cols>
          <w:pgMar w:left="1240" w:top="114"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120"/>
        <w:spacing w:after="0"/>
        <w:tabs>
          <w:tab w:leader="none" w:pos="2920" w:val="left"/>
          <w:tab w:leader="none" w:pos="4780" w:val="left"/>
          <w:tab w:leader="none" w:pos="6620" w:val="left"/>
        </w:tabs>
        <w:rPr>
          <w:sz w:val="20"/>
          <w:szCs w:val="20"/>
          <w:color w:val="auto"/>
        </w:rPr>
      </w:pPr>
      <w:r>
        <w:rPr>
          <w:rFonts w:ascii="Arial" w:cs="Arial" w:eastAsia="Arial" w:hAnsi="Arial"/>
          <w:sz w:val="29"/>
          <w:szCs w:val="29"/>
          <w:color w:val="54565B"/>
          <w:vertAlign w:val="subscript"/>
        </w:rPr>
        <w:t> </w:t>
      </w:r>
      <w:r>
        <w:rPr>
          <w:sz w:val="20"/>
          <w:szCs w:val="20"/>
          <w:color w:val="auto"/>
        </w:rPr>
        <w:tab/>
      </w:r>
      <w:r>
        <w:rPr>
          <w:rFonts w:ascii="Arial" w:cs="Arial" w:eastAsia="Arial" w:hAnsi="Arial"/>
          <w:sz w:val="14"/>
          <w:szCs w:val="14"/>
          <w:color w:val="54565B"/>
        </w:rPr>
        <w:t> </w:t>
      </w:r>
      <w:r>
        <w:rPr>
          <w:sz w:val="20"/>
          <w:szCs w:val="20"/>
          <w:color w:val="auto"/>
        </w:rPr>
        <w:tab/>
      </w:r>
      <w:r>
        <w:rPr>
          <w:rFonts w:ascii="Arial" w:cs="Arial" w:eastAsia="Arial" w:hAnsi="Arial"/>
          <w:sz w:val="29"/>
          <w:szCs w:val="29"/>
          <w:color w:val="54565B"/>
          <w:vertAlign w:val="subscript"/>
        </w:rPr>
        <w:t> </w:t>
      </w:r>
      <w:r>
        <w:rPr>
          <w:sz w:val="20"/>
          <w:szCs w:val="20"/>
          <w:color w:val="auto"/>
        </w:rPr>
        <w:tab/>
      </w:r>
      <w:r>
        <w:rPr>
          <w:rFonts w:ascii="Arial" w:cs="Arial" w:eastAsia="Arial" w:hAnsi="Arial"/>
          <w:sz w:val="14"/>
          <w:szCs w:val="14"/>
          <w:color w:val="54565B"/>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59664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color w:val="0B3C61"/>
        </w:rPr>
        <w:t>AUDIT COMMITTEE REPORT</w:t>
      </w:r>
    </w:p>
    <w:p>
      <w:pPr>
        <w:spacing w:after="0" w:line="97" w:lineRule="exact"/>
        <w:rPr>
          <w:sz w:val="20"/>
          <w:szCs w:val="20"/>
          <w:color w:val="auto"/>
        </w:rPr>
      </w:pPr>
    </w:p>
    <w:p>
      <w:pPr>
        <w:spacing w:after="0" w:line="253" w:lineRule="auto"/>
        <w:rPr>
          <w:sz w:val="20"/>
          <w:szCs w:val="20"/>
          <w:color w:val="auto"/>
        </w:rPr>
      </w:pPr>
      <w:r>
        <w:rPr>
          <w:rFonts w:ascii="Arial" w:cs="Arial" w:eastAsia="Arial" w:hAnsi="Arial"/>
          <w:sz w:val="16"/>
          <w:szCs w:val="16"/>
          <w:color w:val="54565B"/>
        </w:rPr>
        <w:t>In accordance with the Audit Committee’s charter, which it reviews annually, the Audit Committee oversees the Company’s financial reporting process on behalf of the Board of Directors. The Company’s management has the primary responsibility for the financial statements, for maintaining effective internal control over financial reporting, and for assessing the effectiveness of internal control over financial reporting. In fulfilling its oversight responsibilities, the Committee reviewed and discussed the audited consolidated financial statements and the related schedules in the Annual Report on Form 10-K with Company management, including a discussion of the quality, not just the acceptability, of the accounting principles; the reasonableness of significant judgments; and the clarity of disclosures in the financial statements, among other matters.</w:t>
      </w:r>
    </w:p>
    <w:p>
      <w:pPr>
        <w:spacing w:after="0" w:line="46"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54565B"/>
        </w:rPr>
        <w:t>The Committee is comprised solely of independent directors as defined by the NYSE listing standards and Rule 10A-3 of the Securities Exchange Act of 1934 (“Exchange Act”).</w:t>
      </w:r>
    </w:p>
    <w:p>
      <w:pPr>
        <w:spacing w:after="0" w:line="34"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54565B"/>
        </w:rPr>
        <w:t>The members of the Committee are Gregory G. Joseph (Chairperson), Amy Y. Murray, Roger K. Newport and John I. Von Lehman. The Board has determined that two of the Audit Committee’s members, Mr. Newport and Mr. Von Lehman, are each considered to be an “audit committee financial expert” as defined under SEC rules.</w:t>
      </w:r>
    </w:p>
    <w:p>
      <w:pPr>
        <w:spacing w:after="0" w:line="50"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54565B"/>
        </w:rPr>
        <w:t>The meetings of the Committee are designed to facilitate and encourage communication among the Committee, the Company’s management, the Company’s internal audit function and the Company’s independent auditor. The Audit Committee schedules its meetings with a view to ensuring that it devotes appropriate attention to all of its tasks. These meetings include, whenever appropriate, executive sessions in which the Audit Committee meets separately with the independent auditors, internal auditors and management personnel.</w:t>
      </w: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28 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54565B"/>
        </w:rPr>
        <w:t>In addition, the Audit Committee reviews key initiatives and programs aimed at maintaining the effectiveness of the Company’s internal control over financial reporting. Together with senior members of the Company’s management team, the Audit Committee reviews the plans of the internal auditors, the results of internal audit examinations and evaluations by management and the Company’s independent auditors of the Company’s internal control over financial reporting and the quality of the Company’s financial reporting. As part of this process, the Audit Committee monitors the scope and adequacy of the Company’s internal auditing program, including reviewing internal audit department staffing levels and steps taken to maintain the effectiveness of internal procedures and controls.</w:t>
      </w:r>
    </w:p>
    <w:p>
      <w:pPr>
        <w:spacing w:after="0" w:line="46"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54565B"/>
        </w:rPr>
        <w:t>The Audit Committee recognizes the importance of maintaining the independence of the Company’s independent auditor, both in fact and appearance. Each year, the Committee evaluates the qualifications, performance and independence of the Company’s independent auditor and determines whether to re-engage the current independent auditor. In doing so, the Audit Committee considers a number of factors, including the quality and efficiency of the services provided by the auditors, the auditors’ capabilities and the auditors’ technical expertise. In addition, the Committee has discussed with the independent auditor the firm’s independence from Company management and the Company, including the matters in the letter from the firm required by the Public Company Accounting Oversight Board (United States) (“PCAOB”) Rule 3526, Communication with Audit Committees Concerning Independence, and considered the compatibility of non-audit services with the independent auditor’s independence.</w:t>
      </w:r>
    </w:p>
    <w:p>
      <w:pPr>
        <w:spacing w:after="0" w:line="6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54565B"/>
        </w:rPr>
        <w:t>The Committee reviewed and discussed together with management and the independent auditor the Company’s audited consolidated financial statements for the year ended December 31, 2025, and the results of management’s assessment of the effectiveness of the Company’s internal control over financial reporting and the independent auditor’s audit of internal control over financial reporting. The Committee also reviewed with the independent auditor, which is responsible for expressing an opinion on the conformity of the audited consolidated financial statements and related schedules with US generally accepted accounting principles, its judgments as to the quality, not just the acceptability, of the Company’s accounting principles and such other matters as are required to be discussed with the Committee by the standards of the PCAOB, including PCAOB Auditing Standard No. 1301, Communications With Audit Committees, the rules of the Securities and Exchange Commission, and other applicable regulations.</w:t>
      </w:r>
    </w:p>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54565B"/>
        </w:rPr>
        <w:t>In reliance on the reviews and discussions referred to above, the Committee recommended to the Board of Directors, and the Board has approved, that the audited consolidated financial statements and related schedules and management’s assessment of the effectiveness of the Company’s internal control over financial reporting be included in the Annual Report on Form 10-K for the year ended December 31, 2025, filed by the Company with the Securities and Exchange Commission.</w:t>
      </w:r>
    </w:p>
    <w:p>
      <w:pPr>
        <w:spacing w:after="0" w:line="43"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54565B"/>
        </w:rPr>
        <w:t>This Audit Committee Report does not constitute soliciting material and should not be deemed filed or incorporated by reference into any other Company filings under the Securities Act of 1933, as amended, or the Exchange Act, as amended, except to the extent the Company specifically incorporates this Report by reference therein.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54565B"/>
        </w:rPr>
        <w:t>Members of the Audit Committee: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54565B"/>
        </w:rPr>
        <w:t>Gregory G. Joseph,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54565B"/>
        </w:rPr>
        <w:t>Amy Y. Murray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54565B"/>
        </w:rPr>
        <w:t>Roger K. Newport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54565B"/>
        </w:rPr>
        <w:t>John I. Von Lehman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0B3C61"/>
        </w:rPr>
        <w:t>MAJORITY VOTING FOR DIRECTORS</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54565B"/>
        </w:rPr>
        <w:t>All directors stand for election each year. Directors are elected by a plurality of votes received under Ohio law. However, the Company’s Regulations require that a director who receives a greater number of votes cast against than cast in favor shall continue to serve on the Board pursuant to Ohio law but must tender his or her resignation to the Company’s Board of Directors. In such event, the Corporate Governance Committee will make a recommendation to the Board of Directors on whether to accept or reject the resignation or whether other action should be taken. The Board of Directors will act on the Corporate Governance Committee’s recommendation and publicly disclose its decision and the rationale behind it within 90 days from the date of the certification of the election results. The director who tenders his or her resignation will not participate in the Corporate Governance Committee’s or Board of Directors’ decision.</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0B3C61"/>
        </w:rPr>
        <w:t xml:space="preserve">2026 Proxy Statement | American Financial Group   </w:t>
      </w:r>
      <w:r>
        <w:rPr>
          <w:rFonts w:ascii="Arial" w:cs="Arial" w:eastAsia="Arial" w:hAnsi="Arial"/>
          <w:sz w:val="13"/>
          <w:szCs w:val="13"/>
          <w:b w:val="1"/>
          <w:bCs w:val="1"/>
          <w:color w:val="EA1D2D"/>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0B3C61"/>
        </w:rPr>
        <w:t>DIRECTOR NOMINATION PROCESS AND QUALIFICATIONS OF CANDIDATES</w:t>
      </w:r>
    </w:p>
    <w:p>
      <w:pPr>
        <w:spacing w:after="0" w:line="8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54565B"/>
        </w:rPr>
        <w:t>Our Corporate Governance Guidelines identify criteria considered to evaluate prospective nominees for director. Our Corporate Governance Guidelines are available on the Company’s website at www.AFGinc.com.</w:t>
      </w:r>
    </w:p>
    <w:p>
      <w:pPr>
        <w:spacing w:after="0" w:line="3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54565B"/>
        </w:rPr>
        <w:t>Nominees for director are recommended by the Corporate Governance Committee in accordance with the principles in its charter and the Corporate Governance Guidelines. The Corporate Governance Committee considers suitability for membership on the Board on a case-by-case basis. Although the Committee does not prescribe minimum qualifications or standards for directors, candidates for Board membership should have the highest personal and professional integrity, demonstrated exceptional ability and judgment and availability and willingness to take the time necessary to properly discharge the duties of a director. The Board seeks candidates with a broad range of experiences, qualifications and skills that the Board believes enable each candidate to make a significant contribution to the Board. The Corporate Governance guidelines require that the Board will also consider Board candidates from both corporate positions and non-traditional environments such as government, academia and nonprofit organizations.</w:t>
      </w:r>
    </w:p>
    <w:p>
      <w:pPr>
        <w:spacing w:after="0" w:line="64" w:lineRule="exact"/>
        <w:rPr>
          <w:sz w:val="20"/>
          <w:szCs w:val="20"/>
          <w:color w:val="auto"/>
        </w:rPr>
      </w:pPr>
    </w:p>
    <w:p>
      <w:pPr>
        <w:spacing w:after="0" w:line="254" w:lineRule="auto"/>
        <w:rPr>
          <w:sz w:val="20"/>
          <w:szCs w:val="20"/>
          <w:color w:val="auto"/>
        </w:rPr>
      </w:pPr>
      <w:r>
        <w:rPr>
          <w:rFonts w:ascii="Arial" w:cs="Arial" w:eastAsia="Arial" w:hAnsi="Arial"/>
          <w:sz w:val="16"/>
          <w:szCs w:val="16"/>
          <w:color w:val="54565B"/>
        </w:rPr>
        <w:t xml:space="preserve">The Corporate Governance Committee does not have a policy relating to the consideration of director candidates recommended by shareholders because Ohio law and the Company’s Regulations afford shareholders certain rights related to such matters. The Regulations provide that to be eligible for election at a meeting of shareholders, candidates must be nominated by or at the direction of the Board of Directors or nominated by a shareholder who has complied with the procedures set forth in the Regulations. Procedures that shareholders must follow to nominate a director candidate are set forth on page </w:t>
      </w:r>
      <w:r>
        <w:rPr>
          <w:rFonts w:ascii="Arial" w:cs="Arial" w:eastAsia="Arial" w:hAnsi="Arial"/>
          <w:sz w:val="16"/>
          <w:szCs w:val="16"/>
          <w:u w:val="single" w:color="auto"/>
          <w:color w:val="0000EE"/>
        </w:rPr>
        <w:t>71</w:t>
      </w:r>
      <w:r>
        <w:rPr>
          <w:rFonts w:ascii="Arial" w:cs="Arial" w:eastAsia="Arial" w:hAnsi="Arial"/>
          <w:sz w:val="16"/>
          <w:szCs w:val="16"/>
          <w:color w:val="54565B"/>
        </w:rPr>
        <w:t xml:space="preserve"> under, “Other Matters—Submitting Shareholder Proposals for the 2027 Annual Meeting of Shareholders.”</w:t>
      </w:r>
    </w:p>
    <w:p>
      <w:pPr>
        <w:spacing w:after="0" w:line="4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54565B"/>
        </w:rPr>
        <w:t>The Committee will make its determinations on whether to nominate an individual in the context of the Board as a whole based on the Board’s then-current needs, the merits of each such candidate and the qualifications of other available candidates. The Committee has no obligation to respond to shareholders who propose candidates that it has determined not to nominate for election to the Board, but the Committee may do so in its sole discretion. All director candidates are evaluated similarly whether nominated by the Board or by a shareholder.</w:t>
      </w:r>
    </w:p>
    <w:p>
      <w:pPr>
        <w:spacing w:after="0" w:line="5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54565B"/>
        </w:rPr>
        <w:t>The Corporate Governance Committee did not seek, nor did it receive the recommendation of, any of the director candidates named in this proxy statement from any shareholder, independent director, executive officer or third-party search firm in connection with its own approval of such candidates. The Company has not paid any fee to a third party to assist it in identifying or evaluating nominees.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B3C61"/>
        </w:rPr>
        <w:t>DIRECTOR INDEPENDENCE</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54565B"/>
        </w:rPr>
        <w:t>The Board, upon recommendation from the Corporate Governance Committee, affirmatively determines the independence of each director and nominee for election as a director in accordance with guidelines it has adopted, which guidelines comply with the NYSE listing standards. For a director to be considered independent, the Board must determine affirmatively that a director does not have any material relationship with the Company directly or as a partner, shareholder or officer of an organization that has a relationship with the Company. A material relationship can include, but is not limited to, commercial, industrial, banking, consulting, legal, accounting, charitable and family relationships. Based on these standards, the Board has determined that each of Mmes. Martin and Murray and Messrs. Joseph, Newport, Nwankwo, Verity and Von Lehman, is independent and has no material relationship with the Company, except as a director and shareholder of the Company.</w:t>
      </w:r>
    </w:p>
    <w:p>
      <w:pPr>
        <w:spacing w:after="0" w:line="6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54565B"/>
        </w:rPr>
        <w:t xml:space="preserve">In reaching its independence determinations for 2025, the Committee considered that the Company purchased vehicles from, and had vehicles serviced by, automobile dealerships affiliated with a company of which Mr. Joseph is an executive and part owner. The small amounts involved in these transactions, which were pre-approved by the Audit Committee as transactions with a related party despite not requiring disclosure pursuant to SEC Regulation S-K Item 404, were deemed by AFG’s Board of Directors not to be material. See our policies regarding transactions with related parties as set forth below under, “Review, Approval or Ratification of Transactions with Related Persons” on page </w:t>
      </w:r>
      <w:r>
        <w:rPr>
          <w:rFonts w:ascii="Arial" w:cs="Arial" w:eastAsia="Arial" w:hAnsi="Arial"/>
          <w:sz w:val="16"/>
          <w:szCs w:val="16"/>
          <w:u w:val="single" w:color="auto"/>
          <w:color w:val="0000EE"/>
        </w:rPr>
        <w:t>36</w:t>
      </w:r>
      <w:r>
        <w:rPr>
          <w:rFonts w:ascii="Arial" w:cs="Arial" w:eastAsia="Arial" w:hAnsi="Arial"/>
          <w:sz w:val="16"/>
          <w:szCs w:val="16"/>
          <w:color w:val="54565B"/>
        </w:rPr>
        <w:t>.</w:t>
      </w: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30 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0B3C61"/>
        </w:rPr>
        <w:t>OTHER CORPORATE GOVERNANCE MATTERS, PRACTICES AND PROCEDURES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Risk Oversight</w:t>
      </w:r>
    </w:p>
    <w:p>
      <w:pPr>
        <w:spacing w:after="0" w:line="99"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54565B"/>
        </w:rPr>
        <w:t>The Company believes a role of management, including the named executive officers, is to identify and manage risks confronting the Company. The Board of Directors and its committees play an integral role in the Company’s risk oversight, primarily by reviewing the processes used by management to identify and report risk and monitoring corporate actions to avoid inappropriate levels of risk. The Company’s Enterprise Risk Management (ERM) program is designed to reinforce the way the Company operates its business and reflects its culture, organizational structure, and risks.</w:t>
      </w:r>
    </w:p>
    <w:p>
      <w:pPr>
        <w:spacing w:after="0" w:line="4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54565B"/>
        </w:rPr>
        <w:t>The Co-CEOs have delegated oversight of the ERM process, including risk identification, risk impact, risk limits and mitigation strategies, to an AFG Enterprise Risk Committee (ERC) chaired by AFG’s General Counsel and also consisting of AFG’s Chief Administrative and Chief Human Resources Officer, AFG’s Chief Financial Officer, and Great American Insurance Group’s President and Chief Operating Officer, each of whom directly reports to the Co-CEOs. The ERC has designated an AFG Assistant Vice President as risk officer to oversee the day-to-day operations of the ERM program. The risk officer regularly meets with senior leaders representing significant areas from throughout the organization, including administration, operations, finance, accounting, legal, human resources, investments, information technology and information security, to assess significant risks. The risk officer works with management to identify potential events and trends that may adversely or favorably impact the Company and to manage risks to be within the Company’s risk appetite.</w:t>
      </w:r>
    </w:p>
    <w:p>
      <w:pPr>
        <w:spacing w:after="0" w:line="6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54565B"/>
        </w:rPr>
        <w:t>The ERC, the risk officer, and individual senior leader risk owners regularly monitor the top organizational risks, as well as any other significant or emerging risks that may arise during the year and consider whether to modify existing risks or elevate emerging risks. Assessments of AFG’s significant risks are completed on either a quarterly, semiannual, or annual basis. Any actual or foreseeable potential variances outside of AFG risk targets, even for reasons that are expected or accepted, are discussed with risk owners, risk monitors, and management. Significant changes in our risk profile are reviewed with the ERC and the AFG Audit Committee on a quarterly basis and with the AFG Board of Directors at least annually.</w:t>
      </w:r>
    </w:p>
    <w:p>
      <w:pPr>
        <w:spacing w:after="0" w:line="6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54565B"/>
        </w:rPr>
        <w:t>Also, due to evolving threats to corporate cybersecurity, the Board and Audit Committee receive reports from the Company’s Chief Information Security Officer (CISO) regarding cybersecurity risks and the steps management has taken to monitor and control such risks. Among the many issues discussed with the CISO in 2025 were AI-related matters, including the Company’s AI Governance Program to manage risks and promote the ethical use of AI tools and technology and AFG’s adoption of the National Institute of Standards and Technology (NIST) AI Risk Management Framework to assess and benchmark the Company’s risks. The CISO presents to the Audit Committee at least quarterly and to the Board at least annually to review and discuss the Company’s cybersecurity program.</w:t>
      </w:r>
    </w:p>
    <w:p>
      <w:pPr>
        <w:spacing w:after="0" w:line="46"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54565B"/>
        </w:rPr>
        <w:t>The Company’s leadership structure and overall corporate governance framework is designed to aid the Board in its oversight of management responsibility for risk. The Audit Committee serves a key risk oversight function in carrying out its review of the Company’s financial reporting and internal reporting processes, as required by the Sarbanes-Oxley Act of 2002. Inherently, part of this review involves an evaluation of whether our financial reporting and internal reporting systems are adequately reporting the Company’s exposure to certain risks. In connection with this evaluation, the Audit Committee has, from time to time, considered whether any changes to these processes are necessary or desirable. While it has concluded that no such changes are warranted at this time, the Audit Committee will continue to monitor the Company’s financial reporting and internal reporting processes. In addition, pursuant to its charter, the Audit Committee is responsible for discussing with management the guidelines and policies related to enterprise risk assessment and risk management and assisting the Board of Directors in its oversight of the Company’s enterprise risk management process.</w:t>
      </w:r>
    </w:p>
    <w:p>
      <w:pPr>
        <w:spacing w:after="0" w:line="68"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54565B"/>
        </w:rPr>
        <w:t>As more fully described in the “Compensation Discussion and Analysis” section of this proxy statement, the Compensation Committee takes an active role in overseeing risks relating to AFG’s executive compensation programs, plans and practices. Specifically, the Compensation Committee reviews the risk profile of the components of the executive compensation program, including the performance objectives and target levels used in connection with incentive awards, and considers the risks an executive officer might be incentivized to take with respect to such components with special attention given to establishing a mix among these components that does not encourage excessive risk taking.</w:t>
      </w:r>
    </w:p>
    <w:p>
      <w:pPr>
        <w:spacing w:after="0" w:line="60" w:lineRule="exact"/>
        <w:rPr>
          <w:sz w:val="20"/>
          <w:szCs w:val="20"/>
          <w:color w:val="auto"/>
        </w:rPr>
      </w:pPr>
    </w:p>
    <w:p>
      <w:pPr>
        <w:spacing w:after="0" w:line="256" w:lineRule="auto"/>
        <w:rPr>
          <w:sz w:val="20"/>
          <w:szCs w:val="20"/>
          <w:color w:val="auto"/>
        </w:rPr>
      </w:pPr>
      <w:r>
        <w:rPr>
          <w:rFonts w:ascii="Arial" w:cs="Arial" w:eastAsia="Arial" w:hAnsi="Arial"/>
          <w:sz w:val="16"/>
          <w:szCs w:val="16"/>
          <w:color w:val="54565B"/>
        </w:rPr>
        <w:t>The Corporate Governance Committee contributes to the Company’s risk oversight process by reviewing the Company’s Corporate Governance Guidelines and Board committee charters at least annually to ensure that they continue to comply with any applicable laws, regulations, and stock exchange or other listing standards, as each are subject to change from time to time. The Corporate Governance Committee also oversees the director nomination process, the overall Board reporting structure and the operations of the individual committees, in addition to advising the Board with respect to environmental and social risks.</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0B3C61"/>
        </w:rPr>
        <w:t xml:space="preserve">2026 Proxy Statement | American Financial Group   </w:t>
      </w:r>
      <w:r>
        <w:rPr>
          <w:rFonts w:ascii="Arial" w:cs="Arial" w:eastAsia="Arial" w:hAnsi="Arial"/>
          <w:sz w:val="13"/>
          <w:szCs w:val="13"/>
          <w:b w:val="1"/>
          <w:bCs w:val="1"/>
          <w:color w:val="EA1D2D"/>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Code of Ethics and Business Conduct and Corporate Governance Principles</w:t>
      </w:r>
    </w:p>
    <w:p>
      <w:pPr>
        <w:spacing w:after="0" w:line="85"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54565B"/>
        </w:rPr>
        <w:t>The Company has adopted a Code of Ethics and Business Conduct applicable to all employees. Annually, directors and all employees certify that they have read and complied with our Code.</w:t>
      </w:r>
    </w:p>
    <w:p>
      <w:pPr>
        <w:spacing w:after="0" w:line="3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54565B"/>
        </w:rPr>
        <w:t>The Company has also adopted Corporate Governance Guidelines. The Code and Guidelines are available on the Company’s website at www.AFGinc.com, under “Leadership and Governance.” A printed copy of the Code and Guidelines may be obtained by shareholders upon written request to the Secretary at the address set forth under “Board Communications” in the Proxy Statement Summary. We intend to satisfy any disclosure requirements regarding any amendments to, or waivers from, provisions of the Code by posting such information on our website as promptly as practicable, as may be required by applicable SEC and NYSE rules.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Corporate Responsibility and Sustainability</w:t>
      </w:r>
    </w:p>
    <w:p>
      <w:pPr>
        <w:spacing w:after="0" w:line="99"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54565B"/>
        </w:rPr>
        <w:t>Creating long-term value for shareholders is AFG’s highest business objective, and we are committed to doing so in a responsible manner. This commitment starts with recognizing that many of our business decisions affect people and organizations in the larger community.</w:t>
      </w:r>
    </w:p>
    <w:p>
      <w:pPr>
        <w:spacing w:after="0" w:line="50"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54565B"/>
        </w:rPr>
        <w:t>Under its charter, the Corporate Governance Committee advises the Board with respect to stewardship issues to assist in the development and refinement of the Company’s strategies and policies in those areas.</w:t>
      </w:r>
    </w:p>
    <w:p>
      <w:pPr>
        <w:spacing w:after="0" w:line="21"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54565B"/>
        </w:rPr>
        <w:t>We focus our corporate responsibility and sustainability strategies in four primary areas where AFG believes it can achieve the most direct and substantial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1443990</wp:posOffset>
            </wp:positionH>
            <wp:positionV relativeFrom="paragraph">
              <wp:posOffset>22225</wp:posOffset>
            </wp:positionV>
            <wp:extent cx="120015" cy="21602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0015" cy="2160270"/>
                    </a:xfrm>
                    <a:prstGeom prst="rect">
                      <a:avLst/>
                    </a:prstGeom>
                    <a:noFill/>
                  </pic:spPr>
                </pic:pic>
              </a:graphicData>
            </a:graphic>
          </wp:anchor>
        </w:drawing>
        <w:drawing>
          <wp:anchor simplePos="0" relativeHeight="251657728" behindDoc="1" locked="0" layoutInCell="0" allowOverlap="1">
            <wp:simplePos x="0" y="0"/>
            <wp:positionH relativeFrom="column">
              <wp:posOffset>2969895</wp:posOffset>
            </wp:positionH>
            <wp:positionV relativeFrom="paragraph">
              <wp:posOffset>22225</wp:posOffset>
            </wp:positionV>
            <wp:extent cx="120015" cy="21602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2160270"/>
                    </a:xfrm>
                    <a:prstGeom prst="rect">
                      <a:avLst/>
                    </a:prstGeom>
                    <a:noFill/>
                  </pic:spPr>
                </pic:pic>
              </a:graphicData>
            </a:graphic>
          </wp:anchor>
        </w:drawing>
        <w:drawing>
          <wp:anchor simplePos="0" relativeHeight="251657728" behindDoc="1" locked="0" layoutInCell="0" allowOverlap="1">
            <wp:simplePos x="0" y="0"/>
            <wp:positionH relativeFrom="column">
              <wp:posOffset>4504055</wp:posOffset>
            </wp:positionH>
            <wp:positionV relativeFrom="paragraph">
              <wp:posOffset>22225</wp:posOffset>
            </wp:positionV>
            <wp:extent cx="120015" cy="21602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2160270"/>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241"/>
        </w:trPr>
        <w:tc>
          <w:tcPr>
            <w:tcW w:w="2530" w:type="dxa"/>
            <w:vAlign w:val="bottom"/>
            <w:shd w:val="clear" w:color="auto" w:fill="EAF7FA"/>
          </w:tcPr>
          <w:p>
            <w:pPr>
              <w:spacing w:after="0"/>
              <w:rPr>
                <w:sz w:val="24"/>
                <w:szCs w:val="24"/>
                <w:color w:val="auto"/>
              </w:rPr>
            </w:pPr>
          </w:p>
        </w:tc>
        <w:tc>
          <w:tcPr>
            <w:tcW w:w="2460" w:type="dxa"/>
            <w:vAlign w:val="bottom"/>
            <w:shd w:val="clear" w:color="auto" w:fill="EAF7FA"/>
          </w:tcPr>
          <w:p>
            <w:pPr>
              <w:spacing w:after="0"/>
              <w:rPr>
                <w:sz w:val="24"/>
                <w:szCs w:val="24"/>
                <w:color w:val="auto"/>
              </w:rPr>
            </w:pPr>
          </w:p>
        </w:tc>
        <w:tc>
          <w:tcPr>
            <w:tcW w:w="2348" w:type="dxa"/>
            <w:vAlign w:val="bottom"/>
            <w:shd w:val="clear" w:color="auto" w:fill="EAF7FA"/>
          </w:tcPr>
          <w:p>
            <w:pPr>
              <w:spacing w:after="0"/>
              <w:rPr>
                <w:sz w:val="24"/>
                <w:szCs w:val="24"/>
                <w:color w:val="auto"/>
              </w:rPr>
            </w:pPr>
          </w:p>
        </w:tc>
        <w:tc>
          <w:tcPr>
            <w:tcW w:w="2063" w:type="dxa"/>
            <w:vAlign w:val="bottom"/>
            <w:shd w:val="clear" w:color="auto" w:fill="EAF7FA"/>
          </w:tcPr>
          <w:p>
            <w:pPr>
              <w:ind w:left="223"/>
              <w:spacing w:after="0"/>
              <w:rPr>
                <w:sz w:val="20"/>
                <w:szCs w:val="20"/>
                <w:color w:val="auto"/>
              </w:rPr>
            </w:pPr>
            <w:r>
              <w:rPr>
                <w:rFonts w:ascii="Arial" w:cs="Arial" w:eastAsia="Arial" w:hAnsi="Arial"/>
                <w:sz w:val="25"/>
                <w:szCs w:val="25"/>
                <w:color w:val="0B3C61"/>
              </w:rPr>
              <w:t xml:space="preserve">  </w:t>
            </w:r>
          </w:p>
        </w:tc>
      </w:tr>
      <w:tr>
        <w:trPr>
          <w:trHeight w:val="451"/>
        </w:trPr>
        <w:tc>
          <w:tcPr>
            <w:tcW w:w="2530" w:type="dxa"/>
            <w:vAlign w:val="bottom"/>
            <w:shd w:val="clear" w:color="auto" w:fill="EAF7FA"/>
          </w:tcPr>
          <w:p>
            <w:pPr>
              <w:ind w:left="500"/>
              <w:spacing w:after="0"/>
              <w:rPr>
                <w:sz w:val="20"/>
                <w:szCs w:val="20"/>
                <w:color w:val="auto"/>
              </w:rPr>
            </w:pPr>
            <w:r>
              <w:rPr>
                <w:rFonts w:ascii="Arial" w:cs="Arial" w:eastAsia="Arial" w:hAnsi="Arial"/>
                <w:sz w:val="25"/>
                <w:szCs w:val="25"/>
                <w:color w:val="0B3C61"/>
              </w:rPr>
              <w:t>Operating our</w:t>
            </w:r>
          </w:p>
        </w:tc>
        <w:tc>
          <w:tcPr>
            <w:tcW w:w="2460" w:type="dxa"/>
            <w:vAlign w:val="bottom"/>
            <w:shd w:val="clear" w:color="auto" w:fill="EAF7FA"/>
          </w:tcPr>
          <w:p>
            <w:pPr>
              <w:ind w:left="210"/>
              <w:spacing w:after="0"/>
              <w:rPr>
                <w:sz w:val="20"/>
                <w:szCs w:val="20"/>
                <w:color w:val="auto"/>
              </w:rPr>
            </w:pPr>
            <w:r>
              <w:rPr>
                <w:rFonts w:ascii="Arial" w:cs="Arial" w:eastAsia="Arial" w:hAnsi="Arial"/>
                <w:sz w:val="25"/>
                <w:szCs w:val="25"/>
                <w:color w:val="0B3C61"/>
              </w:rPr>
              <w:t>Giving</w:t>
            </w:r>
          </w:p>
        </w:tc>
        <w:tc>
          <w:tcPr>
            <w:tcW w:w="2348" w:type="dxa"/>
            <w:vAlign w:val="bottom"/>
            <w:shd w:val="clear" w:color="auto" w:fill="EAF7FA"/>
          </w:tcPr>
          <w:p>
            <w:pPr>
              <w:ind w:left="150"/>
              <w:spacing w:after="0"/>
              <w:rPr>
                <w:sz w:val="20"/>
                <w:szCs w:val="20"/>
                <w:color w:val="auto"/>
              </w:rPr>
            </w:pPr>
            <w:r>
              <w:rPr>
                <w:rFonts w:ascii="Arial" w:cs="Arial" w:eastAsia="Arial" w:hAnsi="Arial"/>
                <w:sz w:val="25"/>
                <w:szCs w:val="25"/>
                <w:color w:val="0B3C61"/>
              </w:rPr>
              <w:t>Creating a</w:t>
            </w:r>
          </w:p>
        </w:tc>
        <w:tc>
          <w:tcPr>
            <w:tcW w:w="2063" w:type="dxa"/>
            <w:vAlign w:val="bottom"/>
            <w:shd w:val="clear" w:color="auto" w:fill="EAF7FA"/>
          </w:tcPr>
          <w:p>
            <w:pPr>
              <w:ind w:left="223"/>
              <w:spacing w:after="0"/>
              <w:rPr>
                <w:sz w:val="20"/>
                <w:szCs w:val="20"/>
                <w:color w:val="auto"/>
              </w:rPr>
            </w:pPr>
            <w:r>
              <w:rPr>
                <w:rFonts w:ascii="Arial" w:cs="Arial" w:eastAsia="Arial" w:hAnsi="Arial"/>
                <w:sz w:val="25"/>
                <w:szCs w:val="25"/>
                <w:color w:val="0B3C61"/>
              </w:rPr>
              <w:t>Managing</w:t>
            </w:r>
          </w:p>
        </w:tc>
      </w:tr>
      <w:tr>
        <w:trPr>
          <w:trHeight w:val="297"/>
        </w:trPr>
        <w:tc>
          <w:tcPr>
            <w:tcW w:w="2530" w:type="dxa"/>
            <w:vAlign w:val="bottom"/>
            <w:shd w:val="clear" w:color="auto" w:fill="EAF7FA"/>
          </w:tcPr>
          <w:p>
            <w:pPr>
              <w:ind w:left="500"/>
              <w:spacing w:after="0"/>
              <w:rPr>
                <w:sz w:val="20"/>
                <w:szCs w:val="20"/>
                <w:color w:val="auto"/>
              </w:rPr>
            </w:pPr>
            <w:r>
              <w:rPr>
                <w:rFonts w:ascii="Arial" w:cs="Arial" w:eastAsia="Arial" w:hAnsi="Arial"/>
                <w:sz w:val="25"/>
                <w:szCs w:val="25"/>
                <w:color w:val="0B3C61"/>
              </w:rPr>
              <w:t>business with</w:t>
            </w:r>
          </w:p>
        </w:tc>
        <w:tc>
          <w:tcPr>
            <w:tcW w:w="2460" w:type="dxa"/>
            <w:vAlign w:val="bottom"/>
            <w:shd w:val="clear" w:color="auto" w:fill="EAF7FA"/>
          </w:tcPr>
          <w:p>
            <w:pPr>
              <w:ind w:left="210"/>
              <w:spacing w:after="0"/>
              <w:rPr>
                <w:sz w:val="20"/>
                <w:szCs w:val="20"/>
                <w:color w:val="auto"/>
              </w:rPr>
            </w:pPr>
            <w:r>
              <w:rPr>
                <w:rFonts w:ascii="Arial" w:cs="Arial" w:eastAsia="Arial" w:hAnsi="Arial"/>
                <w:sz w:val="25"/>
                <w:szCs w:val="25"/>
                <w:color w:val="0B3C61"/>
              </w:rPr>
              <w:t>back to our</w:t>
            </w:r>
          </w:p>
        </w:tc>
        <w:tc>
          <w:tcPr>
            <w:tcW w:w="2348" w:type="dxa"/>
            <w:vAlign w:val="bottom"/>
            <w:shd w:val="clear" w:color="auto" w:fill="EAF7FA"/>
          </w:tcPr>
          <w:p>
            <w:pPr>
              <w:ind w:left="150"/>
              <w:spacing w:after="0"/>
              <w:rPr>
                <w:sz w:val="20"/>
                <w:szCs w:val="20"/>
                <w:color w:val="auto"/>
              </w:rPr>
            </w:pPr>
            <w:r>
              <w:rPr>
                <w:rFonts w:ascii="Arial" w:cs="Arial" w:eastAsia="Arial" w:hAnsi="Arial"/>
                <w:sz w:val="25"/>
                <w:szCs w:val="25"/>
                <w:color w:val="0B3C61"/>
              </w:rPr>
              <w:t>welcoming</w:t>
            </w:r>
          </w:p>
        </w:tc>
        <w:tc>
          <w:tcPr>
            <w:tcW w:w="2063" w:type="dxa"/>
            <w:vAlign w:val="bottom"/>
            <w:shd w:val="clear" w:color="auto" w:fill="EAF7FA"/>
          </w:tcPr>
          <w:p>
            <w:pPr>
              <w:ind w:left="223"/>
              <w:spacing w:after="0"/>
              <w:rPr>
                <w:sz w:val="20"/>
                <w:szCs w:val="20"/>
                <w:color w:val="auto"/>
              </w:rPr>
            </w:pPr>
            <w:r>
              <w:rPr>
                <w:rFonts w:ascii="Arial" w:cs="Arial" w:eastAsia="Arial" w:hAnsi="Arial"/>
                <w:sz w:val="25"/>
                <w:szCs w:val="25"/>
                <w:color w:val="0B3C61"/>
              </w:rPr>
              <w:t>environmental</w:t>
            </w:r>
          </w:p>
        </w:tc>
      </w:tr>
      <w:tr>
        <w:trPr>
          <w:trHeight w:val="297"/>
        </w:trPr>
        <w:tc>
          <w:tcPr>
            <w:tcW w:w="2530" w:type="dxa"/>
            <w:vAlign w:val="bottom"/>
            <w:shd w:val="clear" w:color="auto" w:fill="EAF7FA"/>
          </w:tcPr>
          <w:p>
            <w:pPr>
              <w:ind w:left="500"/>
              <w:spacing w:after="0"/>
              <w:rPr>
                <w:sz w:val="20"/>
                <w:szCs w:val="20"/>
                <w:color w:val="auto"/>
              </w:rPr>
            </w:pPr>
            <w:r>
              <w:rPr>
                <w:rFonts w:ascii="Arial" w:cs="Arial" w:eastAsia="Arial" w:hAnsi="Arial"/>
                <w:sz w:val="25"/>
                <w:szCs w:val="25"/>
                <w:color w:val="0B3C61"/>
              </w:rPr>
              <w:t>integrity and</w:t>
            </w:r>
          </w:p>
        </w:tc>
        <w:tc>
          <w:tcPr>
            <w:tcW w:w="2460" w:type="dxa"/>
            <w:vAlign w:val="bottom"/>
            <w:shd w:val="clear" w:color="auto" w:fill="EAF7FA"/>
          </w:tcPr>
          <w:p>
            <w:pPr>
              <w:ind w:left="210"/>
              <w:spacing w:after="0"/>
              <w:rPr>
                <w:sz w:val="20"/>
                <w:szCs w:val="20"/>
                <w:color w:val="auto"/>
              </w:rPr>
            </w:pPr>
            <w:r>
              <w:rPr>
                <w:rFonts w:ascii="Arial" w:cs="Arial" w:eastAsia="Arial" w:hAnsi="Arial"/>
                <w:sz w:val="25"/>
                <w:szCs w:val="25"/>
                <w:color w:val="0B3C61"/>
              </w:rPr>
              <w:t>communities</w:t>
            </w:r>
          </w:p>
        </w:tc>
        <w:tc>
          <w:tcPr>
            <w:tcW w:w="2348" w:type="dxa"/>
            <w:vAlign w:val="bottom"/>
            <w:shd w:val="clear" w:color="auto" w:fill="EAF7FA"/>
          </w:tcPr>
          <w:p>
            <w:pPr>
              <w:ind w:left="150"/>
              <w:spacing w:after="0"/>
              <w:rPr>
                <w:sz w:val="20"/>
                <w:szCs w:val="20"/>
                <w:color w:val="auto"/>
              </w:rPr>
            </w:pPr>
            <w:r>
              <w:rPr>
                <w:rFonts w:ascii="Arial" w:cs="Arial" w:eastAsia="Arial" w:hAnsi="Arial"/>
                <w:sz w:val="25"/>
                <w:szCs w:val="25"/>
                <w:color w:val="0B3C61"/>
              </w:rPr>
              <w:t>and rewarding</w:t>
            </w:r>
          </w:p>
        </w:tc>
        <w:tc>
          <w:tcPr>
            <w:tcW w:w="2063" w:type="dxa"/>
            <w:vAlign w:val="bottom"/>
            <w:shd w:val="clear" w:color="auto" w:fill="EAF7FA"/>
          </w:tcPr>
          <w:p>
            <w:pPr>
              <w:ind w:left="223"/>
              <w:spacing w:after="0"/>
              <w:rPr>
                <w:sz w:val="20"/>
                <w:szCs w:val="20"/>
                <w:color w:val="auto"/>
              </w:rPr>
            </w:pPr>
            <w:r>
              <w:rPr>
                <w:rFonts w:ascii="Arial" w:cs="Arial" w:eastAsia="Arial" w:hAnsi="Arial"/>
                <w:sz w:val="25"/>
                <w:szCs w:val="25"/>
                <w:color w:val="0B3C61"/>
              </w:rPr>
              <w:t>risk and</w:t>
            </w:r>
          </w:p>
        </w:tc>
      </w:tr>
      <w:tr>
        <w:trPr>
          <w:trHeight w:val="297"/>
        </w:trPr>
        <w:tc>
          <w:tcPr>
            <w:tcW w:w="2530" w:type="dxa"/>
            <w:vAlign w:val="bottom"/>
            <w:shd w:val="clear" w:color="auto" w:fill="EAF7FA"/>
          </w:tcPr>
          <w:p>
            <w:pPr>
              <w:ind w:left="500"/>
              <w:spacing w:after="0"/>
              <w:rPr>
                <w:sz w:val="20"/>
                <w:szCs w:val="20"/>
                <w:color w:val="auto"/>
              </w:rPr>
            </w:pPr>
            <w:r>
              <w:rPr>
                <w:rFonts w:ascii="Arial" w:cs="Arial" w:eastAsia="Arial" w:hAnsi="Arial"/>
                <w:sz w:val="25"/>
                <w:szCs w:val="25"/>
                <w:color w:val="0B3C61"/>
              </w:rPr>
              <w:t>managing</w:t>
            </w:r>
          </w:p>
        </w:tc>
        <w:tc>
          <w:tcPr>
            <w:tcW w:w="2460" w:type="dxa"/>
            <w:vAlign w:val="bottom"/>
            <w:shd w:val="clear" w:color="auto" w:fill="EAF7FA"/>
          </w:tcPr>
          <w:p>
            <w:pPr>
              <w:ind w:left="210"/>
              <w:spacing w:after="0"/>
              <w:rPr>
                <w:sz w:val="20"/>
                <w:szCs w:val="20"/>
                <w:color w:val="auto"/>
              </w:rPr>
            </w:pPr>
            <w:r>
              <w:rPr>
                <w:rFonts w:ascii="Arial" w:cs="Arial" w:eastAsia="Arial" w:hAnsi="Arial"/>
                <w:sz w:val="25"/>
                <w:szCs w:val="25"/>
                <w:color w:val="0B3C61"/>
              </w:rPr>
              <w:t>and promoting</w:t>
            </w:r>
          </w:p>
        </w:tc>
        <w:tc>
          <w:tcPr>
            <w:tcW w:w="2348" w:type="dxa"/>
            <w:vAlign w:val="bottom"/>
            <w:shd w:val="clear" w:color="auto" w:fill="EAF7FA"/>
          </w:tcPr>
          <w:p>
            <w:pPr>
              <w:ind w:left="150"/>
              <w:spacing w:after="0"/>
              <w:rPr>
                <w:sz w:val="20"/>
                <w:szCs w:val="20"/>
                <w:color w:val="auto"/>
              </w:rPr>
            </w:pPr>
            <w:r>
              <w:rPr>
                <w:rFonts w:ascii="Arial" w:cs="Arial" w:eastAsia="Arial" w:hAnsi="Arial"/>
                <w:sz w:val="25"/>
                <w:szCs w:val="25"/>
                <w:color w:val="0B3C61"/>
              </w:rPr>
              <w:t>place to work</w:t>
            </w:r>
          </w:p>
        </w:tc>
        <w:tc>
          <w:tcPr>
            <w:tcW w:w="2063" w:type="dxa"/>
            <w:vAlign w:val="bottom"/>
            <w:shd w:val="clear" w:color="auto" w:fill="EAF7FA"/>
          </w:tcPr>
          <w:p>
            <w:pPr>
              <w:ind w:left="223"/>
              <w:spacing w:after="0"/>
              <w:rPr>
                <w:sz w:val="20"/>
                <w:szCs w:val="20"/>
                <w:color w:val="auto"/>
              </w:rPr>
            </w:pPr>
            <w:r>
              <w:rPr>
                <w:rFonts w:ascii="Arial" w:cs="Arial" w:eastAsia="Arial" w:hAnsi="Arial"/>
                <w:sz w:val="25"/>
                <w:szCs w:val="25"/>
                <w:color w:val="0B3C61"/>
              </w:rPr>
              <w:t>operating</w:t>
            </w:r>
          </w:p>
        </w:tc>
      </w:tr>
      <w:tr>
        <w:trPr>
          <w:trHeight w:val="297"/>
        </w:trPr>
        <w:tc>
          <w:tcPr>
            <w:tcW w:w="2530" w:type="dxa"/>
            <w:vAlign w:val="bottom"/>
            <w:shd w:val="clear" w:color="auto" w:fill="EAF7FA"/>
          </w:tcPr>
          <w:p>
            <w:pPr>
              <w:ind w:left="500"/>
              <w:spacing w:after="0"/>
              <w:rPr>
                <w:sz w:val="20"/>
                <w:szCs w:val="20"/>
                <w:color w:val="auto"/>
              </w:rPr>
            </w:pPr>
            <w:r>
              <w:rPr>
                <w:rFonts w:ascii="Arial" w:cs="Arial" w:eastAsia="Arial" w:hAnsi="Arial"/>
                <w:sz w:val="25"/>
                <w:szCs w:val="25"/>
                <w:color w:val="0B3C61"/>
              </w:rPr>
              <w:t>financial risk</w:t>
            </w:r>
          </w:p>
        </w:tc>
        <w:tc>
          <w:tcPr>
            <w:tcW w:w="2460" w:type="dxa"/>
            <w:vAlign w:val="bottom"/>
            <w:shd w:val="clear" w:color="auto" w:fill="EAF7FA"/>
          </w:tcPr>
          <w:p>
            <w:pPr>
              <w:ind w:left="210"/>
              <w:spacing w:after="0"/>
              <w:rPr>
                <w:sz w:val="20"/>
                <w:szCs w:val="20"/>
                <w:color w:val="auto"/>
              </w:rPr>
            </w:pPr>
            <w:r>
              <w:rPr>
                <w:rFonts w:ascii="Arial" w:cs="Arial" w:eastAsia="Arial" w:hAnsi="Arial"/>
                <w:sz w:val="25"/>
                <w:szCs w:val="25"/>
                <w:color w:val="0B3C61"/>
              </w:rPr>
              <w:t>social</w:t>
            </w:r>
          </w:p>
        </w:tc>
        <w:tc>
          <w:tcPr>
            <w:tcW w:w="2348" w:type="dxa"/>
            <w:vAlign w:val="bottom"/>
            <w:shd w:val="clear" w:color="auto" w:fill="EAF7FA"/>
          </w:tcPr>
          <w:p>
            <w:pPr>
              <w:ind w:left="150"/>
              <w:spacing w:after="0"/>
              <w:rPr>
                <w:sz w:val="20"/>
                <w:szCs w:val="20"/>
                <w:color w:val="auto"/>
              </w:rPr>
            </w:pPr>
            <w:r>
              <w:rPr>
                <w:rFonts w:ascii="Arial" w:cs="Arial" w:eastAsia="Arial" w:hAnsi="Arial"/>
                <w:sz w:val="25"/>
                <w:szCs w:val="25"/>
                <w:color w:val="0B3C61"/>
              </w:rPr>
              <w:t>and build a</w:t>
            </w:r>
          </w:p>
        </w:tc>
        <w:tc>
          <w:tcPr>
            <w:tcW w:w="2063" w:type="dxa"/>
            <w:vAlign w:val="bottom"/>
            <w:shd w:val="clear" w:color="auto" w:fill="EAF7FA"/>
          </w:tcPr>
          <w:p>
            <w:pPr>
              <w:ind w:left="223"/>
              <w:spacing w:after="0"/>
              <w:rPr>
                <w:sz w:val="20"/>
                <w:szCs w:val="20"/>
                <w:color w:val="auto"/>
              </w:rPr>
            </w:pPr>
            <w:r>
              <w:rPr>
                <w:rFonts w:ascii="Arial" w:cs="Arial" w:eastAsia="Arial" w:hAnsi="Arial"/>
                <w:sz w:val="25"/>
                <w:szCs w:val="25"/>
                <w:color w:val="0B3C61"/>
              </w:rPr>
              <w:t>sustainably</w:t>
            </w:r>
          </w:p>
        </w:tc>
      </w:tr>
      <w:tr>
        <w:trPr>
          <w:trHeight w:val="332"/>
        </w:trPr>
        <w:tc>
          <w:tcPr>
            <w:tcW w:w="2530" w:type="dxa"/>
            <w:vAlign w:val="bottom"/>
            <w:shd w:val="clear" w:color="auto" w:fill="EAF7FA"/>
          </w:tcPr>
          <w:p>
            <w:pPr>
              <w:spacing w:after="0"/>
              <w:rPr>
                <w:sz w:val="24"/>
                <w:szCs w:val="24"/>
                <w:color w:val="auto"/>
              </w:rPr>
            </w:pPr>
          </w:p>
        </w:tc>
        <w:tc>
          <w:tcPr>
            <w:tcW w:w="2460" w:type="dxa"/>
            <w:vAlign w:val="bottom"/>
            <w:shd w:val="clear" w:color="auto" w:fill="EAF7FA"/>
          </w:tcPr>
          <w:p>
            <w:pPr>
              <w:ind w:left="210"/>
              <w:spacing w:after="0"/>
              <w:rPr>
                <w:sz w:val="20"/>
                <w:szCs w:val="20"/>
                <w:color w:val="auto"/>
              </w:rPr>
            </w:pPr>
            <w:r>
              <w:rPr>
                <w:rFonts w:ascii="Arial" w:cs="Arial" w:eastAsia="Arial" w:hAnsi="Arial"/>
                <w:sz w:val="25"/>
                <w:szCs w:val="25"/>
                <w:color w:val="0B3C61"/>
              </w:rPr>
              <w:t>opportunity</w:t>
            </w:r>
          </w:p>
        </w:tc>
        <w:tc>
          <w:tcPr>
            <w:tcW w:w="2348" w:type="dxa"/>
            <w:vAlign w:val="bottom"/>
            <w:shd w:val="clear" w:color="auto" w:fill="EAF7FA"/>
          </w:tcPr>
          <w:p>
            <w:pPr>
              <w:ind w:left="150"/>
              <w:spacing w:after="0"/>
              <w:rPr>
                <w:sz w:val="20"/>
                <w:szCs w:val="20"/>
                <w:color w:val="auto"/>
              </w:rPr>
            </w:pPr>
            <w:r>
              <w:rPr>
                <w:rFonts w:ascii="Arial" w:cs="Arial" w:eastAsia="Arial" w:hAnsi="Arial"/>
                <w:sz w:val="25"/>
                <w:szCs w:val="25"/>
                <w:color w:val="0B3C61"/>
              </w:rPr>
              <w:t>career</w:t>
            </w:r>
          </w:p>
        </w:tc>
        <w:tc>
          <w:tcPr>
            <w:tcW w:w="2063" w:type="dxa"/>
            <w:vAlign w:val="bottom"/>
            <w:shd w:val="clear" w:color="auto" w:fill="EAF7FA"/>
          </w:tcPr>
          <w:p>
            <w:pPr>
              <w:spacing w:after="0"/>
              <w:rPr>
                <w:sz w:val="24"/>
                <w:szCs w:val="24"/>
                <w:color w:val="auto"/>
              </w:rPr>
            </w:pPr>
          </w:p>
        </w:tc>
      </w:tr>
      <w:tr>
        <w:trPr>
          <w:trHeight w:val="190"/>
        </w:trPr>
        <w:tc>
          <w:tcPr>
            <w:tcW w:w="2530" w:type="dxa"/>
            <w:vAlign w:val="bottom"/>
            <w:shd w:val="clear" w:color="auto" w:fill="EAF7FA"/>
          </w:tcPr>
          <w:p>
            <w:pPr>
              <w:spacing w:after="0"/>
              <w:rPr>
                <w:sz w:val="16"/>
                <w:szCs w:val="16"/>
                <w:color w:val="auto"/>
              </w:rPr>
            </w:pPr>
          </w:p>
        </w:tc>
        <w:tc>
          <w:tcPr>
            <w:tcW w:w="2460" w:type="dxa"/>
            <w:vAlign w:val="bottom"/>
            <w:shd w:val="clear" w:color="auto" w:fill="EAF7FA"/>
          </w:tcPr>
          <w:p>
            <w:pPr>
              <w:spacing w:after="0"/>
              <w:rPr>
                <w:sz w:val="16"/>
                <w:szCs w:val="16"/>
                <w:color w:val="auto"/>
              </w:rPr>
            </w:pPr>
          </w:p>
        </w:tc>
        <w:tc>
          <w:tcPr>
            <w:tcW w:w="2348" w:type="dxa"/>
            <w:vAlign w:val="bottom"/>
            <w:shd w:val="clear" w:color="auto" w:fill="EAF7FA"/>
          </w:tcPr>
          <w:p>
            <w:pPr>
              <w:spacing w:after="0"/>
              <w:rPr>
                <w:sz w:val="16"/>
                <w:szCs w:val="16"/>
                <w:color w:val="auto"/>
              </w:rPr>
            </w:pPr>
          </w:p>
        </w:tc>
        <w:tc>
          <w:tcPr>
            <w:tcW w:w="2063" w:type="dxa"/>
            <w:vAlign w:val="bottom"/>
            <w:shd w:val="clear" w:color="auto" w:fill="EAF7FA"/>
          </w:tcPr>
          <w:p>
            <w:pPr>
              <w:spacing w:after="0"/>
              <w:rPr>
                <w:sz w:val="16"/>
                <w:szCs w:val="16"/>
                <w:color w:val="auto"/>
              </w:rPr>
            </w:pPr>
          </w:p>
        </w:tc>
      </w:tr>
      <w:tr>
        <w:trPr>
          <w:trHeight w:val="403"/>
        </w:trPr>
        <w:tc>
          <w:tcPr>
            <w:tcW w:w="4990" w:type="dxa"/>
            <w:vAlign w:val="bottom"/>
            <w:gridSpan w:val="2"/>
          </w:tcPr>
          <w:p>
            <w:pPr>
              <w:spacing w:after="0"/>
              <w:rPr>
                <w:sz w:val="20"/>
                <w:szCs w:val="20"/>
                <w:color w:val="auto"/>
              </w:rPr>
            </w:pPr>
            <w:r>
              <w:rPr>
                <w:rFonts w:ascii="Arial" w:cs="Arial" w:eastAsia="Arial" w:hAnsi="Arial"/>
                <w:sz w:val="16"/>
                <w:szCs w:val="16"/>
                <w:color w:val="54565B"/>
              </w:rPr>
              <w:t>OUR FINANCIAL RISK FRAMEWORK</w:t>
            </w:r>
          </w:p>
        </w:tc>
        <w:tc>
          <w:tcPr>
            <w:tcW w:w="2348" w:type="dxa"/>
            <w:vAlign w:val="bottom"/>
          </w:tcPr>
          <w:p>
            <w:pPr>
              <w:spacing w:after="0"/>
              <w:rPr>
                <w:sz w:val="24"/>
                <w:szCs w:val="24"/>
                <w:color w:val="auto"/>
              </w:rPr>
            </w:pPr>
          </w:p>
        </w:tc>
        <w:tc>
          <w:tcPr>
            <w:tcW w:w="2063" w:type="dxa"/>
            <w:vAlign w:val="bottom"/>
          </w:tcPr>
          <w:p>
            <w:pPr>
              <w:spacing w:after="0"/>
              <w:rPr>
                <w:sz w:val="24"/>
                <w:szCs w:val="24"/>
                <w:color w:val="auto"/>
              </w:rPr>
            </w:pPr>
          </w:p>
        </w:tc>
      </w:tr>
      <w:tr>
        <w:trPr>
          <w:trHeight w:val="56"/>
        </w:trPr>
        <w:tc>
          <w:tcPr>
            <w:tcW w:w="253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348" w:type="dxa"/>
            <w:vAlign w:val="bottom"/>
          </w:tcPr>
          <w:p>
            <w:pPr>
              <w:spacing w:after="0"/>
              <w:rPr>
                <w:sz w:val="4"/>
                <w:szCs w:val="4"/>
                <w:color w:val="auto"/>
              </w:rPr>
            </w:pPr>
          </w:p>
        </w:tc>
        <w:tc>
          <w:tcPr>
            <w:tcW w:w="2063" w:type="dxa"/>
            <w:vAlign w:val="bottom"/>
          </w:tcPr>
          <w:p>
            <w:pPr>
              <w:spacing w:after="0"/>
              <w:rPr>
                <w:sz w:val="4"/>
                <w:szCs w:val="4"/>
                <w:color w:val="auto"/>
              </w:rPr>
            </w:pPr>
          </w:p>
        </w:tc>
      </w:tr>
      <w:tr>
        <w:trPr>
          <w:trHeight w:val="795"/>
        </w:trPr>
        <w:tc>
          <w:tcPr>
            <w:tcW w:w="2530" w:type="dxa"/>
            <w:vAlign w:val="bottom"/>
            <w:shd w:val="clear" w:color="auto" w:fill="EAF7FA"/>
          </w:tcPr>
          <w:p>
            <w:pPr>
              <w:ind w:left="480"/>
              <w:spacing w:after="0"/>
              <w:rPr>
                <w:sz w:val="20"/>
                <w:szCs w:val="20"/>
                <w:color w:val="auto"/>
              </w:rPr>
            </w:pPr>
            <w:r>
              <w:rPr>
                <w:rFonts w:ascii="Arial" w:cs="Arial" w:eastAsia="Arial" w:hAnsi="Arial"/>
                <w:sz w:val="41"/>
                <w:szCs w:val="41"/>
                <w:color w:val="0B3C61"/>
              </w:rPr>
              <w:t>100%</w:t>
            </w:r>
          </w:p>
        </w:tc>
        <w:tc>
          <w:tcPr>
            <w:tcW w:w="2460" w:type="dxa"/>
            <w:vAlign w:val="bottom"/>
            <w:shd w:val="clear" w:color="auto" w:fill="EAF7FA"/>
          </w:tcPr>
          <w:p>
            <w:pPr>
              <w:ind w:left="190"/>
              <w:spacing w:after="0"/>
              <w:rPr>
                <w:sz w:val="20"/>
                <w:szCs w:val="20"/>
                <w:color w:val="auto"/>
              </w:rPr>
            </w:pPr>
            <w:r>
              <w:rPr>
                <w:rFonts w:ascii="Arial" w:cs="Arial" w:eastAsia="Arial" w:hAnsi="Arial"/>
                <w:sz w:val="41"/>
                <w:szCs w:val="41"/>
                <w:color w:val="0B3C61"/>
              </w:rPr>
              <w:t>&gt;21,000</w:t>
            </w:r>
          </w:p>
        </w:tc>
        <w:tc>
          <w:tcPr>
            <w:tcW w:w="2348" w:type="dxa"/>
            <w:vAlign w:val="bottom"/>
            <w:shd w:val="clear" w:color="auto" w:fill="EAF7FA"/>
          </w:tcPr>
          <w:p>
            <w:pPr>
              <w:ind w:left="130"/>
              <w:spacing w:after="0"/>
              <w:rPr>
                <w:sz w:val="20"/>
                <w:szCs w:val="20"/>
                <w:color w:val="auto"/>
              </w:rPr>
            </w:pPr>
            <w:r>
              <w:rPr>
                <w:rFonts w:ascii="Arial" w:cs="Arial" w:eastAsia="Arial" w:hAnsi="Arial"/>
                <w:sz w:val="41"/>
                <w:szCs w:val="41"/>
                <w:color w:val="0B3C61"/>
              </w:rPr>
              <w:t>100%</w:t>
            </w:r>
          </w:p>
        </w:tc>
        <w:tc>
          <w:tcPr>
            <w:tcW w:w="2063" w:type="dxa"/>
            <w:vAlign w:val="bottom"/>
            <w:shd w:val="clear" w:color="auto" w:fill="EAF7FA"/>
          </w:tcPr>
          <w:p>
            <w:pPr>
              <w:ind w:left="183"/>
              <w:spacing w:after="0"/>
              <w:rPr>
                <w:sz w:val="20"/>
                <w:szCs w:val="20"/>
                <w:color w:val="auto"/>
              </w:rPr>
            </w:pPr>
            <w:r>
              <w:rPr>
                <w:rFonts w:ascii="Arial" w:cs="Arial" w:eastAsia="Arial" w:hAnsi="Arial"/>
                <w:sz w:val="41"/>
                <w:szCs w:val="41"/>
                <w:color w:val="0B3C61"/>
              </w:rPr>
              <w:t>&gt;116,500</w:t>
            </w:r>
          </w:p>
        </w:tc>
      </w:tr>
      <w:tr>
        <w:trPr>
          <w:trHeight w:val="216"/>
        </w:trPr>
        <w:tc>
          <w:tcPr>
            <w:tcW w:w="2530" w:type="dxa"/>
            <w:vAlign w:val="bottom"/>
            <w:shd w:val="clear" w:color="auto" w:fill="EAF7FA"/>
          </w:tcPr>
          <w:p>
            <w:pPr>
              <w:ind w:left="480"/>
              <w:spacing w:after="0"/>
              <w:rPr>
                <w:sz w:val="20"/>
                <w:szCs w:val="20"/>
                <w:color w:val="auto"/>
              </w:rPr>
            </w:pPr>
            <w:r>
              <w:rPr>
                <w:rFonts w:ascii="Arial" w:cs="Arial" w:eastAsia="Arial" w:hAnsi="Arial"/>
                <w:sz w:val="16"/>
                <w:szCs w:val="16"/>
                <w:color w:val="0B3C61"/>
              </w:rPr>
              <w:t>Employees of AFG</w:t>
            </w:r>
          </w:p>
        </w:tc>
        <w:tc>
          <w:tcPr>
            <w:tcW w:w="2460" w:type="dxa"/>
            <w:vAlign w:val="bottom"/>
            <w:shd w:val="clear" w:color="auto" w:fill="EAF7FA"/>
          </w:tcPr>
          <w:p>
            <w:pPr>
              <w:ind w:left="190"/>
              <w:spacing w:after="0"/>
              <w:rPr>
                <w:sz w:val="20"/>
                <w:szCs w:val="20"/>
                <w:color w:val="auto"/>
              </w:rPr>
            </w:pPr>
            <w:r>
              <w:rPr>
                <w:rFonts w:ascii="Arial" w:cs="Arial" w:eastAsia="Arial" w:hAnsi="Arial"/>
                <w:sz w:val="16"/>
                <w:szCs w:val="16"/>
                <w:color w:val="0B3C61"/>
              </w:rPr>
              <w:t>Hours of facilitated</w:t>
            </w:r>
          </w:p>
        </w:tc>
        <w:tc>
          <w:tcPr>
            <w:tcW w:w="2348" w:type="dxa"/>
            <w:vAlign w:val="bottom"/>
            <w:shd w:val="clear" w:color="auto" w:fill="EAF7FA"/>
          </w:tcPr>
          <w:p>
            <w:pPr>
              <w:ind w:left="130"/>
              <w:spacing w:after="0"/>
              <w:rPr>
                <w:sz w:val="20"/>
                <w:szCs w:val="20"/>
                <w:color w:val="auto"/>
              </w:rPr>
            </w:pPr>
            <w:r>
              <w:rPr>
                <w:rFonts w:ascii="Arial" w:cs="Arial" w:eastAsia="Arial" w:hAnsi="Arial"/>
                <w:sz w:val="16"/>
                <w:szCs w:val="16"/>
                <w:color w:val="0B3C61"/>
              </w:rPr>
              <w:t>Employees who</w:t>
            </w:r>
          </w:p>
        </w:tc>
        <w:tc>
          <w:tcPr>
            <w:tcW w:w="2063" w:type="dxa"/>
            <w:vAlign w:val="bottom"/>
            <w:shd w:val="clear" w:color="auto" w:fill="EAF7FA"/>
          </w:tcPr>
          <w:p>
            <w:pPr>
              <w:ind w:left="183"/>
              <w:spacing w:after="0"/>
              <w:rPr>
                <w:sz w:val="20"/>
                <w:szCs w:val="20"/>
                <w:color w:val="auto"/>
              </w:rPr>
            </w:pPr>
            <w:r>
              <w:rPr>
                <w:rFonts w:ascii="Arial" w:cs="Arial" w:eastAsia="Arial" w:hAnsi="Arial"/>
                <w:sz w:val="16"/>
                <w:szCs w:val="16"/>
                <w:color w:val="0B3C61"/>
              </w:rPr>
              <w:t>Learning and</w:t>
            </w:r>
          </w:p>
        </w:tc>
      </w:tr>
      <w:tr>
        <w:trPr>
          <w:trHeight w:val="189"/>
        </w:trPr>
        <w:tc>
          <w:tcPr>
            <w:tcW w:w="2530" w:type="dxa"/>
            <w:vAlign w:val="bottom"/>
            <w:shd w:val="clear" w:color="auto" w:fill="EAF7FA"/>
          </w:tcPr>
          <w:p>
            <w:pPr>
              <w:ind w:left="480"/>
              <w:spacing w:after="0"/>
              <w:rPr>
                <w:sz w:val="20"/>
                <w:szCs w:val="20"/>
                <w:color w:val="auto"/>
              </w:rPr>
            </w:pPr>
            <w:r>
              <w:rPr>
                <w:rFonts w:ascii="Arial" w:cs="Arial" w:eastAsia="Arial" w:hAnsi="Arial"/>
                <w:sz w:val="16"/>
                <w:szCs w:val="16"/>
                <w:color w:val="0B3C61"/>
              </w:rPr>
              <w:t>and its insurance</w:t>
            </w:r>
          </w:p>
        </w:tc>
        <w:tc>
          <w:tcPr>
            <w:tcW w:w="2460" w:type="dxa"/>
            <w:vAlign w:val="bottom"/>
            <w:shd w:val="clear" w:color="auto" w:fill="EAF7FA"/>
          </w:tcPr>
          <w:p>
            <w:pPr>
              <w:ind w:left="190"/>
              <w:spacing w:after="0"/>
              <w:rPr>
                <w:sz w:val="20"/>
                <w:szCs w:val="20"/>
                <w:color w:val="auto"/>
              </w:rPr>
            </w:pPr>
            <w:r>
              <w:rPr>
                <w:rFonts w:ascii="Arial" w:cs="Arial" w:eastAsia="Arial" w:hAnsi="Arial"/>
                <w:sz w:val="16"/>
                <w:szCs w:val="16"/>
                <w:color w:val="0B3C61"/>
              </w:rPr>
              <w:t>employee training to</w:t>
            </w:r>
          </w:p>
        </w:tc>
        <w:tc>
          <w:tcPr>
            <w:tcW w:w="2348" w:type="dxa"/>
            <w:vAlign w:val="bottom"/>
            <w:shd w:val="clear" w:color="auto" w:fill="EAF7FA"/>
          </w:tcPr>
          <w:p>
            <w:pPr>
              <w:ind w:left="130"/>
              <w:spacing w:after="0"/>
              <w:rPr>
                <w:sz w:val="20"/>
                <w:szCs w:val="20"/>
                <w:color w:val="auto"/>
              </w:rPr>
            </w:pPr>
            <w:r>
              <w:rPr>
                <w:rFonts w:ascii="Arial" w:cs="Arial" w:eastAsia="Arial" w:hAnsi="Arial"/>
                <w:sz w:val="16"/>
                <w:szCs w:val="16"/>
                <w:color w:val="0B3C61"/>
              </w:rPr>
              <w:t>receive education on</w:t>
            </w:r>
          </w:p>
        </w:tc>
        <w:tc>
          <w:tcPr>
            <w:tcW w:w="2063" w:type="dxa"/>
            <w:vAlign w:val="bottom"/>
            <w:shd w:val="clear" w:color="auto" w:fill="EAF7FA"/>
          </w:tcPr>
          <w:p>
            <w:pPr>
              <w:ind w:left="183"/>
              <w:spacing w:after="0"/>
              <w:rPr>
                <w:sz w:val="20"/>
                <w:szCs w:val="20"/>
                <w:color w:val="auto"/>
              </w:rPr>
            </w:pPr>
            <w:r>
              <w:rPr>
                <w:rFonts w:ascii="Arial" w:cs="Arial" w:eastAsia="Arial" w:hAnsi="Arial"/>
                <w:sz w:val="16"/>
                <w:szCs w:val="16"/>
                <w:color w:val="0B3C61"/>
              </w:rPr>
              <w:t>development videos</w:t>
            </w:r>
          </w:p>
        </w:tc>
      </w:tr>
      <w:tr>
        <w:trPr>
          <w:trHeight w:val="189"/>
        </w:trPr>
        <w:tc>
          <w:tcPr>
            <w:tcW w:w="2530" w:type="dxa"/>
            <w:vAlign w:val="bottom"/>
            <w:shd w:val="clear" w:color="auto" w:fill="EAF7FA"/>
          </w:tcPr>
          <w:p>
            <w:pPr>
              <w:ind w:left="480"/>
              <w:spacing w:after="0"/>
              <w:rPr>
                <w:sz w:val="20"/>
                <w:szCs w:val="20"/>
                <w:color w:val="auto"/>
              </w:rPr>
            </w:pPr>
            <w:r>
              <w:rPr>
                <w:rFonts w:ascii="Arial" w:cs="Arial" w:eastAsia="Arial" w:hAnsi="Arial"/>
                <w:sz w:val="16"/>
                <w:szCs w:val="16"/>
                <w:color w:val="0B3C61"/>
              </w:rPr>
              <w:t>subsidiaries who are</w:t>
            </w:r>
          </w:p>
        </w:tc>
        <w:tc>
          <w:tcPr>
            <w:tcW w:w="2460" w:type="dxa"/>
            <w:vAlign w:val="bottom"/>
            <w:shd w:val="clear" w:color="auto" w:fill="EAF7FA"/>
          </w:tcPr>
          <w:p>
            <w:pPr>
              <w:ind w:left="190"/>
              <w:spacing w:after="0"/>
              <w:rPr>
                <w:sz w:val="20"/>
                <w:szCs w:val="20"/>
                <w:color w:val="auto"/>
              </w:rPr>
            </w:pPr>
            <w:r>
              <w:rPr>
                <w:rFonts w:ascii="Arial" w:cs="Arial" w:eastAsia="Arial" w:hAnsi="Arial"/>
                <w:sz w:val="16"/>
                <w:szCs w:val="16"/>
                <w:color w:val="0B3C61"/>
              </w:rPr>
              <w:t>further personal and</w:t>
            </w:r>
          </w:p>
        </w:tc>
        <w:tc>
          <w:tcPr>
            <w:tcW w:w="2348" w:type="dxa"/>
            <w:vAlign w:val="bottom"/>
            <w:shd w:val="clear" w:color="auto" w:fill="EAF7FA"/>
          </w:tcPr>
          <w:p>
            <w:pPr>
              <w:ind w:left="130"/>
              <w:spacing w:after="0"/>
              <w:rPr>
                <w:sz w:val="20"/>
                <w:szCs w:val="20"/>
                <w:color w:val="auto"/>
              </w:rPr>
            </w:pPr>
            <w:r>
              <w:rPr>
                <w:rFonts w:ascii="Arial" w:cs="Arial" w:eastAsia="Arial" w:hAnsi="Arial"/>
                <w:sz w:val="16"/>
                <w:szCs w:val="16"/>
                <w:color w:val="0B3C61"/>
              </w:rPr>
              <w:t>security awareness</w:t>
            </w:r>
          </w:p>
        </w:tc>
        <w:tc>
          <w:tcPr>
            <w:tcW w:w="2063" w:type="dxa"/>
            <w:vAlign w:val="bottom"/>
            <w:shd w:val="clear" w:color="auto" w:fill="EAF7FA"/>
          </w:tcPr>
          <w:p>
            <w:pPr>
              <w:ind w:left="183"/>
              <w:spacing w:after="0"/>
              <w:rPr>
                <w:sz w:val="20"/>
                <w:szCs w:val="20"/>
                <w:color w:val="auto"/>
              </w:rPr>
            </w:pPr>
            <w:r>
              <w:rPr>
                <w:rFonts w:ascii="Arial" w:cs="Arial" w:eastAsia="Arial" w:hAnsi="Arial"/>
                <w:sz w:val="16"/>
                <w:szCs w:val="16"/>
                <w:color w:val="0B3C61"/>
              </w:rPr>
              <w:t>completed by</w:t>
            </w:r>
          </w:p>
        </w:tc>
      </w:tr>
      <w:tr>
        <w:trPr>
          <w:trHeight w:val="189"/>
        </w:trPr>
        <w:tc>
          <w:tcPr>
            <w:tcW w:w="2530" w:type="dxa"/>
            <w:vAlign w:val="bottom"/>
            <w:shd w:val="clear" w:color="auto" w:fill="EAF7FA"/>
          </w:tcPr>
          <w:p>
            <w:pPr>
              <w:ind w:left="480"/>
              <w:spacing w:after="0"/>
              <w:rPr>
                <w:sz w:val="20"/>
                <w:szCs w:val="20"/>
                <w:color w:val="auto"/>
              </w:rPr>
            </w:pPr>
            <w:r>
              <w:rPr>
                <w:rFonts w:ascii="Arial" w:cs="Arial" w:eastAsia="Arial" w:hAnsi="Arial"/>
                <w:sz w:val="16"/>
                <w:szCs w:val="16"/>
                <w:color w:val="0B3C61"/>
              </w:rPr>
              <w:t>required to</w:t>
            </w:r>
          </w:p>
        </w:tc>
        <w:tc>
          <w:tcPr>
            <w:tcW w:w="2460" w:type="dxa"/>
            <w:vAlign w:val="bottom"/>
            <w:shd w:val="clear" w:color="auto" w:fill="EAF7FA"/>
          </w:tcPr>
          <w:p>
            <w:pPr>
              <w:ind w:left="190"/>
              <w:spacing w:after="0"/>
              <w:rPr>
                <w:sz w:val="20"/>
                <w:szCs w:val="20"/>
                <w:color w:val="auto"/>
              </w:rPr>
            </w:pPr>
            <w:r>
              <w:rPr>
                <w:rFonts w:ascii="Arial" w:cs="Arial" w:eastAsia="Arial" w:hAnsi="Arial"/>
                <w:sz w:val="16"/>
                <w:szCs w:val="16"/>
                <w:color w:val="0B3C61"/>
              </w:rPr>
              <w:t>professional</w:t>
            </w:r>
          </w:p>
        </w:tc>
        <w:tc>
          <w:tcPr>
            <w:tcW w:w="2348" w:type="dxa"/>
            <w:vAlign w:val="bottom"/>
            <w:shd w:val="clear" w:color="auto" w:fill="EAF7FA"/>
          </w:tcPr>
          <w:p>
            <w:pPr>
              <w:ind w:left="130"/>
              <w:spacing w:after="0"/>
              <w:rPr>
                <w:sz w:val="20"/>
                <w:szCs w:val="20"/>
                <w:color w:val="auto"/>
              </w:rPr>
            </w:pPr>
            <w:r>
              <w:rPr>
                <w:rFonts w:ascii="Arial" w:cs="Arial" w:eastAsia="Arial" w:hAnsi="Arial"/>
                <w:sz w:val="16"/>
                <w:szCs w:val="16"/>
                <w:color w:val="0B3C61"/>
              </w:rPr>
              <w:t>strategies throughout</w:t>
            </w:r>
          </w:p>
        </w:tc>
        <w:tc>
          <w:tcPr>
            <w:tcW w:w="2063" w:type="dxa"/>
            <w:vAlign w:val="bottom"/>
            <w:shd w:val="clear" w:color="auto" w:fill="EAF7FA"/>
          </w:tcPr>
          <w:p>
            <w:pPr>
              <w:ind w:left="183"/>
              <w:spacing w:after="0"/>
              <w:rPr>
                <w:sz w:val="20"/>
                <w:szCs w:val="20"/>
                <w:color w:val="auto"/>
              </w:rPr>
            </w:pPr>
            <w:r>
              <w:rPr>
                <w:rFonts w:ascii="Arial" w:cs="Arial" w:eastAsia="Arial" w:hAnsi="Arial"/>
                <w:sz w:val="16"/>
                <w:szCs w:val="16"/>
                <w:color w:val="0B3C61"/>
              </w:rPr>
              <w:t>employees in over</w:t>
            </w:r>
          </w:p>
        </w:tc>
      </w:tr>
      <w:tr>
        <w:trPr>
          <w:trHeight w:val="189"/>
        </w:trPr>
        <w:tc>
          <w:tcPr>
            <w:tcW w:w="2530" w:type="dxa"/>
            <w:vAlign w:val="bottom"/>
            <w:shd w:val="clear" w:color="auto" w:fill="EAF7FA"/>
          </w:tcPr>
          <w:p>
            <w:pPr>
              <w:ind w:left="480"/>
              <w:spacing w:after="0"/>
              <w:rPr>
                <w:sz w:val="20"/>
                <w:szCs w:val="20"/>
                <w:color w:val="auto"/>
              </w:rPr>
            </w:pPr>
            <w:r>
              <w:rPr>
                <w:rFonts w:ascii="Arial" w:cs="Arial" w:eastAsia="Arial" w:hAnsi="Arial"/>
                <w:sz w:val="16"/>
                <w:szCs w:val="16"/>
                <w:color w:val="0B3C61"/>
              </w:rPr>
              <w:t>participate in annual</w:t>
            </w:r>
          </w:p>
        </w:tc>
        <w:tc>
          <w:tcPr>
            <w:tcW w:w="2460" w:type="dxa"/>
            <w:vAlign w:val="bottom"/>
            <w:shd w:val="clear" w:color="auto" w:fill="EAF7FA"/>
          </w:tcPr>
          <w:p>
            <w:pPr>
              <w:ind w:left="190"/>
              <w:spacing w:after="0"/>
              <w:rPr>
                <w:sz w:val="20"/>
                <w:szCs w:val="20"/>
                <w:color w:val="auto"/>
              </w:rPr>
            </w:pPr>
            <w:r>
              <w:rPr>
                <w:rFonts w:ascii="Arial" w:cs="Arial" w:eastAsia="Arial" w:hAnsi="Arial"/>
                <w:sz w:val="16"/>
                <w:szCs w:val="16"/>
                <w:color w:val="0B3C61"/>
              </w:rPr>
              <w:t>development in a wide</w:t>
            </w:r>
          </w:p>
        </w:tc>
        <w:tc>
          <w:tcPr>
            <w:tcW w:w="2348" w:type="dxa"/>
            <w:vAlign w:val="bottom"/>
            <w:shd w:val="clear" w:color="auto" w:fill="EAF7FA"/>
          </w:tcPr>
          <w:p>
            <w:pPr>
              <w:ind w:left="130"/>
              <w:spacing w:after="0"/>
              <w:rPr>
                <w:sz w:val="20"/>
                <w:szCs w:val="20"/>
                <w:color w:val="auto"/>
              </w:rPr>
            </w:pPr>
            <w:r>
              <w:rPr>
                <w:rFonts w:ascii="Arial" w:cs="Arial" w:eastAsia="Arial" w:hAnsi="Arial"/>
                <w:sz w:val="16"/>
                <w:szCs w:val="16"/>
                <w:color w:val="0B3C61"/>
              </w:rPr>
              <w:t>the year to help keep</w:t>
            </w:r>
          </w:p>
        </w:tc>
        <w:tc>
          <w:tcPr>
            <w:tcW w:w="2063" w:type="dxa"/>
            <w:vAlign w:val="bottom"/>
            <w:shd w:val="clear" w:color="auto" w:fill="EAF7FA"/>
          </w:tcPr>
          <w:p>
            <w:pPr>
              <w:ind w:left="183"/>
              <w:spacing w:after="0"/>
              <w:rPr>
                <w:sz w:val="20"/>
                <w:szCs w:val="20"/>
                <w:color w:val="auto"/>
              </w:rPr>
            </w:pPr>
            <w:r>
              <w:rPr>
                <w:rFonts w:ascii="Arial" w:cs="Arial" w:eastAsia="Arial" w:hAnsi="Arial"/>
                <w:sz w:val="16"/>
                <w:szCs w:val="16"/>
                <w:color w:val="0B3C61"/>
              </w:rPr>
              <w:t>5,600 courses</w:t>
            </w:r>
          </w:p>
        </w:tc>
      </w:tr>
      <w:tr>
        <w:trPr>
          <w:trHeight w:val="189"/>
        </w:trPr>
        <w:tc>
          <w:tcPr>
            <w:tcW w:w="2530" w:type="dxa"/>
            <w:vAlign w:val="bottom"/>
            <w:shd w:val="clear" w:color="auto" w:fill="EAF7FA"/>
          </w:tcPr>
          <w:p>
            <w:pPr>
              <w:ind w:left="480"/>
              <w:spacing w:after="0"/>
              <w:rPr>
                <w:sz w:val="20"/>
                <w:szCs w:val="20"/>
                <w:color w:val="auto"/>
              </w:rPr>
            </w:pPr>
            <w:r>
              <w:rPr>
                <w:rFonts w:ascii="Arial" w:cs="Arial" w:eastAsia="Arial" w:hAnsi="Arial"/>
                <w:sz w:val="16"/>
                <w:szCs w:val="16"/>
                <w:color w:val="0B3C61"/>
              </w:rPr>
              <w:t>conflict-of-interest</w:t>
            </w:r>
          </w:p>
        </w:tc>
        <w:tc>
          <w:tcPr>
            <w:tcW w:w="2460" w:type="dxa"/>
            <w:vAlign w:val="bottom"/>
            <w:shd w:val="clear" w:color="auto" w:fill="EAF7FA"/>
          </w:tcPr>
          <w:p>
            <w:pPr>
              <w:ind w:left="190"/>
              <w:spacing w:after="0"/>
              <w:rPr>
                <w:sz w:val="20"/>
                <w:szCs w:val="20"/>
                <w:color w:val="auto"/>
              </w:rPr>
            </w:pPr>
            <w:r>
              <w:rPr>
                <w:rFonts w:ascii="Arial" w:cs="Arial" w:eastAsia="Arial" w:hAnsi="Arial"/>
                <w:sz w:val="16"/>
                <w:szCs w:val="16"/>
                <w:color w:val="0B3C61"/>
              </w:rPr>
              <w:t>variety of areas, such</w:t>
            </w:r>
          </w:p>
        </w:tc>
        <w:tc>
          <w:tcPr>
            <w:tcW w:w="2348" w:type="dxa"/>
            <w:vAlign w:val="bottom"/>
            <w:shd w:val="clear" w:color="auto" w:fill="EAF7FA"/>
          </w:tcPr>
          <w:p>
            <w:pPr>
              <w:ind w:left="130"/>
              <w:spacing w:after="0"/>
              <w:rPr>
                <w:sz w:val="20"/>
                <w:szCs w:val="20"/>
                <w:color w:val="auto"/>
              </w:rPr>
            </w:pPr>
            <w:r>
              <w:rPr>
                <w:rFonts w:ascii="Arial" w:cs="Arial" w:eastAsia="Arial" w:hAnsi="Arial"/>
                <w:sz w:val="16"/>
                <w:szCs w:val="16"/>
                <w:color w:val="0B3C61"/>
              </w:rPr>
              <w:t>them safe both at work</w:t>
            </w:r>
          </w:p>
        </w:tc>
        <w:tc>
          <w:tcPr>
            <w:tcW w:w="2063" w:type="dxa"/>
            <w:vAlign w:val="bottom"/>
            <w:shd w:val="clear" w:color="auto" w:fill="EAF7FA"/>
          </w:tcPr>
          <w:p>
            <w:pPr>
              <w:spacing w:after="0"/>
              <w:rPr>
                <w:sz w:val="16"/>
                <w:szCs w:val="16"/>
                <w:color w:val="auto"/>
              </w:rPr>
            </w:pPr>
          </w:p>
        </w:tc>
      </w:tr>
      <w:tr>
        <w:trPr>
          <w:trHeight w:val="189"/>
        </w:trPr>
        <w:tc>
          <w:tcPr>
            <w:tcW w:w="2530" w:type="dxa"/>
            <w:vAlign w:val="bottom"/>
            <w:shd w:val="clear" w:color="auto" w:fill="EAF7FA"/>
          </w:tcPr>
          <w:p>
            <w:pPr>
              <w:ind w:left="480"/>
              <w:spacing w:after="0"/>
              <w:rPr>
                <w:sz w:val="20"/>
                <w:szCs w:val="20"/>
                <w:color w:val="auto"/>
              </w:rPr>
            </w:pPr>
            <w:r>
              <w:rPr>
                <w:rFonts w:ascii="Arial" w:cs="Arial" w:eastAsia="Arial" w:hAnsi="Arial"/>
                <w:sz w:val="16"/>
                <w:szCs w:val="16"/>
                <w:color w:val="0B3C61"/>
              </w:rPr>
              <w:t>training</w:t>
            </w:r>
          </w:p>
        </w:tc>
        <w:tc>
          <w:tcPr>
            <w:tcW w:w="2460" w:type="dxa"/>
            <w:vAlign w:val="bottom"/>
            <w:shd w:val="clear" w:color="auto" w:fill="EAF7FA"/>
          </w:tcPr>
          <w:p>
            <w:pPr>
              <w:ind w:left="190"/>
              <w:spacing w:after="0"/>
              <w:rPr>
                <w:sz w:val="20"/>
                <w:szCs w:val="20"/>
                <w:color w:val="auto"/>
              </w:rPr>
            </w:pPr>
            <w:r>
              <w:rPr>
                <w:rFonts w:ascii="Arial" w:cs="Arial" w:eastAsia="Arial" w:hAnsi="Arial"/>
                <w:sz w:val="16"/>
                <w:szCs w:val="16"/>
                <w:color w:val="0B3C61"/>
              </w:rPr>
              <w:t>as leadership,</w:t>
            </w:r>
          </w:p>
        </w:tc>
        <w:tc>
          <w:tcPr>
            <w:tcW w:w="2348" w:type="dxa"/>
            <w:vAlign w:val="bottom"/>
            <w:shd w:val="clear" w:color="auto" w:fill="EAF7FA"/>
          </w:tcPr>
          <w:p>
            <w:pPr>
              <w:ind w:left="130"/>
              <w:spacing w:after="0"/>
              <w:rPr>
                <w:sz w:val="20"/>
                <w:szCs w:val="20"/>
                <w:color w:val="auto"/>
              </w:rPr>
            </w:pPr>
            <w:r>
              <w:rPr>
                <w:rFonts w:ascii="Arial" w:cs="Arial" w:eastAsia="Arial" w:hAnsi="Arial"/>
                <w:sz w:val="16"/>
                <w:szCs w:val="16"/>
                <w:color w:val="0B3C61"/>
              </w:rPr>
              <w:t>and at home</w:t>
            </w:r>
          </w:p>
        </w:tc>
        <w:tc>
          <w:tcPr>
            <w:tcW w:w="2063" w:type="dxa"/>
            <w:vAlign w:val="bottom"/>
            <w:shd w:val="clear" w:color="auto" w:fill="EAF7FA"/>
          </w:tcPr>
          <w:p>
            <w:pPr>
              <w:spacing w:after="0"/>
              <w:rPr>
                <w:sz w:val="16"/>
                <w:szCs w:val="16"/>
                <w:color w:val="auto"/>
              </w:rPr>
            </w:pPr>
          </w:p>
        </w:tc>
      </w:tr>
      <w:tr>
        <w:trPr>
          <w:trHeight w:val="189"/>
        </w:trPr>
        <w:tc>
          <w:tcPr>
            <w:tcW w:w="2530" w:type="dxa"/>
            <w:vAlign w:val="bottom"/>
            <w:shd w:val="clear" w:color="auto" w:fill="EAF7FA"/>
          </w:tcPr>
          <w:p>
            <w:pPr>
              <w:spacing w:after="0"/>
              <w:rPr>
                <w:sz w:val="16"/>
                <w:szCs w:val="16"/>
                <w:color w:val="auto"/>
              </w:rPr>
            </w:pPr>
          </w:p>
        </w:tc>
        <w:tc>
          <w:tcPr>
            <w:tcW w:w="2460" w:type="dxa"/>
            <w:vAlign w:val="bottom"/>
            <w:shd w:val="clear" w:color="auto" w:fill="EAF7FA"/>
          </w:tcPr>
          <w:p>
            <w:pPr>
              <w:ind w:left="190"/>
              <w:spacing w:after="0"/>
              <w:rPr>
                <w:sz w:val="20"/>
                <w:szCs w:val="20"/>
                <w:color w:val="auto"/>
              </w:rPr>
            </w:pPr>
            <w:r>
              <w:rPr>
                <w:rFonts w:ascii="Arial" w:cs="Arial" w:eastAsia="Arial" w:hAnsi="Arial"/>
                <w:sz w:val="16"/>
                <w:szCs w:val="16"/>
                <w:color w:val="0B3C61"/>
              </w:rPr>
              <w:t>inclusion, business</w:t>
            </w:r>
          </w:p>
        </w:tc>
        <w:tc>
          <w:tcPr>
            <w:tcW w:w="2348" w:type="dxa"/>
            <w:vAlign w:val="bottom"/>
            <w:shd w:val="clear" w:color="auto" w:fill="EAF7FA"/>
          </w:tcPr>
          <w:p>
            <w:pPr>
              <w:spacing w:after="0"/>
              <w:rPr>
                <w:sz w:val="16"/>
                <w:szCs w:val="16"/>
                <w:color w:val="auto"/>
              </w:rPr>
            </w:pPr>
          </w:p>
        </w:tc>
        <w:tc>
          <w:tcPr>
            <w:tcW w:w="2063" w:type="dxa"/>
            <w:vAlign w:val="bottom"/>
            <w:shd w:val="clear" w:color="auto" w:fill="EAF7FA"/>
          </w:tcPr>
          <w:p>
            <w:pPr>
              <w:spacing w:after="0"/>
              <w:rPr>
                <w:sz w:val="16"/>
                <w:szCs w:val="16"/>
                <w:color w:val="auto"/>
              </w:rPr>
            </w:pPr>
          </w:p>
        </w:tc>
      </w:tr>
      <w:tr>
        <w:trPr>
          <w:trHeight w:val="189"/>
        </w:trPr>
        <w:tc>
          <w:tcPr>
            <w:tcW w:w="2530" w:type="dxa"/>
            <w:vAlign w:val="bottom"/>
            <w:shd w:val="clear" w:color="auto" w:fill="EAF7FA"/>
          </w:tcPr>
          <w:p>
            <w:pPr>
              <w:spacing w:after="0"/>
              <w:rPr>
                <w:sz w:val="16"/>
                <w:szCs w:val="16"/>
                <w:color w:val="auto"/>
              </w:rPr>
            </w:pPr>
          </w:p>
        </w:tc>
        <w:tc>
          <w:tcPr>
            <w:tcW w:w="2460" w:type="dxa"/>
            <w:vAlign w:val="bottom"/>
            <w:shd w:val="clear" w:color="auto" w:fill="EAF7FA"/>
          </w:tcPr>
          <w:p>
            <w:pPr>
              <w:ind w:left="190"/>
              <w:spacing w:after="0"/>
              <w:rPr>
                <w:sz w:val="20"/>
                <w:szCs w:val="20"/>
                <w:color w:val="auto"/>
              </w:rPr>
            </w:pPr>
            <w:r>
              <w:rPr>
                <w:rFonts w:ascii="Arial" w:cs="Arial" w:eastAsia="Arial" w:hAnsi="Arial"/>
                <w:sz w:val="16"/>
                <w:szCs w:val="16"/>
                <w:color w:val="0B3C61"/>
              </w:rPr>
              <w:t>acumen and technical</w:t>
            </w:r>
          </w:p>
        </w:tc>
        <w:tc>
          <w:tcPr>
            <w:tcW w:w="2348" w:type="dxa"/>
            <w:vAlign w:val="bottom"/>
            <w:shd w:val="clear" w:color="auto" w:fill="EAF7FA"/>
          </w:tcPr>
          <w:p>
            <w:pPr>
              <w:spacing w:after="0"/>
              <w:rPr>
                <w:sz w:val="16"/>
                <w:szCs w:val="16"/>
                <w:color w:val="auto"/>
              </w:rPr>
            </w:pPr>
          </w:p>
        </w:tc>
        <w:tc>
          <w:tcPr>
            <w:tcW w:w="2063" w:type="dxa"/>
            <w:vAlign w:val="bottom"/>
            <w:shd w:val="clear" w:color="auto" w:fill="EAF7FA"/>
          </w:tcPr>
          <w:p>
            <w:pPr>
              <w:spacing w:after="0"/>
              <w:rPr>
                <w:sz w:val="16"/>
                <w:szCs w:val="16"/>
                <w:color w:val="auto"/>
              </w:rPr>
            </w:pPr>
          </w:p>
        </w:tc>
      </w:tr>
      <w:tr>
        <w:trPr>
          <w:trHeight w:val="215"/>
        </w:trPr>
        <w:tc>
          <w:tcPr>
            <w:tcW w:w="2530" w:type="dxa"/>
            <w:vAlign w:val="bottom"/>
            <w:shd w:val="clear" w:color="auto" w:fill="EAF7FA"/>
          </w:tcPr>
          <w:p>
            <w:pPr>
              <w:spacing w:after="0"/>
              <w:rPr>
                <w:sz w:val="18"/>
                <w:szCs w:val="18"/>
                <w:color w:val="auto"/>
              </w:rPr>
            </w:pPr>
          </w:p>
        </w:tc>
        <w:tc>
          <w:tcPr>
            <w:tcW w:w="2460" w:type="dxa"/>
            <w:vAlign w:val="bottom"/>
            <w:shd w:val="clear" w:color="auto" w:fill="EAF7FA"/>
          </w:tcPr>
          <w:p>
            <w:pPr>
              <w:ind w:left="190"/>
              <w:spacing w:after="0"/>
              <w:rPr>
                <w:sz w:val="20"/>
                <w:szCs w:val="20"/>
                <w:color w:val="auto"/>
              </w:rPr>
            </w:pPr>
            <w:r>
              <w:rPr>
                <w:rFonts w:ascii="Arial" w:cs="Arial" w:eastAsia="Arial" w:hAnsi="Arial"/>
                <w:sz w:val="16"/>
                <w:szCs w:val="16"/>
                <w:color w:val="0B3C61"/>
              </w:rPr>
              <w:t>skills</w:t>
            </w:r>
          </w:p>
        </w:tc>
        <w:tc>
          <w:tcPr>
            <w:tcW w:w="2348" w:type="dxa"/>
            <w:vAlign w:val="bottom"/>
            <w:shd w:val="clear" w:color="auto" w:fill="EAF7FA"/>
          </w:tcPr>
          <w:p>
            <w:pPr>
              <w:spacing w:after="0"/>
              <w:rPr>
                <w:sz w:val="18"/>
                <w:szCs w:val="18"/>
                <w:color w:val="auto"/>
              </w:rPr>
            </w:pPr>
          </w:p>
        </w:tc>
        <w:tc>
          <w:tcPr>
            <w:tcW w:w="2063" w:type="dxa"/>
            <w:vAlign w:val="bottom"/>
            <w:shd w:val="clear" w:color="auto" w:fill="EAF7FA"/>
          </w:tcPr>
          <w:p>
            <w:pPr>
              <w:spacing w:after="0"/>
              <w:rPr>
                <w:sz w:val="18"/>
                <w:szCs w:val="18"/>
                <w:color w:val="auto"/>
              </w:rPr>
            </w:pPr>
          </w:p>
        </w:tc>
      </w:tr>
      <w:tr>
        <w:trPr>
          <w:trHeight w:val="218"/>
        </w:trPr>
        <w:tc>
          <w:tcPr>
            <w:tcW w:w="2530" w:type="dxa"/>
            <w:vAlign w:val="bottom"/>
            <w:shd w:val="clear" w:color="auto" w:fill="EAF7FA"/>
          </w:tcPr>
          <w:p>
            <w:pPr>
              <w:spacing w:after="0"/>
              <w:rPr>
                <w:sz w:val="18"/>
                <w:szCs w:val="18"/>
                <w:color w:val="auto"/>
              </w:rPr>
            </w:pPr>
          </w:p>
        </w:tc>
        <w:tc>
          <w:tcPr>
            <w:tcW w:w="2460" w:type="dxa"/>
            <w:vAlign w:val="bottom"/>
            <w:shd w:val="clear" w:color="auto" w:fill="EAF7FA"/>
          </w:tcPr>
          <w:p>
            <w:pPr>
              <w:spacing w:after="0"/>
              <w:rPr>
                <w:sz w:val="18"/>
                <w:szCs w:val="18"/>
                <w:color w:val="auto"/>
              </w:rPr>
            </w:pPr>
          </w:p>
        </w:tc>
        <w:tc>
          <w:tcPr>
            <w:tcW w:w="2348" w:type="dxa"/>
            <w:vAlign w:val="bottom"/>
            <w:shd w:val="clear" w:color="auto" w:fill="EAF7FA"/>
          </w:tcPr>
          <w:p>
            <w:pPr>
              <w:spacing w:after="0"/>
              <w:rPr>
                <w:sz w:val="18"/>
                <w:szCs w:val="18"/>
                <w:color w:val="auto"/>
              </w:rPr>
            </w:pPr>
          </w:p>
        </w:tc>
        <w:tc>
          <w:tcPr>
            <w:tcW w:w="2063" w:type="dxa"/>
            <w:vAlign w:val="bottom"/>
            <w:shd w:val="clear" w:color="auto" w:fill="EAF7FA"/>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-1876425</wp:posOffset>
            </wp:positionV>
            <wp:extent cx="120015" cy="18770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0015" cy="1877060"/>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-1876425</wp:posOffset>
            </wp:positionV>
            <wp:extent cx="120015" cy="18770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0015" cy="1877060"/>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-1876425</wp:posOffset>
            </wp:positionV>
            <wp:extent cx="120015" cy="18770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0015" cy="1877060"/>
                    </a:xfrm>
                    <a:prstGeom prst="rect">
                      <a:avLst/>
                    </a:prstGeom>
                    <a:noFill/>
                  </pic:spPr>
                </pic:pic>
              </a:graphicData>
            </a:graphic>
          </wp:anchor>
        </w:drawing>
        <w:drawing>
          <wp:anchor simplePos="0" relativeHeight="251657728" behindDoc="1" locked="0" layoutInCell="0" allowOverlap="1">
            <wp:simplePos x="0" y="0"/>
            <wp:positionH relativeFrom="column">
              <wp:posOffset>312420</wp:posOffset>
            </wp:positionH>
            <wp:positionV relativeFrom="paragraph">
              <wp:posOffset>-4182745</wp:posOffset>
            </wp:positionV>
            <wp:extent cx="445770" cy="4457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45770" cy="44577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-4182745</wp:posOffset>
            </wp:positionV>
            <wp:extent cx="445770" cy="4457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45770" cy="44577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-4182745</wp:posOffset>
            </wp:positionV>
            <wp:extent cx="445770" cy="4457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45770" cy="445770"/>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-4182745</wp:posOffset>
            </wp:positionV>
            <wp:extent cx="445770" cy="4457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32 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MANAGING ENVIRONMENTAL RISK AND OPERATING SUSTAINABLY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97790</wp:posOffset>
            </wp:positionV>
            <wp:extent cx="5966460" cy="13887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6460" cy="13887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500"/>
        <w:spacing w:after="0"/>
        <w:rPr>
          <w:sz w:val="20"/>
          <w:szCs w:val="20"/>
          <w:color w:val="auto"/>
        </w:rPr>
      </w:pPr>
      <w:r>
        <w:rPr>
          <w:rFonts w:ascii="Arial" w:cs="Arial" w:eastAsia="Arial" w:hAnsi="Arial"/>
          <w:sz w:val="50"/>
          <w:szCs w:val="50"/>
          <w:color w:val="0B3C61"/>
        </w:rPr>
        <w:t>38%</w:t>
      </w:r>
    </w:p>
    <w:p>
      <w:pPr>
        <w:spacing w:after="0" w:line="93" w:lineRule="exact"/>
        <w:rPr>
          <w:sz w:val="20"/>
          <w:szCs w:val="20"/>
          <w:color w:val="auto"/>
        </w:rPr>
      </w:pPr>
    </w:p>
    <w:p>
      <w:pPr>
        <w:ind w:left="500" w:right="260"/>
        <w:spacing w:after="0" w:line="256" w:lineRule="auto"/>
        <w:rPr>
          <w:sz w:val="20"/>
          <w:szCs w:val="20"/>
          <w:color w:val="auto"/>
        </w:rPr>
      </w:pPr>
      <w:r>
        <w:rPr>
          <w:rFonts w:ascii="Arial" w:cs="Arial" w:eastAsia="Arial" w:hAnsi="Arial"/>
          <w:sz w:val="16"/>
          <w:szCs w:val="16"/>
          <w:color w:val="0B3C61"/>
        </w:rPr>
        <w:t>AFG office space that is LEED or ENERGY STAR certified for energy efficiency and other sustainability features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50"/>
          <w:szCs w:val="50"/>
          <w:color w:val="0B3C61"/>
        </w:rPr>
        <w:t>419​ tons</w:t>
      </w:r>
    </w:p>
    <w:p>
      <w:pPr>
        <w:spacing w:after="0" w:line="93"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0B3C61"/>
        </w:rPr>
        <w:t>Paper and cardboard diverted from landfills and recycled in our Cincinnati operations in the 2023-2025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50"/>
          <w:szCs w:val="50"/>
          <w:color w:val="0B3C61"/>
        </w:rPr>
        <w:t>107​ tons</w:t>
      </w:r>
    </w:p>
    <w:p>
      <w:pPr>
        <w:spacing w:after="0" w:line="93" w:lineRule="exact"/>
        <w:rPr>
          <w:sz w:val="20"/>
          <w:szCs w:val="20"/>
          <w:color w:val="auto"/>
        </w:rPr>
      </w:pPr>
    </w:p>
    <w:p>
      <w:pPr>
        <w:ind w:right="780"/>
        <w:spacing w:after="0" w:line="259" w:lineRule="auto"/>
        <w:rPr>
          <w:sz w:val="20"/>
          <w:szCs w:val="20"/>
          <w:color w:val="auto"/>
        </w:rPr>
      </w:pPr>
      <w:r>
        <w:rPr>
          <w:rFonts w:ascii="Arial" w:cs="Arial" w:eastAsia="Arial" w:hAnsi="Arial"/>
          <w:sz w:val="16"/>
          <w:szCs w:val="16"/>
          <w:color w:val="0B3C61"/>
        </w:rPr>
        <w:t>Tons of electronic waste diverted from landfills and recycled in the 2023-2025 period</w:t>
      </w:r>
    </w:p>
    <w:p>
      <w:pPr>
        <w:spacing w:after="0" w:line="387" w:lineRule="exact"/>
        <w:rPr>
          <w:sz w:val="20"/>
          <w:szCs w:val="20"/>
          <w:color w:val="auto"/>
        </w:rPr>
      </w:pPr>
    </w:p>
    <w:p>
      <w:pPr>
        <w:sectPr>
          <w:pgSz w:w="11900" w:h="16838" w:orient="portrait"/>
          <w:cols w:equalWidth="0" w:num="3">
            <w:col w:w="2820" w:space="720"/>
            <w:col w:w="2500" w:space="720"/>
            <w:col w:w="2640"/>
          </w:cols>
          <w:pgMar w:left="1240" w:top="114" w:right="1259" w:bottom="1440" w:gutter="0" w:footer="0" w:header="0"/>
          <w:type w:val="continuous"/>
        </w:sectPr>
      </w:pPr>
    </w:p>
    <w:p>
      <w:pPr>
        <w:spacing w:after="0" w:line="18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54565B"/>
        </w:rPr>
        <w:t>We believe that concentrating our efforts help us run our business more effectively, enhance our products, protect our customers, serve our communities and support approximately 8,500 employees worldwide.</w:t>
      </w:r>
    </w:p>
    <w:p>
      <w:pPr>
        <w:spacing w:after="0" w:line="3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54565B"/>
        </w:rPr>
        <w:t>AFG’s principal cultural goal is for all employees to feel included, respected and empowered to perform at their best. The Company recognizes the importance of developing specialized knowledge, offering leadership development opportunities and exemplifying a service-oriented culture. AFG respects human rights, fosters inclusion and values the unique perspective each employee brings to the workplace. Our Equal Employment Opportunity Policy, which governs all decisions related to employment, including requests for accommodations, requires that employment decisions are made without regard to race, color, religion, creed, national origin, citizenship status, ancestry, age, physical or mental disability, gender, sex, marital status, pregnancy (or related condition), sexual orientation, veteran status, genetic information, or any other factors that are protected by applicable federal, state or local law.</w:t>
      </w:r>
    </w:p>
    <w:p>
      <w:pPr>
        <w:spacing w:after="0" w:line="4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54565B"/>
        </w:rPr>
        <w:t>Our Chief Human Resources Officer, Ms. Gillis, regularly addresses the Board and the Compensation Committee. Recent topics addressed by Ms. Gillis have included human capital strategy, Company culture, succession planning, learning and development, total rewards and benefits, and talent evaluation, retention and acquisition. Ms. Gillis also discusses with the Board the results of the Company’s biennial employee engagement survey (“Employee Survey”) in years in which the survey is conducted. AFG views the Employee Survey as a critical resource to help inform management on employees’ views and perspectives on key matters. There was strong employee engagement in the most recent Employee Survey, conducted in 2024, with 92% of the Company’s employees participating. Management was encouraged by this high engagement and the positive overall results, which on the whole reaffirmed management’s belief that employees appreciate the Company’s culture and the opportunities available to them and understand their link to AFG’s strategy and business. Some of the highlights of the most recent Employee Survey are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289560</wp:posOffset>
            </wp:positionV>
            <wp:extent cx="5751830" cy="19627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5183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54565B"/>
        </w:rPr>
        <w:t> </w:t>
      </w:r>
    </w:p>
    <w:p>
      <w:pPr>
        <w:spacing w:after="0" w:line="10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54565B"/>
        </w:rPr>
        <w:t>Information regarding our corporate responsibility and sustainability efforts, including additional details from our most recent Employee Survey results, can be found on our website at www.AFGinc.com under “Corporate Social Responsibility” where you can review our Corporate Social Responsibility Report.</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0B3C61"/>
        </w:rPr>
        <w:t xml:space="preserve">2026 Proxy Statement | American Financial Group   </w:t>
      </w:r>
      <w:r>
        <w:rPr>
          <w:rFonts w:ascii="Arial" w:cs="Arial" w:eastAsia="Arial" w:hAnsi="Arial"/>
          <w:sz w:val="13"/>
          <w:szCs w:val="13"/>
          <w:b w:val="1"/>
          <w:bCs w:val="1"/>
          <w:color w:val="EA1D2D"/>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Shareholder Engagement</w:t>
      </w:r>
    </w:p>
    <w:p>
      <w:pPr>
        <w:spacing w:after="0" w:line="85" w:lineRule="exact"/>
        <w:rPr>
          <w:sz w:val="20"/>
          <w:szCs w:val="20"/>
          <w:color w:val="auto"/>
        </w:rPr>
      </w:pPr>
    </w:p>
    <w:p>
      <w:pPr>
        <w:spacing w:after="0" w:line="252" w:lineRule="auto"/>
        <w:rPr>
          <w:sz w:val="20"/>
          <w:szCs w:val="20"/>
          <w:color w:val="auto"/>
        </w:rPr>
      </w:pPr>
      <w:r>
        <w:rPr>
          <w:rFonts w:ascii="Arial" w:cs="Arial" w:eastAsia="Arial" w:hAnsi="Arial"/>
          <w:sz w:val="16"/>
          <w:szCs w:val="16"/>
          <w:color w:val="54565B"/>
        </w:rPr>
        <w:t>We maintain an ongoing, proactive outreach effort with our shareholders. Throughout the year, members of our Investor Relations team and our business leaders, including AFG’s Co-CEOs, President and CFO, as well as the President and Chief Operating Officer of Great American Insurance Group, engage with our shareholders to help increase their understanding of our business and strategy and to remain well-informed regarding their perspectives on a wide variety of topics. Management regularly engages with investors by participating in industry conferences. We also meet in person, virtually through online meetings and by telephone with shareholders at other times throughout the year to answer questions and solicit input on all matters of shareholder interest, including strategic, financial, governance and sustainability. We believe our engagement with shareholders has been productive and provides an open exchange of ideas and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167640</wp:posOffset>
            </wp:positionV>
            <wp:extent cx="5452110" cy="52120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452110" cy="5212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54565B"/>
        </w:rPr>
        <w:t xml:space="preserve">  </w:t>
      </w: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34 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Director Education</w:t>
      </w:r>
    </w:p>
    <w:p>
      <w:pPr>
        <w:spacing w:after="0" w:line="8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54565B"/>
        </w:rPr>
        <w:t>The Corporate Governance Committee facilitates participation by directors in continuing education programs, including accredited director education programs paid by the Company and structured internal programs presented by management at least annually.</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Annual Board Evaluation</w:t>
      </w:r>
    </w:p>
    <w:p>
      <w:pPr>
        <w:spacing w:after="0" w:line="85"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54565B"/>
        </w:rPr>
        <w:t>The Corporate Governance Committee oversees the Company’s annual Board evaluation process, which is designed to elicit candid feedback and recommendations from the directors that will improve the effectiveness of the Board and each of its committees. The Corporate Governance Committee annually determines the process to be utilized for conducting Board evaluations. In recent years, evaluations have consisted of individual Board member interviews, in each case conducted by an outside third party. These interviews cover a broad range of topics, including Board and Committee functioning, succession planning, governance and strategy, and allow each director the opportunity to provide feedback on their fellow directors. The results of the evaluation are compiled by the outside third party and discussed with the committees and with the full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167005</wp:posOffset>
            </wp:positionV>
            <wp:extent cx="5417820" cy="51949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17820" cy="5194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54565B"/>
        </w:rPr>
        <w:t xml:space="preserve">  </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0B3C61"/>
        </w:rPr>
        <w:t xml:space="preserve">2026 Proxy Statement | American Financial Group   </w:t>
      </w:r>
      <w:r>
        <w:rPr>
          <w:rFonts w:ascii="Arial" w:cs="Arial" w:eastAsia="Arial" w:hAnsi="Arial"/>
          <w:sz w:val="13"/>
          <w:szCs w:val="13"/>
          <w:b w:val="1"/>
          <w:bCs w:val="1"/>
          <w:color w:val="EA1D2D"/>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Executive Sessions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54565B"/>
        </w:rPr>
        <w:t>NYSE rules require independent directors to meet regularly in executive sessions. Four of these sessions were held during 2025.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54565B"/>
        </w:rPr>
        <w:t>The lead independent director presides over each session.</w:t>
      </w: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Communications with Directors</w:t>
      </w:r>
    </w:p>
    <w:p>
      <w:pPr>
        <w:spacing w:after="0" w:line="99" w:lineRule="exact"/>
        <w:rPr>
          <w:sz w:val="20"/>
          <w:szCs w:val="20"/>
          <w:color w:val="auto"/>
        </w:rPr>
      </w:pPr>
    </w:p>
    <w:p>
      <w:pPr>
        <w:spacing w:after="0" w:line="254" w:lineRule="auto"/>
        <w:rPr>
          <w:sz w:val="20"/>
          <w:szCs w:val="20"/>
          <w:color w:val="auto"/>
        </w:rPr>
      </w:pPr>
      <w:r>
        <w:rPr>
          <w:rFonts w:ascii="Arial" w:cs="Arial" w:eastAsia="Arial" w:hAnsi="Arial"/>
          <w:sz w:val="16"/>
          <w:szCs w:val="16"/>
          <w:color w:val="54565B"/>
        </w:rPr>
        <w:t>The Board of Directors has adopted procedures for shareholders and other interested parties to send written communications to the Board as a group. Communications must be clearly addressed either to the Board of Directors, a committee of the Board or any or all of the independent directors and sent to either of the individuals as set forth under, “Board Communications” in the Proxy Statement Summary. Any communications except for spam, junk mail, mass mailings, resumes, job inquiries, surveys, business solicitations or advertisements, or patently offensive, hostile, threatening or otherwise unsuitable or inappropriate material will be forwarded.</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Compensation Committee Interlocks and Insider Participation</w:t>
      </w:r>
    </w:p>
    <w:p>
      <w:pPr>
        <w:spacing w:after="0" w:line="99"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54565B"/>
        </w:rPr>
        <w:t>No member of AFG’s Compensation Committee was at any time during 2025 or at any other time an officer or employee of the Company, and none had any relationship with the Company requiring disclosure as a related-person transaction. None of our executive officers served on the compensation committee (or its equivalent) or board of directors of another entity that has, or had during any time during 2025, an executive officer who served as a member of our Board or our Compensation Committee.</w:t>
      </w: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Review, Approval or Ratification of Transactions with Related Persons</w:t>
      </w:r>
    </w:p>
    <w:p>
      <w:pPr>
        <w:spacing w:after="0" w:line="8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54565B"/>
        </w:rPr>
        <w:t>Stock exchange rules require that the Company conduct an appropriate review of all related party transactions (including those required to be disclosed by the Company pursuant to SEC Regulation S-K Item 404) for potential conflict of interest situations on an ongoing basis and that all such transactions must be reviewed and evaluated by the Audit Committee or another committee comprised of independent directors. The Audit Committee reviews and evaluates all transactions with related parties. In addition, our Audit Committee Charter provides that the Audit Committee review and approve all related party transactions involving directors, executive officers and significant shareholders of the Company that require disclosure pursuant to SEC Regulation S-K Item 404. In considering any transaction, the Committee may consider all relevant factors, including as applicable: the Company’s business rationale for entering into the transaction; the alternatives to entering into a related person transaction; whether the transaction is on terms comparable to those available to third parties, or in the case of employment relationships, to employees generally; the potential for the transaction to lead to an actual or apparent conflict of interest and any safeguards imposed to prevent such actual or apparent conflicts; and the overall fairness of the transaction to the Company.</w:t>
      </w:r>
    </w:p>
    <w:p>
      <w:pPr>
        <w:spacing w:after="0" w:line="65"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54565B"/>
        </w:rPr>
        <w:t>While the Company adheres to this policy for potential related person transactions, the policy is not in written form except as a part of listing agreements with the NYSE. However, approval of such related person transactions is evidenced by Audit Committee resolutions in accordance with our practice of reviewing and approving transactions in this manner.</w:t>
      </w:r>
    </w:p>
    <w:p>
      <w:pPr>
        <w:spacing w:after="0" w:line="5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54565B"/>
        </w:rPr>
        <w:t xml:space="preserve">Other than as follows, there were no such transactions in 2025 requiring disclosure under applicable rules. Craig Lindner, Jr., son of S. Craig Lindner, who serves as Divisional President of AFG Real Estate Investments, also serves as a director, and his compensation is discussed under “Director Compensation and Stock Ownership Guidelines” beginning on page </w:t>
      </w:r>
      <w:r>
        <w:rPr>
          <w:rFonts w:ascii="Arial" w:cs="Arial" w:eastAsia="Arial" w:hAnsi="Arial"/>
          <w:sz w:val="16"/>
          <w:szCs w:val="16"/>
          <w:u w:val="single" w:color="auto"/>
          <w:color w:val="0000EE"/>
        </w:rPr>
        <w:t>59</w:t>
      </w:r>
      <w:r>
        <w:rPr>
          <w:rFonts w:ascii="Arial" w:cs="Arial" w:eastAsia="Arial" w:hAnsi="Arial"/>
          <w:sz w:val="16"/>
          <w:szCs w:val="16"/>
          <w:color w:val="54565B"/>
        </w:rPr>
        <w:t>. A son-in-law of Mr. Berding who is employed by the Company received salary and bonus of approximately $275,000 for 2025 and participates in employee benefit plans, including equity incentive plans, commensurate with his position and tenure with the Company.</w:t>
      </w:r>
    </w:p>
    <w:p>
      <w:pPr>
        <w:spacing w:after="0" w:line="4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54565B"/>
        </w:rPr>
        <w:t>FC Cincinnati Holdings LLC and its subsidiaries and affiliates (collectively, “FC Cincinnati”) is a member of Major League Soccer and operates a professional soccer franchise in Cincinnati, Ohio. Carl H. Lindner III is the principal investor and Chief Executive Officer of FC Cincinnati and controls that entity by contract. The Company and its subsidiaries have several relationships with FC Cincinnati. The Company purchases tickets and merchandise from FC Cincinnati at rates generally offered to the public as it has for many years purchased tickets and merchandise from other local professional franchises and universities. In 2025, the Company paid approximately $392,833 to FC Cincinnati for tickets and merchandise. FC Cincinnati also purchases insurance policies from a subsidiary of the Company, and through a subsidiary insurance agency, under the same terms that would prevail between unrelated third parties. These amounts totaled approximately $166,000 in 2025. Mr. Thompson and a brother of Mr. Joseph are part owners of FC Cincinnati.</w:t>
      </w: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36 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222885</wp:posOffset>
            </wp:positionV>
            <wp:extent cx="59664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50"/>
          <w:szCs w:val="50"/>
          <w:color w:val="0B3C61"/>
        </w:rPr>
        <w:t>Compensation Discussion and Analysis</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Named Executive Officers</w:t>
      </w:r>
    </w:p>
    <w:p>
      <w:pPr>
        <w:spacing w:after="0" w:line="99"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54565B"/>
        </w:rPr>
        <w:t>In this section, we describe the material components of our executive compensation program for our named executive officers whose compensation is displayed in the 2025 Summary Compensation Table and the other compensation tables contained in this proxy statement. We also provide an overview of our executive compensation philosophy, and we explain how and why the Compensation Committee arrives at specific compensation policies and decisions.</w:t>
      </w:r>
    </w:p>
    <w:p>
      <w:pPr>
        <w:spacing w:after="0" w:line="4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54565B"/>
        </w:rPr>
        <w:t>Our 2025 named executive officers (“NEOs”) are our Co-Chief Executive Officers (“Co-CEOs”), our principal financial officer and the three other most highly compensated executive officers employed at the end of 2025 and are the same individuals as last year. They include:</w:t>
      </w:r>
    </w:p>
    <w:p>
      <w:pPr>
        <w:spacing w:after="0" w:line="63" w:lineRule="exact"/>
        <w:rPr>
          <w:sz w:val="20"/>
          <w:szCs w:val="20"/>
          <w:color w:val="auto"/>
        </w:rPr>
      </w:pPr>
    </w:p>
    <w:p>
      <w:pPr>
        <w:ind w:left="360" w:hanging="174"/>
        <w:spacing w:after="0"/>
        <w:tabs>
          <w:tab w:leader="none" w:pos="360" w:val="left"/>
        </w:tabs>
        <w:numPr>
          <w:ilvl w:val="0"/>
          <w:numId w:val="13"/>
        </w:numPr>
        <w:rPr>
          <w:rFonts w:ascii="Arial" w:cs="Arial" w:eastAsia="Arial" w:hAnsi="Arial"/>
          <w:sz w:val="16"/>
          <w:szCs w:val="16"/>
          <w:color w:val="54565B"/>
        </w:rPr>
      </w:pPr>
      <w:r>
        <w:rPr>
          <w:rFonts w:ascii="Arial" w:cs="Arial" w:eastAsia="Arial" w:hAnsi="Arial"/>
          <w:sz w:val="16"/>
          <w:szCs w:val="16"/>
          <w:color w:val="54565B"/>
        </w:rPr>
        <w:t>Carl H. Lindner III</w:t>
      </w:r>
    </w:p>
    <w:p>
      <w:pPr>
        <w:spacing w:after="0" w:line="21" w:lineRule="exact"/>
        <w:rPr>
          <w:rFonts w:ascii="Arial" w:cs="Arial" w:eastAsia="Arial" w:hAnsi="Arial"/>
          <w:sz w:val="16"/>
          <w:szCs w:val="16"/>
          <w:color w:val="54565B"/>
        </w:rPr>
      </w:pPr>
    </w:p>
    <w:p>
      <w:pPr>
        <w:ind w:left="360"/>
        <w:spacing w:after="0"/>
        <w:rPr>
          <w:rFonts w:ascii="Arial" w:cs="Arial" w:eastAsia="Arial" w:hAnsi="Arial"/>
          <w:sz w:val="16"/>
          <w:szCs w:val="16"/>
          <w:color w:val="54565B"/>
        </w:rPr>
      </w:pPr>
      <w:r>
        <w:rPr>
          <w:rFonts w:ascii="Arial" w:cs="Arial" w:eastAsia="Arial" w:hAnsi="Arial"/>
          <w:sz w:val="16"/>
          <w:szCs w:val="16"/>
          <w:color w:val="54565B"/>
        </w:rPr>
        <w:t>Co-Chief Executive Officer (Co-Principal Executive Officer)</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3"/>
        </w:numPr>
        <w:rPr>
          <w:rFonts w:ascii="Arial" w:cs="Arial" w:eastAsia="Arial" w:hAnsi="Arial"/>
          <w:sz w:val="16"/>
          <w:szCs w:val="16"/>
          <w:color w:val="54565B"/>
        </w:rPr>
      </w:pPr>
      <w:r>
        <w:rPr>
          <w:rFonts w:ascii="Arial" w:cs="Arial" w:eastAsia="Arial" w:hAnsi="Arial"/>
          <w:sz w:val="16"/>
          <w:szCs w:val="16"/>
          <w:color w:val="54565B"/>
        </w:rPr>
        <w:t>S. Craig Lindner</w:t>
      </w:r>
    </w:p>
    <w:p>
      <w:pPr>
        <w:spacing w:after="0" w:line="5" w:lineRule="exact"/>
        <w:rPr>
          <w:rFonts w:ascii="Arial" w:cs="Arial" w:eastAsia="Arial" w:hAnsi="Arial"/>
          <w:sz w:val="16"/>
          <w:szCs w:val="16"/>
          <w:color w:val="54565B"/>
        </w:rPr>
      </w:pPr>
    </w:p>
    <w:p>
      <w:pPr>
        <w:ind w:left="360"/>
        <w:spacing w:after="0"/>
        <w:rPr>
          <w:rFonts w:ascii="Arial" w:cs="Arial" w:eastAsia="Arial" w:hAnsi="Arial"/>
          <w:sz w:val="16"/>
          <w:szCs w:val="16"/>
          <w:color w:val="54565B"/>
        </w:rPr>
      </w:pPr>
      <w:r>
        <w:rPr>
          <w:rFonts w:ascii="Arial" w:cs="Arial" w:eastAsia="Arial" w:hAnsi="Arial"/>
          <w:sz w:val="16"/>
          <w:szCs w:val="16"/>
          <w:color w:val="54565B"/>
        </w:rPr>
        <w:t>Co-Chief Executive Officer (Co-Principal Executive Officer)</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3"/>
        </w:numPr>
        <w:rPr>
          <w:rFonts w:ascii="Arial" w:cs="Arial" w:eastAsia="Arial" w:hAnsi="Arial"/>
          <w:sz w:val="16"/>
          <w:szCs w:val="16"/>
          <w:color w:val="54565B"/>
        </w:rPr>
      </w:pPr>
      <w:r>
        <w:rPr>
          <w:rFonts w:ascii="Arial" w:cs="Arial" w:eastAsia="Arial" w:hAnsi="Arial"/>
          <w:sz w:val="16"/>
          <w:szCs w:val="16"/>
          <w:color w:val="54565B"/>
        </w:rPr>
        <w:t>John B. Berding</w:t>
      </w:r>
    </w:p>
    <w:p>
      <w:pPr>
        <w:spacing w:after="0" w:line="5" w:lineRule="exact"/>
        <w:rPr>
          <w:rFonts w:ascii="Arial" w:cs="Arial" w:eastAsia="Arial" w:hAnsi="Arial"/>
          <w:sz w:val="16"/>
          <w:szCs w:val="16"/>
          <w:color w:val="54565B"/>
        </w:rPr>
      </w:pPr>
    </w:p>
    <w:p>
      <w:pPr>
        <w:ind w:left="360"/>
        <w:spacing w:after="0"/>
        <w:rPr>
          <w:rFonts w:ascii="Arial" w:cs="Arial" w:eastAsia="Arial" w:hAnsi="Arial"/>
          <w:sz w:val="16"/>
          <w:szCs w:val="16"/>
          <w:color w:val="54565B"/>
        </w:rPr>
      </w:pPr>
      <w:r>
        <w:rPr>
          <w:rFonts w:ascii="Arial" w:cs="Arial" w:eastAsia="Arial" w:hAnsi="Arial"/>
          <w:sz w:val="16"/>
          <w:szCs w:val="16"/>
          <w:color w:val="54565B"/>
        </w:rPr>
        <w:t>President of AFG and American Money Management Corporation</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3"/>
        </w:numPr>
        <w:rPr>
          <w:rFonts w:ascii="Arial" w:cs="Arial" w:eastAsia="Arial" w:hAnsi="Arial"/>
          <w:sz w:val="16"/>
          <w:szCs w:val="16"/>
          <w:color w:val="54565B"/>
        </w:rPr>
      </w:pPr>
      <w:r>
        <w:rPr>
          <w:rFonts w:ascii="Arial" w:cs="Arial" w:eastAsia="Arial" w:hAnsi="Arial"/>
          <w:sz w:val="16"/>
          <w:szCs w:val="16"/>
          <w:color w:val="54565B"/>
        </w:rPr>
        <w:t>Brian S. Hertzman</w:t>
      </w:r>
    </w:p>
    <w:p>
      <w:pPr>
        <w:spacing w:after="0" w:line="5" w:lineRule="exact"/>
        <w:rPr>
          <w:rFonts w:ascii="Arial" w:cs="Arial" w:eastAsia="Arial" w:hAnsi="Arial"/>
          <w:sz w:val="16"/>
          <w:szCs w:val="16"/>
          <w:color w:val="54565B"/>
        </w:rPr>
      </w:pPr>
    </w:p>
    <w:p>
      <w:pPr>
        <w:ind w:left="360"/>
        <w:spacing w:after="0"/>
        <w:rPr>
          <w:rFonts w:ascii="Arial" w:cs="Arial" w:eastAsia="Arial" w:hAnsi="Arial"/>
          <w:sz w:val="16"/>
          <w:szCs w:val="16"/>
          <w:color w:val="54565B"/>
        </w:rPr>
      </w:pPr>
      <w:r>
        <w:rPr>
          <w:rFonts w:ascii="Arial" w:cs="Arial" w:eastAsia="Arial" w:hAnsi="Arial"/>
          <w:sz w:val="16"/>
          <w:szCs w:val="16"/>
          <w:color w:val="54565B"/>
        </w:rPr>
        <w:t>Senior Vice President and Chief Financial Officer (Principal Financial Officer)</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3"/>
        </w:numPr>
        <w:rPr>
          <w:rFonts w:ascii="Arial" w:cs="Arial" w:eastAsia="Arial" w:hAnsi="Arial"/>
          <w:sz w:val="16"/>
          <w:szCs w:val="16"/>
          <w:color w:val="54565B"/>
        </w:rPr>
      </w:pPr>
      <w:r>
        <w:rPr>
          <w:rFonts w:ascii="Arial" w:cs="Arial" w:eastAsia="Arial" w:hAnsi="Arial"/>
          <w:sz w:val="16"/>
          <w:szCs w:val="16"/>
          <w:color w:val="54565B"/>
        </w:rPr>
        <w:t>David L. Thompson</w:t>
      </w:r>
    </w:p>
    <w:p>
      <w:pPr>
        <w:spacing w:after="0" w:line="5" w:lineRule="exact"/>
        <w:rPr>
          <w:rFonts w:ascii="Arial" w:cs="Arial" w:eastAsia="Arial" w:hAnsi="Arial"/>
          <w:sz w:val="16"/>
          <w:szCs w:val="16"/>
          <w:color w:val="54565B"/>
        </w:rPr>
      </w:pPr>
    </w:p>
    <w:p>
      <w:pPr>
        <w:ind w:left="360"/>
        <w:spacing w:after="0"/>
        <w:rPr>
          <w:rFonts w:ascii="Arial" w:cs="Arial" w:eastAsia="Arial" w:hAnsi="Arial"/>
          <w:sz w:val="16"/>
          <w:szCs w:val="16"/>
          <w:color w:val="54565B"/>
        </w:rPr>
      </w:pPr>
      <w:r>
        <w:rPr>
          <w:rFonts w:ascii="Arial" w:cs="Arial" w:eastAsia="Arial" w:hAnsi="Arial"/>
          <w:sz w:val="16"/>
          <w:szCs w:val="16"/>
          <w:color w:val="54565B"/>
        </w:rPr>
        <w:t>President and Chief Operating Officer of Great American Insurance Group</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3"/>
        </w:numPr>
        <w:rPr>
          <w:rFonts w:ascii="Arial" w:cs="Arial" w:eastAsia="Arial" w:hAnsi="Arial"/>
          <w:sz w:val="16"/>
          <w:szCs w:val="16"/>
          <w:color w:val="54565B"/>
        </w:rPr>
      </w:pPr>
      <w:r>
        <w:rPr>
          <w:rFonts w:ascii="Arial" w:cs="Arial" w:eastAsia="Arial" w:hAnsi="Arial"/>
          <w:sz w:val="16"/>
          <w:szCs w:val="16"/>
          <w:color w:val="54565B"/>
        </w:rPr>
        <w:t>Mark A. Weiss</w:t>
      </w:r>
    </w:p>
    <w:p>
      <w:pPr>
        <w:spacing w:after="0" w:line="5" w:lineRule="exact"/>
        <w:rPr>
          <w:rFonts w:ascii="Arial" w:cs="Arial" w:eastAsia="Arial" w:hAnsi="Arial"/>
          <w:sz w:val="16"/>
          <w:szCs w:val="16"/>
          <w:color w:val="54565B"/>
        </w:rPr>
      </w:pPr>
    </w:p>
    <w:p>
      <w:pPr>
        <w:ind w:left="360"/>
        <w:spacing w:after="0"/>
        <w:rPr>
          <w:rFonts w:ascii="Arial" w:cs="Arial" w:eastAsia="Arial" w:hAnsi="Arial"/>
          <w:sz w:val="16"/>
          <w:szCs w:val="16"/>
          <w:color w:val="54565B"/>
        </w:rPr>
      </w:pPr>
      <w:r>
        <w:rPr>
          <w:rFonts w:ascii="Arial" w:cs="Arial" w:eastAsia="Arial" w:hAnsi="Arial"/>
          <w:sz w:val="16"/>
          <w:szCs w:val="16"/>
          <w:color w:val="54565B"/>
        </w:rPr>
        <w:t>Senior Vice President and General Counsel</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0B3C61"/>
        </w:rPr>
        <w:t>OVERVIEW OF COMPENSATION PROGRAM</w:t>
      </w:r>
    </w:p>
    <w:p>
      <w:pPr>
        <w:spacing w:after="0" w:line="83"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54565B"/>
        </w:rPr>
        <w:t>The Compensation Committee of the Board of Directors is responsible for designing the Company’s executive compensation program, reviewing and approving the compensation paid to the Company’s Co-CEOs and other Company senior executive officers, and overseeing the Company’s executive compensation policies. The Compensation Committee also administers the Company’s cash and equity incentive plans. In carrying out these responsibilities, the Compensation Committee seeks to ensure that the total compensation paid to the NEOs is fair, reasonable and competitive.</w:t>
      </w:r>
    </w:p>
    <w:p>
      <w:pPr>
        <w:spacing w:after="0" w:line="58"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54565B"/>
        </w:rPr>
        <w:t>AFG’s executive compensation philosophy balances attracting, motivating, retaining and rewarding executives with a compensation package competitive among its peers and maximizing shareholder value by designing and implementing programs that tie compensation earned to the short-term and long-term performance of the Company. In evaluating the pay-for-performance alignment, the Compensation Committee compares the Company’s compensation practices to those of a peer group of publicly-held insurance holding companies against which it competes for business, talent and shareholder investment (collectively and as further described below, the “Compensation Peer Group”).</w:t>
      </w:r>
    </w:p>
    <w:p>
      <w:pPr>
        <w:spacing w:after="0" w:line="6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54565B"/>
        </w:rPr>
        <w:t>Guided by principles that reinforce the Company’s pay-for-performance philosophy, NEO compensation includes five components: base salary; annual performance-based cash awards; long-term stock incentives; cash awards based on long-term performance; and other compensation, including certain perquisites. A significant portion of each NEO’s compensation is dependent upon the Company achieving business and financial goals.</w:t>
      </w:r>
    </w:p>
    <w:p>
      <w:pPr>
        <w:spacing w:after="0" w:line="4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54565B"/>
        </w:rPr>
        <w:t>As part of its compensation program philosophy, the Compensation Committee evaluates the total target and maximum compensation that can be earned by each NEO, rather than considering each individual component in isolation. As such, the Compensation Committee views perquisites as an element of total compensation and, accordingly, would consider the elimination or diminution of any perquisite as a decrease in total compensation.</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0B3C61"/>
        </w:rPr>
        <w:t xml:space="preserve">2026 Proxy Statement | American Financial Group   </w:t>
      </w:r>
      <w:r>
        <w:rPr>
          <w:rFonts w:ascii="Arial" w:cs="Arial" w:eastAsia="Arial" w:hAnsi="Arial"/>
          <w:sz w:val="13"/>
          <w:szCs w:val="13"/>
          <w:b w:val="1"/>
          <w:bCs w:val="1"/>
          <w:color w:val="EA1D2D"/>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Compensation Consultant Engagement</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6"/>
          <w:szCs w:val="16"/>
          <w:color w:val="54565B"/>
        </w:rPr>
        <w:t>From time to time, the Company engages Pay Governance LLC (“Pay Governance”) as its independent compensation consultant. The scope of these engagements varies from full assessments of the Company’s executive compensation program to specific consulting projects. The Company most recently engaged Pay Governance in 2024, when Pay Governance provided the Compensation Committee with outside independent analysis and perspectives relating to the Committee’s evaluation of proposed changes to the Senior Executive Annual Bonus Plan (“Annual Bonus Plan”) and the impact of those changes on the Company’s overall executive compensation program.</w:t>
      </w:r>
    </w:p>
    <w:p>
      <w:pPr>
        <w:spacing w:after="0" w:line="6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54565B"/>
        </w:rPr>
        <w:t>The Company has also previously engaged Pay Governance to provide the Compensation Committee with advice and recommendations regarding the Company’s compensation philosophy and strategies; advice on the Company’s peer group; evaluation of performance metrics and peer performance; and analysis and recommendations regarding the Company’s salaries and incentive compensation plans, executive benefits and Co-CEO perquisites.</w:t>
      </w:r>
    </w:p>
    <w:p>
      <w:pPr>
        <w:spacing w:after="0" w:line="5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54565B"/>
        </w:rPr>
        <w:t>The Compensation Committee has reviewed the independence of Pay Governance considering applicable SEC rules and NYSE listing standards regarding compensation consultant independence and has affirmatively concluded Pay Governance is independent from the Company and has no conflict of interest relating to its engagement.</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CEO Compensation</w:t>
      </w:r>
    </w:p>
    <w:p>
      <w:pPr>
        <w:spacing w:after="0" w:line="99"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54565B"/>
        </w:rPr>
        <w:t xml:space="preserve">The Company has Co-CEOs serving as principal executive officers. The Co-CEOs work together in determining overall corporate strategy and planning, as well as in assessing and managing enterprise risks and opportunities. Key factors affecting the Compensation Committee’s judgment with respect to the Co-CEOs include the nature and scope of their responsibilities and their effectiveness in leading initiatives to effectively manage capital and increase sustainable shareholder value, productivity, profitability and growth. The design of the compensation programs for the Co-CEOs reflects the Company’s leadership structure, which is discussed in more detail above under “Corporate Governance—Leadership Structure” on page </w:t>
      </w:r>
      <w:r>
        <w:rPr>
          <w:rFonts w:ascii="Arial" w:cs="Arial" w:eastAsia="Arial" w:hAnsi="Arial"/>
          <w:sz w:val="16"/>
          <w:szCs w:val="16"/>
          <w:u w:val="single" w:color="auto"/>
          <w:color w:val="0000EE"/>
        </w:rPr>
        <w:t>24</w:t>
      </w:r>
      <w:r>
        <w:rPr>
          <w:rFonts w:ascii="Arial" w:cs="Arial" w:eastAsia="Arial" w:hAnsi="Arial"/>
          <w:sz w:val="16"/>
          <w:szCs w:val="16"/>
          <w:color w:val="54565B"/>
        </w:rPr>
        <w:t>.</w:t>
      </w:r>
    </w:p>
    <w:p>
      <w:pPr>
        <w:spacing w:after="0" w:line="4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54565B"/>
        </w:rPr>
        <w:t>As in prior years, the Compensation Committee determined that the quantifiable measurements for each Co-CEO should be identical because the Compensation Committee believes that the Co-CEOs are ultimately jointly responsible for the Company achieving its objectives. Carl H. Lindner III also serves as CEO of AFG’s Great American Insurance Group and is primarily responsible for AFG’s property and casualty insurance operations. S. Craig Lindner is primarily responsible for AFG’s investment portfolio and heavily involved in capital management and strategic planning. Despite their different primary responsibilities, the Compensation Committee views the roles of the Co-CEOs as collaborative and complementary and does not seek to distinguish the performance of one from the other. Rather, the Compensation Committee scrutinized factors such as the Co-CEOs’ collective role in AFG’s achievement of operating and financial targets, the development of management personnel, the performance of the investment portfolio and the development and implementation of strategies and initiatives to enhance shareholder value.</w:t>
      </w:r>
    </w:p>
    <w:p>
      <w:pPr>
        <w:spacing w:after="0" w:line="64" w:lineRule="exact"/>
        <w:rPr>
          <w:sz w:val="20"/>
          <w:szCs w:val="20"/>
          <w:color w:val="auto"/>
        </w:rPr>
      </w:pPr>
    </w:p>
    <w:p>
      <w:pPr>
        <w:spacing w:after="0" w:line="254" w:lineRule="auto"/>
        <w:rPr>
          <w:sz w:val="20"/>
          <w:szCs w:val="20"/>
          <w:color w:val="auto"/>
        </w:rPr>
      </w:pPr>
      <w:r>
        <w:rPr>
          <w:rFonts w:ascii="Arial" w:cs="Arial" w:eastAsia="Arial" w:hAnsi="Arial"/>
          <w:sz w:val="16"/>
          <w:szCs w:val="16"/>
          <w:color w:val="54565B"/>
        </w:rPr>
        <w:t>The Co-CEOs’ performance-based compensation—consisting of annual incentive and long-term incentive components, as further discussed below—is based entirely on the achievement of objective measures of the Company’s business and financial performance. This differs from many companies in the Company’s Compensation Peer Group, which include some manner of subjective, discretionary component in their chief executive officer’s incentive compensation. As shown below, a majority of the compensation earned by the Co-CEOs for 2025 was based on objective measures of Company performance and consisted of long-term compensation components.</w:t>
      </w: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38 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240" w:top="114" w:right="1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2194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646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54565B"/>
        </w:rPr>
        <w:t xml:space="preserve">  </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54565B"/>
        </w:rPr>
        <w:t>Notably, over the past five-year period, the Co-CEOs have had no increase in:</w:t>
      </w:r>
    </w:p>
    <w:p>
      <w:pPr>
        <w:spacing w:after="0" w:line="113" w:lineRule="exact"/>
        <w:rPr>
          <w:sz w:val="20"/>
          <w:szCs w:val="20"/>
          <w:color w:val="auto"/>
        </w:rPr>
      </w:pPr>
    </w:p>
    <w:p>
      <w:pPr>
        <w:ind w:left="360" w:hanging="174"/>
        <w:spacing w:after="0"/>
        <w:tabs>
          <w:tab w:leader="none" w:pos="360" w:val="left"/>
        </w:tabs>
        <w:numPr>
          <w:ilvl w:val="0"/>
          <w:numId w:val="14"/>
        </w:numPr>
        <w:rPr>
          <w:rFonts w:ascii="Arial" w:cs="Arial" w:eastAsia="Arial" w:hAnsi="Arial"/>
          <w:sz w:val="16"/>
          <w:szCs w:val="16"/>
          <w:color w:val="54565B"/>
        </w:rPr>
      </w:pPr>
      <w:r>
        <w:rPr>
          <w:rFonts w:ascii="Arial" w:cs="Arial" w:eastAsia="Arial" w:hAnsi="Arial"/>
          <w:sz w:val="16"/>
          <w:szCs w:val="16"/>
          <w:color w:val="54565B"/>
        </w:rPr>
        <w:t>Base salary;</w:t>
      </w:r>
    </w:p>
    <w:p>
      <w:pPr>
        <w:spacing w:after="0" w:line="21" w:lineRule="exact"/>
        <w:rPr>
          <w:rFonts w:ascii="Arial" w:cs="Arial" w:eastAsia="Arial" w:hAnsi="Arial"/>
          <w:sz w:val="16"/>
          <w:szCs w:val="16"/>
          <w:color w:val="54565B"/>
        </w:rPr>
      </w:pPr>
    </w:p>
    <w:p>
      <w:pPr>
        <w:ind w:left="360" w:hanging="174"/>
        <w:spacing w:after="0"/>
        <w:tabs>
          <w:tab w:leader="none" w:pos="360" w:val="left"/>
        </w:tabs>
        <w:numPr>
          <w:ilvl w:val="0"/>
          <w:numId w:val="14"/>
        </w:numPr>
        <w:rPr>
          <w:rFonts w:ascii="Arial" w:cs="Arial" w:eastAsia="Arial" w:hAnsi="Arial"/>
          <w:sz w:val="16"/>
          <w:szCs w:val="16"/>
          <w:color w:val="54565B"/>
        </w:rPr>
      </w:pPr>
      <w:r>
        <w:rPr>
          <w:rFonts w:ascii="Arial" w:cs="Arial" w:eastAsia="Arial" w:hAnsi="Arial"/>
          <w:sz w:val="16"/>
          <w:szCs w:val="16"/>
          <w:color w:val="54565B"/>
        </w:rPr>
        <w:t>Annual incentive target compensation;</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4"/>
        </w:numPr>
        <w:rPr>
          <w:rFonts w:ascii="Arial" w:cs="Arial" w:eastAsia="Arial" w:hAnsi="Arial"/>
          <w:sz w:val="16"/>
          <w:szCs w:val="16"/>
          <w:color w:val="54565B"/>
        </w:rPr>
      </w:pPr>
      <w:r>
        <w:rPr>
          <w:rFonts w:ascii="Arial" w:cs="Arial" w:eastAsia="Arial" w:hAnsi="Arial"/>
          <w:sz w:val="16"/>
          <w:szCs w:val="16"/>
          <w:color w:val="54565B"/>
        </w:rPr>
        <w:t>Long-term incentive target compensation; or</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4"/>
        </w:numPr>
        <w:rPr>
          <w:rFonts w:ascii="Arial" w:cs="Arial" w:eastAsia="Arial" w:hAnsi="Arial"/>
          <w:sz w:val="16"/>
          <w:szCs w:val="16"/>
          <w:color w:val="54565B"/>
        </w:rPr>
      </w:pPr>
      <w:r>
        <w:rPr>
          <w:rFonts w:ascii="Arial" w:cs="Arial" w:eastAsia="Arial" w:hAnsi="Arial"/>
          <w:sz w:val="16"/>
          <w:szCs w:val="16"/>
          <w:color w:val="54565B"/>
        </w:rPr>
        <w:t>Targeted value of equity compensation.</w:t>
      </w:r>
    </w:p>
    <w:p>
      <w:pPr>
        <w:spacing w:after="0" w:line="7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54565B"/>
        </w:rPr>
        <w:t>When evaluating the Co-CEOs annual overall compensation, consistent with the approach of certain institutional investors and proxy advisory firms, the Compensation Committee considers the compensation of the highest-paid Co-CEO as “CEO compensation” and includes the other Co-CEO in its analysis as one of the three highest-paid, non-Chief Financial Officer officers. In addition, when considering the reasonableness of Co-CEO compensation, the Compensation Committee also compares the combined total compensation of the Co-CEOs to the compensation paid to the top two executives at the Company’s peers.</w:t>
      </w:r>
    </w:p>
    <w:p>
      <w:pPr>
        <w:spacing w:after="0" w:line="5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54565B"/>
        </w:rPr>
        <w:t>The Compensation Committee believes that the evaluation by certain institutional investors and proxy advisory firms of the Company’s pay-for-performance alignment is distorted by combining the compensation of the two Co-CEOs and representing that the combined compensation reflects “CEO” compensation. The Compensation Committee believes that this view skews compensation analysis and unfairly penalizes the Company for its leadership structure that the Board has determined is in the best interests of shareholders.</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0B3C61"/>
        </w:rPr>
        <w:t xml:space="preserve">2026 Proxy Statement | American Financial Group   </w:t>
      </w:r>
      <w:r>
        <w:rPr>
          <w:rFonts w:ascii="Arial" w:cs="Arial" w:eastAsia="Arial" w:hAnsi="Arial"/>
          <w:sz w:val="13"/>
          <w:szCs w:val="13"/>
          <w:b w:val="1"/>
          <w:bCs w:val="1"/>
          <w:color w:val="EA1D2D"/>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Establishing Total Compensation Levels</w:t>
      </w:r>
    </w:p>
    <w:p>
      <w:pPr>
        <w:spacing w:after="0" w:line="85"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54565B"/>
        </w:rPr>
        <w:t>The Compensation Committee believes that compensation levels for the Co-CEOs should be based primarily upon the Committee’s assessment of the Co-CEOs’ leadership performance and potential to enhance long-term sustainable shareholder value. The Compensation Committee relies upon a combination of judgment and guidelines in determining the amount and mix of compensation elements for the Co-CEOs. The compensation levels for the other NEOs are similarly determined by the Co-CEOs, and reviewed and approved by the Compensation Committee, again based primarily upon the assessment of each NEO’s leadership performance and potential to enhance long-term sustainable shareholder value.</w:t>
      </w:r>
    </w:p>
    <w:p>
      <w:pPr>
        <w:spacing w:after="0" w:line="60" w:lineRule="exact"/>
        <w:rPr>
          <w:sz w:val="20"/>
          <w:szCs w:val="20"/>
          <w:color w:val="auto"/>
        </w:rPr>
      </w:pPr>
    </w:p>
    <w:p>
      <w:pPr>
        <w:spacing w:after="0" w:line="259" w:lineRule="auto"/>
        <w:rPr>
          <w:sz w:val="20"/>
          <w:szCs w:val="20"/>
          <w:color w:val="auto"/>
        </w:rPr>
      </w:pPr>
      <w:r>
        <w:rPr>
          <w:rFonts w:ascii="Arial" w:cs="Arial" w:eastAsia="Arial" w:hAnsi="Arial"/>
          <w:sz w:val="16"/>
          <w:szCs w:val="16"/>
          <w:color w:val="54565B"/>
        </w:rPr>
        <w:t>The Compensation Committee and the Co-CEOs analyze peer groups, including the members of its Compensation Peer Group (as defined below), and industry pay rates at least annually in reviewing the appropriateness and competitiveness of the Company’s compensation programs. In analyzing market pay levels among the Compensation Peer Group, the Compensation Committee considers the variance in size among the companies, both in terms of revenues and market capitalization.</w:t>
      </w:r>
    </w:p>
    <w:p>
      <w:pPr>
        <w:spacing w:after="0" w:line="56"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54565B"/>
        </w:rPr>
        <w:t>The Compensation Committee utilizes the peer and industry review as a point of reference for measurement and not as a determinative factor. Although the Company seeks to offer total compensation to NEOs that is competitive with the compensation paid by companies in the Compensation Peer Group, the Company does not target or benchmark a particular percentile for its executives’ total pay packages or any individual pay components. Rather, the compensation levels and performance of the Compensation Peer Group constitute one of many factors considered by the Compensation Committee.</w:t>
      </w:r>
    </w:p>
    <w:p>
      <w:pPr>
        <w:spacing w:after="0" w:line="4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54565B"/>
        </w:rPr>
        <w:t>The Compensation Peer Group, which the Compensation Committee annually reviews and updates when appropriate, is designed to reflect the Company’s business mix and to consist of companies against which AFG competes for business, talent and shareholder investment. The Compensation Peer Group for 2025, which was unchanged from 2024, consists of the following companies:</w:t>
      </w:r>
    </w:p>
    <w:p>
      <w:pPr>
        <w:spacing w:after="0" w:line="70" w:lineRule="exact"/>
        <w:rPr>
          <w:sz w:val="20"/>
          <w:szCs w:val="20"/>
          <w:color w:val="auto"/>
        </w:rPr>
      </w:pPr>
    </w:p>
    <w:p>
      <w:pPr>
        <w:ind w:left="360" w:hanging="174"/>
        <w:spacing w:after="0"/>
        <w:tabs>
          <w:tab w:leader="none" w:pos="360" w:val="left"/>
        </w:tabs>
        <w:numPr>
          <w:ilvl w:val="0"/>
          <w:numId w:val="15"/>
        </w:numPr>
        <w:rPr>
          <w:rFonts w:ascii="Arial" w:cs="Arial" w:eastAsia="Arial" w:hAnsi="Arial"/>
          <w:sz w:val="16"/>
          <w:szCs w:val="16"/>
          <w:color w:val="54565B"/>
        </w:rPr>
      </w:pPr>
      <w:r>
        <w:rPr>
          <w:rFonts w:ascii="Arial" w:cs="Arial" w:eastAsia="Arial" w:hAnsi="Arial"/>
          <w:sz w:val="16"/>
          <w:szCs w:val="16"/>
          <w:color w:val="54565B"/>
        </w:rPr>
        <w:t>Arch Capital Group Ltd.</w:t>
      </w:r>
    </w:p>
    <w:p>
      <w:pPr>
        <w:spacing w:after="0" w:line="21" w:lineRule="exact"/>
        <w:rPr>
          <w:rFonts w:ascii="Arial" w:cs="Arial" w:eastAsia="Arial" w:hAnsi="Arial"/>
          <w:sz w:val="16"/>
          <w:szCs w:val="16"/>
          <w:color w:val="54565B"/>
        </w:rPr>
      </w:pPr>
    </w:p>
    <w:p>
      <w:pPr>
        <w:ind w:left="360" w:hanging="174"/>
        <w:spacing w:after="0"/>
        <w:tabs>
          <w:tab w:leader="none" w:pos="360" w:val="left"/>
        </w:tabs>
        <w:numPr>
          <w:ilvl w:val="0"/>
          <w:numId w:val="15"/>
        </w:numPr>
        <w:rPr>
          <w:rFonts w:ascii="Arial" w:cs="Arial" w:eastAsia="Arial" w:hAnsi="Arial"/>
          <w:sz w:val="16"/>
          <w:szCs w:val="16"/>
          <w:color w:val="54565B"/>
        </w:rPr>
      </w:pPr>
      <w:r>
        <w:rPr>
          <w:rFonts w:ascii="Arial" w:cs="Arial" w:eastAsia="Arial" w:hAnsi="Arial"/>
          <w:sz w:val="16"/>
          <w:szCs w:val="16"/>
          <w:color w:val="54565B"/>
        </w:rPr>
        <w:t>Assurant Inc.</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5"/>
        </w:numPr>
        <w:rPr>
          <w:rFonts w:ascii="Arial" w:cs="Arial" w:eastAsia="Arial" w:hAnsi="Arial"/>
          <w:sz w:val="16"/>
          <w:szCs w:val="16"/>
          <w:color w:val="54565B"/>
        </w:rPr>
      </w:pPr>
      <w:r>
        <w:rPr>
          <w:rFonts w:ascii="Arial" w:cs="Arial" w:eastAsia="Arial" w:hAnsi="Arial"/>
          <w:sz w:val="16"/>
          <w:szCs w:val="16"/>
          <w:color w:val="54565B"/>
        </w:rPr>
        <w:t>Axis Capital Holdings Limited</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5"/>
        </w:numPr>
        <w:rPr>
          <w:rFonts w:ascii="Arial" w:cs="Arial" w:eastAsia="Arial" w:hAnsi="Arial"/>
          <w:sz w:val="16"/>
          <w:szCs w:val="16"/>
          <w:color w:val="54565B"/>
        </w:rPr>
      </w:pPr>
      <w:r>
        <w:rPr>
          <w:rFonts w:ascii="Arial" w:cs="Arial" w:eastAsia="Arial" w:hAnsi="Arial"/>
          <w:sz w:val="16"/>
          <w:szCs w:val="16"/>
          <w:color w:val="54565B"/>
        </w:rPr>
        <w:t>Chubb Limited</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5"/>
        </w:numPr>
        <w:rPr>
          <w:rFonts w:ascii="Arial" w:cs="Arial" w:eastAsia="Arial" w:hAnsi="Arial"/>
          <w:sz w:val="16"/>
          <w:szCs w:val="16"/>
          <w:color w:val="54565B"/>
        </w:rPr>
      </w:pPr>
      <w:r>
        <w:rPr>
          <w:rFonts w:ascii="Arial" w:cs="Arial" w:eastAsia="Arial" w:hAnsi="Arial"/>
          <w:sz w:val="16"/>
          <w:szCs w:val="16"/>
          <w:color w:val="54565B"/>
        </w:rPr>
        <w:t>Cincinnati Financial Corporation</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5"/>
        </w:numPr>
        <w:rPr>
          <w:rFonts w:ascii="Arial" w:cs="Arial" w:eastAsia="Arial" w:hAnsi="Arial"/>
          <w:sz w:val="16"/>
          <w:szCs w:val="16"/>
          <w:color w:val="54565B"/>
        </w:rPr>
      </w:pPr>
      <w:r>
        <w:rPr>
          <w:rFonts w:ascii="Arial" w:cs="Arial" w:eastAsia="Arial" w:hAnsi="Arial"/>
          <w:sz w:val="16"/>
          <w:szCs w:val="16"/>
          <w:color w:val="54565B"/>
        </w:rPr>
        <w:t>CNA Financial Corp.</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5"/>
        </w:numPr>
        <w:rPr>
          <w:rFonts w:ascii="Arial" w:cs="Arial" w:eastAsia="Arial" w:hAnsi="Arial"/>
          <w:sz w:val="16"/>
          <w:szCs w:val="16"/>
          <w:color w:val="54565B"/>
        </w:rPr>
      </w:pPr>
      <w:r>
        <w:rPr>
          <w:rFonts w:ascii="Arial" w:cs="Arial" w:eastAsia="Arial" w:hAnsi="Arial"/>
          <w:sz w:val="16"/>
          <w:szCs w:val="16"/>
          <w:color w:val="54565B"/>
        </w:rPr>
        <w:t>The Hanover Insurance Group, Inc.</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5"/>
        </w:numPr>
        <w:rPr>
          <w:rFonts w:ascii="Arial" w:cs="Arial" w:eastAsia="Arial" w:hAnsi="Arial"/>
          <w:sz w:val="16"/>
          <w:szCs w:val="16"/>
          <w:color w:val="54565B"/>
        </w:rPr>
      </w:pPr>
      <w:r>
        <w:rPr>
          <w:rFonts w:ascii="Arial" w:cs="Arial" w:eastAsia="Arial" w:hAnsi="Arial"/>
          <w:sz w:val="16"/>
          <w:szCs w:val="16"/>
          <w:color w:val="54565B"/>
        </w:rPr>
        <w:t>Hartford Insurance Group, Inc.</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5"/>
        </w:numPr>
        <w:rPr>
          <w:rFonts w:ascii="Arial" w:cs="Arial" w:eastAsia="Arial" w:hAnsi="Arial"/>
          <w:sz w:val="16"/>
          <w:szCs w:val="16"/>
          <w:color w:val="54565B"/>
        </w:rPr>
      </w:pPr>
      <w:r>
        <w:rPr>
          <w:rFonts w:ascii="Arial" w:cs="Arial" w:eastAsia="Arial" w:hAnsi="Arial"/>
          <w:sz w:val="16"/>
          <w:szCs w:val="16"/>
          <w:color w:val="54565B"/>
        </w:rPr>
        <w:t>Markel Corporation</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5"/>
        </w:numPr>
        <w:rPr>
          <w:rFonts w:ascii="Arial" w:cs="Arial" w:eastAsia="Arial" w:hAnsi="Arial"/>
          <w:sz w:val="16"/>
          <w:szCs w:val="16"/>
          <w:color w:val="54565B"/>
        </w:rPr>
      </w:pPr>
      <w:r>
        <w:rPr>
          <w:rFonts w:ascii="Arial" w:cs="Arial" w:eastAsia="Arial" w:hAnsi="Arial"/>
          <w:sz w:val="16"/>
          <w:szCs w:val="16"/>
          <w:color w:val="54565B"/>
        </w:rPr>
        <w:t>RenaissanceRe Holdings Ltd.</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5"/>
        </w:numPr>
        <w:rPr>
          <w:rFonts w:ascii="Arial" w:cs="Arial" w:eastAsia="Arial" w:hAnsi="Arial"/>
          <w:sz w:val="16"/>
          <w:szCs w:val="16"/>
          <w:color w:val="54565B"/>
        </w:rPr>
      </w:pPr>
      <w:r>
        <w:rPr>
          <w:rFonts w:ascii="Arial" w:cs="Arial" w:eastAsia="Arial" w:hAnsi="Arial"/>
          <w:sz w:val="16"/>
          <w:szCs w:val="16"/>
          <w:color w:val="54565B"/>
        </w:rPr>
        <w:t>RLI Corp.</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5"/>
        </w:numPr>
        <w:rPr>
          <w:rFonts w:ascii="Arial" w:cs="Arial" w:eastAsia="Arial" w:hAnsi="Arial"/>
          <w:sz w:val="16"/>
          <w:szCs w:val="16"/>
          <w:color w:val="54565B"/>
        </w:rPr>
      </w:pPr>
      <w:r>
        <w:rPr>
          <w:rFonts w:ascii="Arial" w:cs="Arial" w:eastAsia="Arial" w:hAnsi="Arial"/>
          <w:sz w:val="16"/>
          <w:szCs w:val="16"/>
          <w:color w:val="54565B"/>
        </w:rPr>
        <w:t>Selective Insurance Group, Inc.</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5"/>
        </w:numPr>
        <w:rPr>
          <w:rFonts w:ascii="Arial" w:cs="Arial" w:eastAsia="Arial" w:hAnsi="Arial"/>
          <w:sz w:val="16"/>
          <w:szCs w:val="16"/>
          <w:color w:val="54565B"/>
        </w:rPr>
      </w:pPr>
      <w:r>
        <w:rPr>
          <w:rFonts w:ascii="Arial" w:cs="Arial" w:eastAsia="Arial" w:hAnsi="Arial"/>
          <w:sz w:val="16"/>
          <w:szCs w:val="16"/>
          <w:color w:val="54565B"/>
        </w:rPr>
        <w:t>The Travelers Companies, Inc.</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5"/>
        </w:numPr>
        <w:rPr>
          <w:rFonts w:ascii="Arial" w:cs="Arial" w:eastAsia="Arial" w:hAnsi="Arial"/>
          <w:sz w:val="16"/>
          <w:szCs w:val="16"/>
          <w:color w:val="54565B"/>
        </w:rPr>
      </w:pPr>
      <w:r>
        <w:rPr>
          <w:rFonts w:ascii="Arial" w:cs="Arial" w:eastAsia="Arial" w:hAnsi="Arial"/>
          <w:sz w:val="16"/>
          <w:szCs w:val="16"/>
          <w:color w:val="54565B"/>
        </w:rPr>
        <w:t>W. R. Berkley Corporation</w:t>
      </w:r>
    </w:p>
    <w:p>
      <w:pPr>
        <w:spacing w:after="0" w:line="8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54565B"/>
        </w:rPr>
        <w:t>The Compensation Committee’s decisions concerning the specific 2025 compensation elements for the Co-CEOs were made within this framework. The Compensation Committee also considered each Co-CEO’s performance and prior-year salary, incentive awards and other compensation. In all cases, specific decisions involving 2025 compensation were ultimately based upon the Compensation Committee’s judgment about the Co-CEOs’ performance, potential future contributions and about whether each payment or award would provide an appropriate incentive and reward for performance that sustains and enhances long-term shareholder value without subjecting the Company to inappropriate or unreasonable risk.</w:t>
      </w:r>
    </w:p>
    <w:p>
      <w:pPr>
        <w:spacing w:after="0" w:line="60"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54565B"/>
        </w:rPr>
        <w:t>Based on its review, the Compensation Committee found the NEOs’ total compensation to be reasonable and consistent with the Company’s pay-for-performance compensation philosophy.</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Compensation Risk Analysis</w:t>
      </w:r>
    </w:p>
    <w:p>
      <w:pPr>
        <w:spacing w:after="0" w:line="99"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54565B"/>
        </w:rPr>
        <w:t>The Compensation Committee has reviewed the risk profile of the components of AFG’s executive compensation programs, both individually and in the aggregate, including the performance objectives and target and maximum levels used in connection with incentive awards. The Company analyzes and structures its overall compensation program to discourage excessive risk-taking through</w:t>
      </w: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40 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54565B"/>
        </w:rPr>
        <w:t>a balanced use of compensation vehicles and metrics with an overall goal of delivering sustained long-term shareholder value while aligning executives’ interests with those of shareholders. Further, our program makes a substantial portion of each NEO’s compensation contingent on delivering performance results intended to benefit our shareholders. The Compensation Committee believes that AFG’s executive compensation programs incentivize the appropriate level of risk-taking behavior by its NEOs needed to grow the business, while encouraging prudent decision-making that focuses on both short-term and long-term results.</w:t>
      </w:r>
    </w:p>
    <w:p>
      <w:pPr>
        <w:spacing w:after="0" w:line="314" w:lineRule="exact"/>
        <w:rPr>
          <w:sz w:val="20"/>
          <w:szCs w:val="20"/>
          <w:color w:val="auto"/>
        </w:rPr>
      </w:pPr>
    </w:p>
    <w:p>
      <w:pPr>
        <w:ind w:right="560"/>
        <w:spacing w:after="0" w:line="272" w:lineRule="auto"/>
        <w:rPr>
          <w:sz w:val="20"/>
          <w:szCs w:val="20"/>
          <w:color w:val="auto"/>
        </w:rPr>
      </w:pPr>
      <w:r>
        <w:rPr>
          <w:rFonts w:ascii="Arial" w:cs="Arial" w:eastAsia="Arial" w:hAnsi="Arial"/>
          <w:sz w:val="22"/>
          <w:szCs w:val="22"/>
          <w:b w:val="1"/>
          <w:bCs w:val="1"/>
          <w:color w:val="54565B"/>
        </w:rPr>
        <w:t>No Change in Control or Employment Agreements; All Equity Awards Include “Double Trigger”</w:t>
      </w:r>
    </w:p>
    <w:p>
      <w:pPr>
        <w:spacing w:after="0" w:line="2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54565B"/>
        </w:rPr>
        <w:t>Neither of the Co-CEOs or any other NEO is a party to an employment or other agreement providing for severance or change in control payments.</w:t>
      </w:r>
    </w:p>
    <w:p>
      <w:pPr>
        <w:spacing w:after="0" w:line="2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54565B"/>
        </w:rPr>
        <w:t>Awards under the Company’s shareholder-approved equity incentive plan do not provide for automatic acceleration of awards for any participant, including the Co-CEOs and other NEOs. All awards include a “double trigger” provision providing that if the awards are assumed by the surviving entity in the change of control, vesting of the awards will not accelerate unless the participant also has a qualifying termination of employment (by the Company without cause or by the participant for good reason). If the surviving entity does not assume the equity awards upon the change in control, unvested awards will become vested upon the occurrence of the change in control.</w:t>
      </w: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Tally Sheets</w:t>
      </w:r>
    </w:p>
    <w:p>
      <w:pPr>
        <w:spacing w:after="0" w:line="8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54565B"/>
        </w:rPr>
        <w:t xml:space="preserve">The Compensation Committee reviews at least annually a comprehensive tally sheet compiled internally to review all elements of the NEOs’ compensation. The tally sheet includes all of the information that is reflected in the Summary Compensation Table as well as amounts and descriptions of perquisites not required to be specifically identified by SEC regulations, generally because the amount of such items are not deemed material under applicable SEC regulations. The review by the Compensation Committee analyzes how changes in any element of compensation would impact other elements. Such analysis has become a key facet of the Compensation Committee’s review of NEO compensation as various components, including perquisites, are deemed by the Compensation Committee to be important elements of an executive’s overall compensation. This also allows the Compensation Committee to make compensation decisions and evaluate management recommendations based upon a complete analysis of an NEO’s total compensation. In evaluating perquisites paid to the Co-CEOs, the Compensation Committee considered the annual limitations on certain perquisites applied by the Committee and described under “Perquisites and Other Personal Benefits” on page </w:t>
      </w:r>
      <w:r>
        <w:rPr>
          <w:rFonts w:ascii="Arial" w:cs="Arial" w:eastAsia="Arial" w:hAnsi="Arial"/>
          <w:sz w:val="16"/>
          <w:szCs w:val="16"/>
          <w:u w:val="single" w:color="auto"/>
          <w:color w:val="0000EE"/>
        </w:rPr>
        <w:t>52</w:t>
      </w:r>
      <w:r>
        <w:rPr>
          <w:rFonts w:ascii="Arial" w:cs="Arial" w:eastAsia="Arial" w:hAnsi="Arial"/>
          <w:sz w:val="16"/>
          <w:szCs w:val="16"/>
          <w:color w:val="54565B"/>
        </w:rPr>
        <w:t>.</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Equity Incentive Compensation</w:t>
      </w:r>
    </w:p>
    <w:p>
      <w:pPr>
        <w:spacing w:after="0" w:line="85"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54565B"/>
        </w:rPr>
        <w:t>The Compensation Committee views long-term incentive compensation in the form of equity awards as a critical element of the executive compensation program. The Company utilizes restricted share awards that cliff-vest after four years. The Compensation Committee believes that this incentivizes and rewards our NEOs for long-term performance based on the value of our common shares and aligns the interests of our NEOs and our shareholders. The Compensation Committee, as well as the Co-CEOs, also believe that the four-year cliff vesting period provides the Company with retention benefits for the NEOs and other key employees.</w:t>
      </w:r>
    </w:p>
    <w:p>
      <w:pPr>
        <w:spacing w:after="0" w:line="5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54565B"/>
        </w:rPr>
        <w:t>The Compensation Committee was mindful of the substantial ownership of the Company’s common shares by executive officers, particularly the Co-CEOs, and the effect of such ownership in aligning their interests with those of the Company’s shareholders.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Internal Pay Equity</w:t>
      </w:r>
    </w:p>
    <w:p>
      <w:pPr>
        <w:spacing w:after="0" w:line="99"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54565B"/>
        </w:rPr>
        <w:t>The Compensation Committee does not apply fixed ratios when conducting an analysis of the relative difference between the Co-CEOs’ compensation and the compensation of the Company’s other senior executives. However, the Compensation Committee believes that the Company’s internal pay equity structure is appropriate based upon the contributions to the success of the Company and as a means of motivation to other executives and employees.</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0B3C61"/>
        </w:rPr>
        <w:t xml:space="preserve">2026 Proxy Statement | American Financial Group   </w:t>
      </w:r>
      <w:r>
        <w:rPr>
          <w:rFonts w:ascii="Arial" w:cs="Arial" w:eastAsia="Arial" w:hAnsi="Arial"/>
          <w:sz w:val="13"/>
          <w:szCs w:val="13"/>
          <w:b w:val="1"/>
          <w:bCs w:val="1"/>
          <w:color w:val="EA1D2D"/>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Share Ownership Requirements</w:t>
      </w:r>
    </w:p>
    <w:p>
      <w:pPr>
        <w:spacing w:after="0" w:line="85"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54565B"/>
        </w:rPr>
        <w:t xml:space="preserve">The NEOs and other senior executives of the Company and its subsidiaries are subject to the Company’s share ownership requirements. Pursuant to the requirements, each Co-CEO must own five times his base salary in Company common shares while the other NEOs and certain other senior management members must own one times his or her base salary in Company common shares. The Company has also established share ownership guidelines for its non-employee directors and other senior management members of the Company, which are discussed below under “Executive Compensation—Director Compensation and Stock Ownership Guidelines” on page </w:t>
      </w:r>
      <w:r>
        <w:rPr>
          <w:rFonts w:ascii="Arial" w:cs="Arial" w:eastAsia="Arial" w:hAnsi="Arial"/>
          <w:sz w:val="16"/>
          <w:szCs w:val="16"/>
          <w:u w:val="single" w:color="auto"/>
          <w:color w:val="0000EE"/>
        </w:rPr>
        <w:t>59</w:t>
      </w:r>
      <w:r>
        <w:rPr>
          <w:rFonts w:ascii="Arial" w:cs="Arial" w:eastAsia="Arial" w:hAnsi="Arial"/>
          <w:sz w:val="16"/>
          <w:szCs w:val="16"/>
          <w:color w:val="54565B"/>
        </w:rPr>
        <w:t>.</w:t>
      </w: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Insider Trading Policy</w:t>
      </w:r>
    </w:p>
    <w:p>
      <w:pPr>
        <w:spacing w:after="0" w:line="85"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54565B"/>
        </w:rPr>
        <w:t>AFG’s Insider Trading Policy governs the purchase, sale and other dispositions of the Company’s securities by our directors, officers and employees, as well as their related persons (as defined in the Policy). The Company believes that these policies and procedures are reasonably designed to promote compliance with insider trading laws, rules and regulations and applicable listing standards. It is also the Company’s policy to comply with all applicable securities laws when transacting in its own securities. A copy of the Insider Trading Policy is filed as Exhibit 19 to the Company’s Annual Report on Form 10-K for the year ended December 31, 2024.</w:t>
      </w: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Hedging and Pledging Transactions</w:t>
      </w:r>
    </w:p>
    <w:p>
      <w:pPr>
        <w:spacing w:after="0" w:line="85" w:lineRule="exact"/>
        <w:rPr>
          <w:sz w:val="20"/>
          <w:szCs w:val="20"/>
          <w:color w:val="auto"/>
        </w:rPr>
      </w:pPr>
    </w:p>
    <w:p>
      <w:pPr>
        <w:spacing w:after="0" w:line="252" w:lineRule="auto"/>
        <w:rPr>
          <w:sz w:val="20"/>
          <w:szCs w:val="20"/>
          <w:color w:val="auto"/>
        </w:rPr>
      </w:pPr>
      <w:r>
        <w:rPr>
          <w:rFonts w:ascii="Arial" w:cs="Arial" w:eastAsia="Arial" w:hAnsi="Arial"/>
          <w:sz w:val="16"/>
          <w:szCs w:val="16"/>
          <w:color w:val="54565B"/>
        </w:rPr>
        <w:t>The Company’s Insider Trading Policy also governs the hedging and pledging of AFG common shares. Transactions involving hedging of Company shares by directors and executive officers are prohibited. The Policy discourages any pledging of the Company’s common shares, including holding common shares in a margin account. Directors and executive officers are required to obtain pre-approval from the Chair of the Corporate Governance Committee before pledging common shares. Such approval will be granted only if the individual can clearly demonstrate the financial capacity to repay the loan without resorting to the pledged securities and/or after a determination that the number of shares that the individual proposes to pledge is unlikely to affect the market for the common shares when viewed in relation to the market value or trading volume. For more than ten years, no NEO or director has pledged any common shares.</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Outside Consultants</w:t>
      </w:r>
    </w:p>
    <w:p>
      <w:pPr>
        <w:spacing w:after="0" w:line="85" w:lineRule="exact"/>
        <w:rPr>
          <w:sz w:val="20"/>
          <w:szCs w:val="20"/>
          <w:color w:val="auto"/>
        </w:rPr>
      </w:pPr>
    </w:p>
    <w:p>
      <w:pPr>
        <w:ind w:right="560"/>
        <w:spacing w:after="0" w:line="266" w:lineRule="auto"/>
        <w:rPr>
          <w:sz w:val="20"/>
          <w:szCs w:val="20"/>
          <w:color w:val="auto"/>
        </w:rPr>
      </w:pPr>
      <w:r>
        <w:rPr>
          <w:rFonts w:ascii="Arial" w:cs="Arial" w:eastAsia="Arial" w:hAnsi="Arial"/>
          <w:sz w:val="16"/>
          <w:szCs w:val="16"/>
          <w:color w:val="54565B"/>
        </w:rPr>
        <w:t>The Compensation Committee has the authority to retain and from time to time has retained outside consultants to assist in evaluating the Company’s executive compensation programs and practices. The Compensation Committee has engaged independent compensation consultant Pay Governance from time-to-time as discussed above.</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Tax Deductibility of Pay</w:t>
      </w:r>
    </w:p>
    <w:p>
      <w:pPr>
        <w:spacing w:after="0" w:line="85" w:lineRule="exact"/>
        <w:rPr>
          <w:sz w:val="20"/>
          <w:szCs w:val="20"/>
          <w:color w:val="auto"/>
        </w:rPr>
      </w:pPr>
    </w:p>
    <w:p>
      <w:pPr>
        <w:spacing w:after="0" w:line="250" w:lineRule="auto"/>
        <w:rPr>
          <w:sz w:val="20"/>
          <w:szCs w:val="20"/>
          <w:color w:val="auto"/>
        </w:rPr>
      </w:pPr>
      <w:r>
        <w:rPr>
          <w:rFonts w:ascii="Arial" w:cs="Arial" w:eastAsia="Arial" w:hAnsi="Arial"/>
          <w:sz w:val="16"/>
          <w:szCs w:val="16"/>
          <w:color w:val="54565B"/>
        </w:rPr>
        <w:t>On December 22, 2017, the Tax Cuts and Job Act of 2017 (the “TCJA”) was signed into law. The TCJA includes significant changes to the rules under Section 162(m) of the Internal Revenue Code for deducting certain executive compensation. In general, for years prior to 2018, Section 162(m) of the Internal Revenue Code disallowed a tax deduction to publicly held companies for compensation paid in any year to certain executive officers in excess of $1 million per officer that did not qualify as “performance-based compensation.” Under the TCJA, the exemption from Section 162(m)’s deduction limit for performance-based compensation has been repealed. The new rules generally apply to taxable years beginning after December 31, 2017, but do not apply to remuneration paid in future years pursuant to a written binding contract in effect on November 2, 2017 that is not modified in any material respect after that date. In December 2020 the Internal Revenue Service issued final regulations with regard to the new Section 162(m) rules provided by the TCJA. Despite the Compensation Committee’s efforts in prior years to structure certain incentive programs as “performance-based compensation” intended to be exempt from Section 162(m)’s deduction limits, because of uncertainties as to the interpretation and application of the new rules, no assurance can be given that compensation intended to satisfy the requirements for exemption from Section 162(m) in fact will do so.</w:t>
      </w: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42 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Section 409A</w:t>
      </w:r>
    </w:p>
    <w:p>
      <w:pPr>
        <w:spacing w:after="0" w:line="85"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54565B"/>
        </w:rPr>
        <w:t>Section 409A of the Internal Revenue Code requires that “nonqualified deferred compensation” be deferred and paid under plans or arrangements that satisfy the requirements of the law with respect to the timing of deferral elections, timing of payments and certain other matters. In general, it is AFG’s intention to design and administer its compensation and benefits plans and arrangements for all of its employees so that they are either exempt from, or satisfy the requirements of, Section 409A.</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Recovery of Prior Awards</w:t>
      </w:r>
    </w:p>
    <w:p>
      <w:pPr>
        <w:spacing w:after="0" w:line="85"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54565B"/>
        </w:rPr>
        <w:t>The Company’s Executive Officer Clawback Policy (the “Clawback Policy”) is designed to comply with the clawback rules adopted by the Securities and Exchange Commission and New York Stock Exchange rules. The Board has designated the Compensation Committee to administer the Clawback Policy. The Clawback Policy applies in the case of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recovery of such compensation applies regardless of whether an executive officer engaged in misconduct or otherwise caused or contributed to the requirement of an accounting restatement.</w:t>
      </w:r>
    </w:p>
    <w:p>
      <w:pPr>
        <w:spacing w:after="0" w:line="6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54565B"/>
        </w:rPr>
        <w:t>The Clawback Policy provides that the Company, on a reasonably prompt basis following such an accounting restatement, will require the reimbursement or forfeiture of erroneously-awarded compensation received by current and former executive officers during the three completed fiscal years immediately preceding the required restatement date over the amount of incentive-based compensation that otherwise would have been received had it been determined based on the restated amounts. The Company will provide any affected executive officer with a written notice of such amount and a demand for repayment or return. If an executive officer fails to repay erroneously awarded compensation to the Company when due, the Company will take all actions reasonable and appropriate to recover such amounts.</w:t>
      </w:r>
    </w:p>
    <w:p>
      <w:pPr>
        <w:spacing w:after="0" w:line="6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54565B"/>
        </w:rPr>
        <w:t>The Company’s ability to recoup incentive compensation paid under the Clawback Policy is in addition to the recoupment requirements of the Sarbanes-Oxley Act. Also, each of the Senior Executive Annual Bonus Plan and Senior Executive Long Term Incentive Compensation Plan contain specific provisions regarding recovery of awards in the event of restatement of materially inaccurate financial results, which provisions apply to senior employees of the Company beyond the executive officers to which the Clawback Policy applies.</w:t>
      </w:r>
    </w:p>
    <w:p>
      <w:pPr>
        <w:spacing w:after="0" w:line="45"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54565B"/>
        </w:rPr>
        <w:t>Additionally, the Company maintains a broader recoupment policy for performance awards that applies to senior management employees beyond the executive officer group to which the Clawback Policy applies.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0B3C61"/>
        </w:rPr>
        <w:t>2025 COMPENSATION COMPONENTS</w:t>
      </w:r>
    </w:p>
    <w:p>
      <w:pPr>
        <w:spacing w:after="0" w:line="8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54565B"/>
        </w:rPr>
        <w:t>The Compensation Committee carefully considers the mix of cash and equity compensation awarded to the NEOs and the extent to which such compensation aligns the interests of the NEOs with those of AFG’s shareholders. The Compensation Committee annually considers and discusses the structure of the Company’s executive compensation program and the relative weighting of various compensation elements. For 2025, the principal components of compensation for NEOs were unchanged from recent prior years:</w:t>
      </w:r>
    </w:p>
    <w:p>
      <w:pPr>
        <w:spacing w:after="0" w:line="72" w:lineRule="exact"/>
        <w:rPr>
          <w:sz w:val="20"/>
          <w:szCs w:val="20"/>
          <w:color w:val="auto"/>
        </w:rPr>
      </w:pPr>
    </w:p>
    <w:p>
      <w:pPr>
        <w:ind w:left="360" w:hanging="174"/>
        <w:spacing w:after="0"/>
        <w:tabs>
          <w:tab w:leader="none" w:pos="360" w:val="left"/>
        </w:tabs>
        <w:numPr>
          <w:ilvl w:val="0"/>
          <w:numId w:val="16"/>
        </w:numPr>
        <w:rPr>
          <w:rFonts w:ascii="Arial" w:cs="Arial" w:eastAsia="Arial" w:hAnsi="Arial"/>
          <w:sz w:val="16"/>
          <w:szCs w:val="16"/>
          <w:color w:val="54565B"/>
        </w:rPr>
      </w:pPr>
      <w:r>
        <w:rPr>
          <w:rFonts w:ascii="Arial" w:cs="Arial" w:eastAsia="Arial" w:hAnsi="Arial"/>
          <w:sz w:val="16"/>
          <w:szCs w:val="16"/>
          <w:color w:val="54565B"/>
        </w:rPr>
        <w:t>base salary;</w:t>
      </w:r>
    </w:p>
    <w:p>
      <w:pPr>
        <w:spacing w:after="0" w:line="21" w:lineRule="exact"/>
        <w:rPr>
          <w:rFonts w:ascii="Arial" w:cs="Arial" w:eastAsia="Arial" w:hAnsi="Arial"/>
          <w:sz w:val="16"/>
          <w:szCs w:val="16"/>
          <w:color w:val="54565B"/>
        </w:rPr>
      </w:pPr>
    </w:p>
    <w:p>
      <w:pPr>
        <w:ind w:left="360" w:hanging="174"/>
        <w:spacing w:after="0"/>
        <w:tabs>
          <w:tab w:leader="none" w:pos="360" w:val="left"/>
        </w:tabs>
        <w:numPr>
          <w:ilvl w:val="0"/>
          <w:numId w:val="16"/>
        </w:numPr>
        <w:rPr>
          <w:rFonts w:ascii="Arial" w:cs="Arial" w:eastAsia="Arial" w:hAnsi="Arial"/>
          <w:sz w:val="16"/>
          <w:szCs w:val="16"/>
          <w:color w:val="54565B"/>
        </w:rPr>
      </w:pPr>
      <w:r>
        <w:rPr>
          <w:rFonts w:ascii="Arial" w:cs="Arial" w:eastAsia="Arial" w:hAnsi="Arial"/>
          <w:sz w:val="16"/>
          <w:szCs w:val="16"/>
          <w:color w:val="54565B"/>
        </w:rPr>
        <w:t>annual performance-based incentive compensation;</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6"/>
        </w:numPr>
        <w:rPr>
          <w:rFonts w:ascii="Arial" w:cs="Arial" w:eastAsia="Arial" w:hAnsi="Arial"/>
          <w:sz w:val="16"/>
          <w:szCs w:val="16"/>
          <w:color w:val="54565B"/>
        </w:rPr>
      </w:pPr>
      <w:r>
        <w:rPr>
          <w:rFonts w:ascii="Arial" w:cs="Arial" w:eastAsia="Arial" w:hAnsi="Arial"/>
          <w:sz w:val="16"/>
          <w:szCs w:val="16"/>
          <w:color w:val="54565B"/>
        </w:rPr>
        <w:t>long-term performance-based incentive compensation;</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6"/>
        </w:numPr>
        <w:rPr>
          <w:rFonts w:ascii="Arial" w:cs="Arial" w:eastAsia="Arial" w:hAnsi="Arial"/>
          <w:sz w:val="16"/>
          <w:szCs w:val="16"/>
          <w:color w:val="54565B"/>
        </w:rPr>
      </w:pPr>
      <w:r>
        <w:rPr>
          <w:rFonts w:ascii="Arial" w:cs="Arial" w:eastAsia="Arial" w:hAnsi="Arial"/>
          <w:sz w:val="16"/>
          <w:szCs w:val="16"/>
          <w:color w:val="54565B"/>
        </w:rPr>
        <w:t>retirement and deferred compensation benefits; and</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6"/>
        </w:numPr>
        <w:rPr>
          <w:rFonts w:ascii="Arial" w:cs="Arial" w:eastAsia="Arial" w:hAnsi="Arial"/>
          <w:sz w:val="16"/>
          <w:szCs w:val="16"/>
          <w:color w:val="54565B"/>
        </w:rPr>
      </w:pPr>
      <w:r>
        <w:rPr>
          <w:rFonts w:ascii="Arial" w:cs="Arial" w:eastAsia="Arial" w:hAnsi="Arial"/>
          <w:sz w:val="16"/>
          <w:szCs w:val="16"/>
          <w:color w:val="54565B"/>
        </w:rPr>
        <w:t>perquisites and other personal benefits.</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3"/>
          <w:szCs w:val="13"/>
          <w:color w:val="0B3C61"/>
        </w:rPr>
        <w:t xml:space="preserve">2026 Proxy Statement | American Financial Group   </w:t>
      </w:r>
      <w:r>
        <w:rPr>
          <w:rFonts w:ascii="Arial" w:cs="Arial" w:eastAsia="Arial" w:hAnsi="Arial"/>
          <w:sz w:val="13"/>
          <w:szCs w:val="13"/>
          <w:b w:val="1"/>
          <w:bCs w:val="1"/>
          <w:color w:val="EA1D2D"/>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54565B"/>
        </w:rPr>
        <w:t>Each of these components plays a different strategic role in the Company’s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97790</wp:posOffset>
            </wp:positionV>
            <wp:extent cx="5966460" cy="3346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6460" cy="3346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53" w:lineRule="exact"/>
        <w:rPr>
          <w:sz w:val="20"/>
          <w:szCs w:val="20"/>
          <w:color w:val="auto"/>
        </w:rPr>
      </w:pPr>
    </w:p>
    <w:p>
      <w:pPr>
        <w:ind w:left="240"/>
        <w:spacing w:after="0"/>
        <w:tabs>
          <w:tab w:leader="none" w:pos="1440" w:val="left"/>
        </w:tabs>
        <w:rPr>
          <w:sz w:val="20"/>
          <w:szCs w:val="20"/>
          <w:color w:val="auto"/>
        </w:rPr>
      </w:pPr>
      <w:r>
        <w:rPr>
          <w:rFonts w:ascii="Arial" w:cs="Arial" w:eastAsia="Arial" w:hAnsi="Arial"/>
          <w:sz w:val="14"/>
          <w:szCs w:val="14"/>
          <w:color w:val="FFFFFF"/>
        </w:rPr>
        <w:t>Compensation</w:t>
      </w:r>
      <w:r>
        <w:rPr>
          <w:sz w:val="20"/>
          <w:szCs w:val="20"/>
          <w:color w:val="auto"/>
        </w:rPr>
        <w:tab/>
      </w:r>
      <w:r>
        <w:rPr>
          <w:rFonts w:ascii="Arial" w:cs="Arial" w:eastAsia="Arial" w:hAnsi="Arial"/>
          <w:sz w:val="14"/>
          <w:szCs w:val="14"/>
          <w:color w:val="FFFFFF"/>
        </w:rPr>
        <w:t>Compensation</w:t>
      </w:r>
    </w:p>
    <w:p>
      <w:pPr>
        <w:spacing w:after="0" w:line="15" w:lineRule="exact"/>
        <w:rPr>
          <w:sz w:val="20"/>
          <w:szCs w:val="20"/>
          <w:color w:val="auto"/>
        </w:rPr>
      </w:pPr>
    </w:p>
    <w:p>
      <w:pPr>
        <w:ind w:left="240"/>
        <w:spacing w:after="0"/>
        <w:tabs>
          <w:tab w:leader="none" w:pos="1440" w:val="left"/>
        </w:tabs>
        <w:rPr>
          <w:sz w:val="20"/>
          <w:szCs w:val="20"/>
          <w:color w:val="auto"/>
        </w:rPr>
      </w:pPr>
      <w:r>
        <w:rPr>
          <w:rFonts w:ascii="Arial" w:cs="Arial" w:eastAsia="Arial" w:hAnsi="Arial"/>
          <w:sz w:val="14"/>
          <w:szCs w:val="14"/>
          <w:color w:val="FFFFFF"/>
        </w:rPr>
        <w:t>Type</w:t>
      </w:r>
      <w:r>
        <w:rPr>
          <w:sz w:val="20"/>
          <w:szCs w:val="20"/>
          <w:color w:val="auto"/>
        </w:rPr>
        <w:tab/>
      </w:r>
      <w:r>
        <w:rPr>
          <w:rFonts w:ascii="Arial" w:cs="Arial" w:eastAsia="Arial" w:hAnsi="Arial"/>
          <w:sz w:val="14"/>
          <w:szCs w:val="14"/>
          <w:color w:val="FFFFFF"/>
        </w:rPr>
        <w:t>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237490</wp:posOffset>
            </wp:positionV>
            <wp:extent cx="8890" cy="548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548640"/>
                    </a:xfrm>
                    <a:prstGeom prst="rect">
                      <a:avLst/>
                    </a:prstGeom>
                    <a:noFill/>
                  </pic:spPr>
                </pic:pic>
              </a:graphicData>
            </a:graphic>
          </wp:anchor>
        </w:drawing>
      </w:r>
    </w:p>
    <w:p>
      <w:pPr>
        <w:spacing w:after="0" w:line="372"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54565B"/>
        </w:rPr>
        <w:t xml:space="preserve">Base salary </w:t>
      </w:r>
      <w:r>
        <w:rPr>
          <w:rFonts w:ascii="Arial" w:cs="Arial" w:eastAsia="Arial" w:hAnsi="Arial"/>
          <w:sz w:val="14"/>
          <w:szCs w:val="14"/>
          <w:color w:val="54565B"/>
        </w:rPr>
        <w:t>is determined</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4"/>
          <w:szCs w:val="14"/>
          <w:color w:val="54565B"/>
        </w:rPr>
        <w:t>based on position, scope of</w:t>
      </w:r>
    </w:p>
    <w:p>
      <w:pPr>
        <w:spacing w:after="0" w:line="1" w:lineRule="exact"/>
        <w:rPr>
          <w:sz w:val="20"/>
          <w:szCs w:val="20"/>
          <w:color w:val="auto"/>
        </w:rPr>
      </w:pPr>
    </w:p>
    <w:p>
      <w:pPr>
        <w:ind w:left="1460" w:hanging="1219"/>
        <w:spacing w:after="0" w:line="252" w:lineRule="auto"/>
        <w:tabs>
          <w:tab w:leader="none" w:pos="1440" w:val="left"/>
        </w:tabs>
        <w:rPr>
          <w:sz w:val="20"/>
          <w:szCs w:val="20"/>
          <w:color w:val="auto"/>
        </w:rPr>
      </w:pPr>
      <w:r>
        <w:rPr>
          <w:rFonts w:ascii="Arial" w:cs="Arial" w:eastAsia="Arial" w:hAnsi="Arial"/>
          <w:sz w:val="14"/>
          <w:szCs w:val="14"/>
          <w:b w:val="1"/>
          <w:bCs w:val="1"/>
          <w:color w:val="54565B"/>
        </w:rPr>
        <w:t>Fixed</w:t>
      </w:r>
      <w:r>
        <w:rPr>
          <w:sz w:val="20"/>
          <w:szCs w:val="20"/>
          <w:color w:val="auto"/>
        </w:rPr>
        <w:tab/>
      </w:r>
      <w:r>
        <w:rPr>
          <w:rFonts w:ascii="Arial" w:cs="Arial" w:eastAsia="Arial" w:hAnsi="Arial"/>
          <w:sz w:val="14"/>
          <w:szCs w:val="14"/>
          <w:color w:val="54565B"/>
        </w:rPr>
        <w:t>responsibilities, experience, tenure, qualifications and competitive data.</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740" w:type="dxa"/>
            <w:vAlign w:val="bottom"/>
            <w:gridSpan w:val="2"/>
          </w:tcPr>
          <w:p>
            <w:pPr>
              <w:spacing w:after="0"/>
              <w:rPr>
                <w:sz w:val="20"/>
                <w:szCs w:val="20"/>
                <w:color w:val="auto"/>
              </w:rPr>
            </w:pPr>
            <w:r>
              <w:rPr>
                <w:rFonts w:ascii="Arial" w:cs="Arial" w:eastAsia="Arial" w:hAnsi="Arial"/>
                <w:sz w:val="14"/>
                <w:szCs w:val="14"/>
                <w:color w:val="FFFFFF"/>
              </w:rPr>
              <w:t>Strategic Role in Compensation</w:t>
            </w:r>
          </w:p>
        </w:tc>
        <w:tc>
          <w:tcPr>
            <w:tcW w:w="780" w:type="dxa"/>
            <w:vAlign w:val="bottom"/>
            <w:gridSpan w:val="2"/>
          </w:tcPr>
          <w:p>
            <w:pPr>
              <w:jc w:val="center"/>
              <w:ind w:left="168"/>
              <w:spacing w:after="0"/>
              <w:rPr>
                <w:sz w:val="20"/>
                <w:szCs w:val="20"/>
                <w:color w:val="auto"/>
              </w:rPr>
            </w:pPr>
            <w:r>
              <w:rPr>
                <w:rFonts w:ascii="Arial" w:cs="Arial" w:eastAsia="Arial" w:hAnsi="Arial"/>
                <w:sz w:val="14"/>
                <w:szCs w:val="14"/>
                <w:color w:val="FFFFFF"/>
              </w:rPr>
              <w:t>Page</w:t>
            </w:r>
          </w:p>
        </w:tc>
      </w:tr>
      <w:tr>
        <w:trPr>
          <w:trHeight w:val="539"/>
        </w:trPr>
        <w:tc>
          <w:tcPr>
            <w:tcW w:w="140" w:type="dxa"/>
            <w:vAlign w:val="bottom"/>
          </w:tcPr>
          <w:p>
            <w:pPr>
              <w:spacing w:after="0"/>
              <w:rPr>
                <w:sz w:val="20"/>
                <w:szCs w:val="20"/>
                <w:color w:val="auto"/>
              </w:rPr>
            </w:pPr>
            <w:r>
              <w:rPr>
                <w:rFonts w:ascii="Arial" w:cs="Arial" w:eastAsia="Arial" w:hAnsi="Arial"/>
                <w:sz w:val="12"/>
                <w:szCs w:val="12"/>
                <w:color w:val="54565B"/>
                <w:w w:val="73"/>
              </w:rPr>
              <w:t>• </w:t>
            </w:r>
          </w:p>
        </w:tc>
        <w:tc>
          <w:tcPr>
            <w:tcW w:w="4600" w:type="dxa"/>
            <w:vAlign w:val="bottom"/>
          </w:tcPr>
          <w:p>
            <w:pPr>
              <w:ind w:left="60"/>
              <w:spacing w:after="0"/>
              <w:rPr>
                <w:sz w:val="20"/>
                <w:szCs w:val="20"/>
                <w:color w:val="auto"/>
              </w:rPr>
            </w:pPr>
            <w:r>
              <w:rPr>
                <w:rFonts w:ascii="Arial" w:cs="Arial" w:eastAsia="Arial" w:hAnsi="Arial"/>
                <w:sz w:val="14"/>
                <w:szCs w:val="14"/>
                <w:color w:val="54565B"/>
              </w:rPr>
              <w:t>Provides a fixed level of compensation for services rendered during</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2"/>
        </w:trPr>
        <w:tc>
          <w:tcPr>
            <w:tcW w:w="140" w:type="dxa"/>
            <w:vAlign w:val="bottom"/>
          </w:tcPr>
          <w:p>
            <w:pPr>
              <w:spacing w:after="0"/>
              <w:rPr>
                <w:sz w:val="14"/>
                <w:szCs w:val="14"/>
                <w:color w:val="auto"/>
              </w:rPr>
            </w:pPr>
          </w:p>
        </w:tc>
        <w:tc>
          <w:tcPr>
            <w:tcW w:w="4600" w:type="dxa"/>
            <w:vAlign w:val="bottom"/>
          </w:tcPr>
          <w:p>
            <w:pPr>
              <w:ind w:left="60"/>
              <w:spacing w:after="0"/>
              <w:rPr>
                <w:sz w:val="20"/>
                <w:szCs w:val="20"/>
                <w:color w:val="auto"/>
              </w:rPr>
            </w:pPr>
            <w:r>
              <w:rPr>
                <w:rFonts w:ascii="Arial" w:cs="Arial" w:eastAsia="Arial" w:hAnsi="Arial"/>
                <w:sz w:val="14"/>
                <w:szCs w:val="14"/>
                <w:color w:val="54565B"/>
              </w:rPr>
              <w:t>the year.</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8"/>
        </w:trPr>
        <w:tc>
          <w:tcPr>
            <w:tcW w:w="140" w:type="dxa"/>
            <w:vAlign w:val="bottom"/>
          </w:tcPr>
          <w:p>
            <w:pPr>
              <w:spacing w:after="0"/>
              <w:rPr>
                <w:sz w:val="20"/>
                <w:szCs w:val="20"/>
                <w:color w:val="auto"/>
              </w:rPr>
            </w:pPr>
            <w:r>
              <w:rPr>
                <w:rFonts w:ascii="Arial" w:cs="Arial" w:eastAsia="Arial" w:hAnsi="Arial"/>
                <w:sz w:val="12"/>
                <w:szCs w:val="12"/>
                <w:color w:val="54565B"/>
                <w:w w:val="73"/>
              </w:rPr>
              <w:t>• </w:t>
            </w:r>
          </w:p>
        </w:tc>
        <w:tc>
          <w:tcPr>
            <w:tcW w:w="4600" w:type="dxa"/>
            <w:vAlign w:val="bottom"/>
          </w:tcPr>
          <w:p>
            <w:pPr>
              <w:ind w:left="60"/>
              <w:spacing w:after="0" w:line="158" w:lineRule="exact"/>
              <w:rPr>
                <w:sz w:val="20"/>
                <w:szCs w:val="20"/>
                <w:color w:val="auto"/>
              </w:rPr>
            </w:pPr>
            <w:r>
              <w:rPr>
                <w:rFonts w:ascii="Arial" w:cs="Arial" w:eastAsia="Arial" w:hAnsi="Arial"/>
                <w:sz w:val="14"/>
                <w:szCs w:val="14"/>
                <w:color w:val="54565B"/>
              </w:rPr>
              <w:t>Attracts and retains executive talent.</w:t>
            </w:r>
          </w:p>
        </w:tc>
        <w:tc>
          <w:tcPr>
            <w:tcW w:w="780" w:type="dxa"/>
            <w:vAlign w:val="bottom"/>
            <w:gridSpan w:val="2"/>
          </w:tcPr>
          <w:p>
            <w:pPr>
              <w:jc w:val="center"/>
              <w:ind w:left="168"/>
              <w:spacing w:after="0" w:line="158" w:lineRule="exact"/>
              <w:rPr>
                <w:sz w:val="20"/>
                <w:szCs w:val="20"/>
                <w:color w:val="auto"/>
              </w:rPr>
            </w:pPr>
            <w:r>
              <w:rPr>
                <w:rFonts w:ascii="Arial" w:cs="Arial" w:eastAsia="Arial" w:hAnsi="Arial"/>
                <w:sz w:val="14"/>
                <w:szCs w:val="14"/>
                <w:color w:val="54565B"/>
              </w:rPr>
              <w:t xml:space="preserve">Page </w:t>
            </w:r>
            <w:r>
              <w:rPr>
                <w:rFonts w:ascii="Arial" w:cs="Arial" w:eastAsia="Arial" w:hAnsi="Arial"/>
                <w:sz w:val="14"/>
                <w:szCs w:val="14"/>
                <w:color w:val="0000EE"/>
              </w:rPr>
              <w:t>46</w:t>
            </w:r>
          </w:p>
        </w:tc>
      </w:tr>
      <w:tr>
        <w:trPr>
          <w:trHeight w:val="20"/>
        </w:trPr>
        <w:tc>
          <w:tcPr>
            <w:tcW w:w="1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bl>
    <w:p>
      <w:pPr>
        <w:spacing w:after="0" w:line="549" w:lineRule="exact"/>
        <w:rPr>
          <w:sz w:val="20"/>
          <w:szCs w:val="20"/>
          <w:color w:val="auto"/>
        </w:rPr>
      </w:pPr>
    </w:p>
    <w:p>
      <w:pPr>
        <w:sectPr>
          <w:pgSz w:w="11900" w:h="16838" w:orient="portrait"/>
          <w:cols w:equalWidth="0" w:num="2">
            <w:col w:w="3220" w:space="500"/>
            <w:col w:w="5680"/>
          </w:cols>
          <w:pgMar w:left="1240" w:top="114" w:right="1259" w:bottom="1440" w:gutter="0" w:footer="0" w:header="0"/>
          <w:type w:val="continuous"/>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shd w:val="clear" w:color="auto" w:fill="EAF7FA"/>
          </w:tcPr>
          <w:p>
            <w:pPr>
              <w:spacing w:after="0"/>
              <w:rPr>
                <w:sz w:val="18"/>
                <w:szCs w:val="18"/>
                <w:color w:val="auto"/>
              </w:rPr>
            </w:pPr>
          </w:p>
        </w:tc>
        <w:tc>
          <w:tcPr>
            <w:tcW w:w="1000" w:type="dxa"/>
            <w:vAlign w:val="bottom"/>
            <w:shd w:val="clear" w:color="auto" w:fill="EAF7FA"/>
          </w:tcPr>
          <w:p>
            <w:pPr>
              <w:spacing w:after="0"/>
              <w:rPr>
                <w:sz w:val="18"/>
                <w:szCs w:val="18"/>
                <w:color w:val="auto"/>
              </w:rPr>
            </w:pPr>
          </w:p>
        </w:tc>
        <w:tc>
          <w:tcPr>
            <w:tcW w:w="160" w:type="dxa"/>
            <w:vAlign w:val="bottom"/>
            <w:tcBorders>
              <w:right w:val="single" w:sz="8" w:color="EAF7FA"/>
            </w:tcBorders>
            <w:shd w:val="clear" w:color="auto" w:fill="EAF7FA"/>
          </w:tcPr>
          <w:p>
            <w:pPr>
              <w:spacing w:after="0"/>
              <w:rPr>
                <w:sz w:val="18"/>
                <w:szCs w:val="18"/>
                <w:color w:val="auto"/>
              </w:rPr>
            </w:pPr>
          </w:p>
        </w:tc>
        <w:tc>
          <w:tcPr>
            <w:tcW w:w="140" w:type="dxa"/>
            <w:vAlign w:val="bottom"/>
            <w:shd w:val="clear" w:color="auto" w:fill="EAF7FA"/>
          </w:tcPr>
          <w:p>
            <w:pPr>
              <w:spacing w:after="0"/>
              <w:rPr>
                <w:sz w:val="18"/>
                <w:szCs w:val="18"/>
                <w:color w:val="auto"/>
              </w:rPr>
            </w:pPr>
          </w:p>
        </w:tc>
        <w:tc>
          <w:tcPr>
            <w:tcW w:w="2100" w:type="dxa"/>
            <w:vAlign w:val="bottom"/>
            <w:vMerge w:val="restart"/>
            <w:shd w:val="clear" w:color="auto" w:fill="EAF7FA"/>
          </w:tcPr>
          <w:p>
            <w:pPr>
              <w:spacing w:after="0"/>
              <w:rPr>
                <w:sz w:val="20"/>
                <w:szCs w:val="20"/>
                <w:color w:val="auto"/>
              </w:rPr>
            </w:pPr>
            <w:r>
              <w:rPr>
                <w:rFonts w:ascii="Arial" w:cs="Arial" w:eastAsia="Arial" w:hAnsi="Arial"/>
                <w:sz w:val="14"/>
                <w:szCs w:val="14"/>
                <w:b w:val="1"/>
                <w:bCs w:val="1"/>
                <w:color w:val="54565B"/>
              </w:rPr>
              <w:t>Annual incentive awards are</w:t>
            </w:r>
          </w:p>
        </w:tc>
        <w:tc>
          <w:tcPr>
            <w:tcW w:w="300" w:type="dxa"/>
            <w:vAlign w:val="bottom"/>
            <w:vMerge w:val="restart"/>
            <w:shd w:val="clear" w:color="auto" w:fill="EAF7FA"/>
          </w:tcPr>
          <w:p>
            <w:pPr>
              <w:ind w:left="160"/>
              <w:spacing w:after="0"/>
              <w:rPr>
                <w:sz w:val="20"/>
                <w:szCs w:val="20"/>
                <w:color w:val="auto"/>
              </w:rPr>
            </w:pPr>
            <w:r>
              <w:rPr>
                <w:rFonts w:ascii="Arial" w:cs="Arial" w:eastAsia="Arial" w:hAnsi="Arial"/>
                <w:sz w:val="12"/>
                <w:szCs w:val="12"/>
                <w:color w:val="54565B"/>
                <w:w w:val="73"/>
              </w:rPr>
              <w:t>• </w:t>
            </w:r>
          </w:p>
        </w:tc>
        <w:tc>
          <w:tcPr>
            <w:tcW w:w="4680" w:type="dxa"/>
            <w:vAlign w:val="bottom"/>
            <w:vMerge w:val="restart"/>
            <w:shd w:val="clear" w:color="auto" w:fill="EAF7FA"/>
          </w:tcPr>
          <w:p>
            <w:pPr>
              <w:ind w:left="60"/>
              <w:spacing w:after="0"/>
              <w:rPr>
                <w:sz w:val="20"/>
                <w:szCs w:val="20"/>
                <w:color w:val="auto"/>
              </w:rPr>
            </w:pPr>
            <w:r>
              <w:rPr>
                <w:rFonts w:ascii="Arial" w:cs="Arial" w:eastAsia="Arial" w:hAnsi="Arial"/>
                <w:sz w:val="14"/>
                <w:szCs w:val="14"/>
                <w:color w:val="54565B"/>
              </w:rPr>
              <w:t>Provides focus on annual performance goals linked to Company</w:t>
            </w:r>
          </w:p>
        </w:tc>
        <w:tc>
          <w:tcPr>
            <w:tcW w:w="240" w:type="dxa"/>
            <w:vAlign w:val="bottom"/>
            <w:shd w:val="clear" w:color="auto" w:fill="EAF7FA"/>
          </w:tcPr>
          <w:p>
            <w:pPr>
              <w:spacing w:after="0"/>
              <w:rPr>
                <w:sz w:val="18"/>
                <w:szCs w:val="18"/>
                <w:color w:val="auto"/>
              </w:rPr>
            </w:pPr>
          </w:p>
        </w:tc>
        <w:tc>
          <w:tcPr>
            <w:tcW w:w="160" w:type="dxa"/>
            <w:vAlign w:val="bottom"/>
            <w:shd w:val="clear" w:color="auto" w:fill="EAF7FA"/>
          </w:tcPr>
          <w:p>
            <w:pPr>
              <w:spacing w:after="0"/>
              <w:rPr>
                <w:sz w:val="18"/>
                <w:szCs w:val="18"/>
                <w:color w:val="auto"/>
              </w:rPr>
            </w:pPr>
          </w:p>
        </w:tc>
        <w:tc>
          <w:tcPr>
            <w:tcW w:w="60" w:type="dxa"/>
            <w:vAlign w:val="bottom"/>
            <w:shd w:val="clear" w:color="auto" w:fill="EAF7FA"/>
          </w:tcPr>
          <w:p>
            <w:pPr>
              <w:spacing w:after="0"/>
              <w:rPr>
                <w:sz w:val="18"/>
                <w:szCs w:val="18"/>
                <w:color w:val="auto"/>
              </w:rPr>
            </w:pPr>
          </w:p>
        </w:tc>
        <w:tc>
          <w:tcPr>
            <w:tcW w:w="80" w:type="dxa"/>
            <w:vAlign w:val="bottom"/>
            <w:shd w:val="clear" w:color="auto" w:fill="EAF7FA"/>
          </w:tcPr>
          <w:p>
            <w:pPr>
              <w:spacing w:after="0"/>
              <w:rPr>
                <w:sz w:val="18"/>
                <w:szCs w:val="18"/>
                <w:color w:val="auto"/>
              </w:rPr>
            </w:pPr>
          </w:p>
        </w:tc>
        <w:tc>
          <w:tcPr>
            <w:tcW w:w="80" w:type="dxa"/>
            <w:vAlign w:val="bottom"/>
            <w:shd w:val="clear" w:color="auto" w:fill="EAF7FA"/>
          </w:tcPr>
          <w:p>
            <w:pPr>
              <w:spacing w:after="0"/>
              <w:rPr>
                <w:sz w:val="18"/>
                <w:szCs w:val="18"/>
                <w:color w:val="auto"/>
              </w:rPr>
            </w:pPr>
          </w:p>
        </w:tc>
        <w:tc>
          <w:tcPr>
            <w:tcW w:w="80" w:type="dxa"/>
            <w:vAlign w:val="bottom"/>
            <w:shd w:val="clear" w:color="auto" w:fill="EAF7FA"/>
          </w:tcPr>
          <w:p>
            <w:pPr>
              <w:spacing w:after="0"/>
              <w:rPr>
                <w:sz w:val="18"/>
                <w:szCs w:val="18"/>
                <w:color w:val="auto"/>
              </w:rPr>
            </w:pPr>
          </w:p>
        </w:tc>
        <w:tc>
          <w:tcPr>
            <w:tcW w:w="160" w:type="dxa"/>
            <w:vAlign w:val="bottom"/>
            <w:shd w:val="clear" w:color="auto" w:fill="EAF7FA"/>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EAF7FA"/>
          </w:tcPr>
          <w:p>
            <w:pPr>
              <w:spacing w:after="0"/>
              <w:rPr>
                <w:sz w:val="15"/>
                <w:szCs w:val="15"/>
                <w:color w:val="auto"/>
              </w:rPr>
            </w:pPr>
          </w:p>
        </w:tc>
        <w:tc>
          <w:tcPr>
            <w:tcW w:w="1000" w:type="dxa"/>
            <w:vAlign w:val="bottom"/>
            <w:shd w:val="clear" w:color="auto" w:fill="EAF7FA"/>
          </w:tcPr>
          <w:p>
            <w:pPr>
              <w:spacing w:after="0"/>
              <w:rPr>
                <w:sz w:val="15"/>
                <w:szCs w:val="15"/>
                <w:color w:val="auto"/>
              </w:rPr>
            </w:pPr>
          </w:p>
        </w:tc>
        <w:tc>
          <w:tcPr>
            <w:tcW w:w="160" w:type="dxa"/>
            <w:vAlign w:val="bottom"/>
            <w:tcBorders>
              <w:right w:val="single" w:sz="8" w:color="0B3C61"/>
            </w:tcBorders>
            <w:shd w:val="clear" w:color="auto" w:fill="EAF7FA"/>
          </w:tcPr>
          <w:p>
            <w:pPr>
              <w:spacing w:after="0"/>
              <w:rPr>
                <w:sz w:val="15"/>
                <w:szCs w:val="15"/>
                <w:color w:val="auto"/>
              </w:rPr>
            </w:pPr>
          </w:p>
        </w:tc>
        <w:tc>
          <w:tcPr>
            <w:tcW w:w="140" w:type="dxa"/>
            <w:vAlign w:val="bottom"/>
            <w:shd w:val="clear" w:color="auto" w:fill="EAF7FA"/>
          </w:tcPr>
          <w:p>
            <w:pPr>
              <w:spacing w:after="0"/>
              <w:rPr>
                <w:sz w:val="15"/>
                <w:szCs w:val="15"/>
                <w:color w:val="auto"/>
              </w:rPr>
            </w:pPr>
          </w:p>
        </w:tc>
        <w:tc>
          <w:tcPr>
            <w:tcW w:w="2100" w:type="dxa"/>
            <w:vAlign w:val="bottom"/>
            <w:vMerge w:val="continue"/>
            <w:shd w:val="clear" w:color="auto" w:fill="EAF7FA"/>
          </w:tcPr>
          <w:p>
            <w:pPr>
              <w:spacing w:after="0"/>
              <w:rPr>
                <w:sz w:val="15"/>
                <w:szCs w:val="15"/>
                <w:color w:val="auto"/>
              </w:rPr>
            </w:pPr>
          </w:p>
        </w:tc>
        <w:tc>
          <w:tcPr>
            <w:tcW w:w="300" w:type="dxa"/>
            <w:vAlign w:val="bottom"/>
            <w:vMerge w:val="continue"/>
            <w:shd w:val="clear" w:color="auto" w:fill="EAF7FA"/>
          </w:tcPr>
          <w:p>
            <w:pPr>
              <w:spacing w:after="0"/>
              <w:rPr>
                <w:sz w:val="15"/>
                <w:szCs w:val="15"/>
                <w:color w:val="auto"/>
              </w:rPr>
            </w:pPr>
          </w:p>
        </w:tc>
        <w:tc>
          <w:tcPr>
            <w:tcW w:w="4680" w:type="dxa"/>
            <w:vAlign w:val="bottom"/>
            <w:vMerge w:val="continue"/>
            <w:shd w:val="clear" w:color="auto" w:fill="EAF7FA"/>
          </w:tcPr>
          <w:p>
            <w:pPr>
              <w:spacing w:after="0"/>
              <w:rPr>
                <w:sz w:val="15"/>
                <w:szCs w:val="15"/>
                <w:color w:val="auto"/>
              </w:rPr>
            </w:pPr>
          </w:p>
        </w:tc>
        <w:tc>
          <w:tcPr>
            <w:tcW w:w="240" w:type="dxa"/>
            <w:vAlign w:val="bottom"/>
            <w:shd w:val="clear" w:color="auto" w:fill="EAF7FA"/>
          </w:tcPr>
          <w:p>
            <w:pPr>
              <w:spacing w:after="0"/>
              <w:rPr>
                <w:sz w:val="15"/>
                <w:szCs w:val="15"/>
                <w:color w:val="auto"/>
              </w:rPr>
            </w:pPr>
          </w:p>
        </w:tc>
        <w:tc>
          <w:tcPr>
            <w:tcW w:w="160" w:type="dxa"/>
            <w:vAlign w:val="bottom"/>
            <w:shd w:val="clear" w:color="auto" w:fill="EAF7FA"/>
          </w:tcPr>
          <w:p>
            <w:pPr>
              <w:spacing w:after="0"/>
              <w:rPr>
                <w:sz w:val="15"/>
                <w:szCs w:val="15"/>
                <w:color w:val="auto"/>
              </w:rPr>
            </w:pPr>
          </w:p>
        </w:tc>
        <w:tc>
          <w:tcPr>
            <w:tcW w:w="60" w:type="dxa"/>
            <w:vAlign w:val="bottom"/>
            <w:shd w:val="clear" w:color="auto" w:fill="EAF7FA"/>
          </w:tcPr>
          <w:p>
            <w:pPr>
              <w:spacing w:after="0"/>
              <w:rPr>
                <w:sz w:val="15"/>
                <w:szCs w:val="15"/>
                <w:color w:val="auto"/>
              </w:rPr>
            </w:pPr>
          </w:p>
        </w:tc>
        <w:tc>
          <w:tcPr>
            <w:tcW w:w="80" w:type="dxa"/>
            <w:vAlign w:val="bottom"/>
            <w:shd w:val="clear" w:color="auto" w:fill="EAF7FA"/>
          </w:tcPr>
          <w:p>
            <w:pPr>
              <w:spacing w:after="0"/>
              <w:rPr>
                <w:sz w:val="15"/>
                <w:szCs w:val="15"/>
                <w:color w:val="auto"/>
              </w:rPr>
            </w:pPr>
          </w:p>
        </w:tc>
        <w:tc>
          <w:tcPr>
            <w:tcW w:w="80" w:type="dxa"/>
            <w:vAlign w:val="bottom"/>
            <w:shd w:val="clear" w:color="auto" w:fill="EAF7FA"/>
          </w:tcPr>
          <w:p>
            <w:pPr>
              <w:spacing w:after="0"/>
              <w:rPr>
                <w:sz w:val="15"/>
                <w:szCs w:val="15"/>
                <w:color w:val="auto"/>
              </w:rPr>
            </w:pPr>
          </w:p>
        </w:tc>
        <w:tc>
          <w:tcPr>
            <w:tcW w:w="80" w:type="dxa"/>
            <w:vAlign w:val="bottom"/>
            <w:shd w:val="clear" w:color="auto" w:fill="EAF7FA"/>
          </w:tcPr>
          <w:p>
            <w:pPr>
              <w:spacing w:after="0"/>
              <w:rPr>
                <w:sz w:val="15"/>
                <w:szCs w:val="15"/>
                <w:color w:val="auto"/>
              </w:rPr>
            </w:pPr>
          </w:p>
        </w:tc>
        <w:tc>
          <w:tcPr>
            <w:tcW w:w="160" w:type="dxa"/>
            <w:vAlign w:val="bottom"/>
            <w:shd w:val="clear" w:color="auto" w:fill="EAF7F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0" w:type="dxa"/>
            <w:vAlign w:val="bottom"/>
            <w:shd w:val="clear" w:color="auto" w:fill="EAF7FA"/>
          </w:tcPr>
          <w:p>
            <w:pPr>
              <w:spacing w:after="0"/>
              <w:rPr>
                <w:sz w:val="14"/>
                <w:szCs w:val="14"/>
                <w:color w:val="auto"/>
              </w:rPr>
            </w:pPr>
          </w:p>
        </w:tc>
        <w:tc>
          <w:tcPr>
            <w:tcW w:w="1000" w:type="dxa"/>
            <w:vAlign w:val="bottom"/>
            <w:shd w:val="clear" w:color="auto" w:fill="EAF7FA"/>
          </w:tcPr>
          <w:p>
            <w:pPr>
              <w:spacing w:after="0"/>
              <w:rPr>
                <w:sz w:val="14"/>
                <w:szCs w:val="14"/>
                <w:color w:val="auto"/>
              </w:rPr>
            </w:pPr>
          </w:p>
        </w:tc>
        <w:tc>
          <w:tcPr>
            <w:tcW w:w="160" w:type="dxa"/>
            <w:vAlign w:val="bottom"/>
            <w:tcBorders>
              <w:right w:val="single" w:sz="8" w:color="0B3C61"/>
            </w:tcBorders>
            <w:shd w:val="clear" w:color="auto" w:fill="EAF7FA"/>
          </w:tcPr>
          <w:p>
            <w:pPr>
              <w:spacing w:after="0"/>
              <w:rPr>
                <w:sz w:val="14"/>
                <w:szCs w:val="14"/>
                <w:color w:val="auto"/>
              </w:rPr>
            </w:pPr>
          </w:p>
        </w:tc>
        <w:tc>
          <w:tcPr>
            <w:tcW w:w="140" w:type="dxa"/>
            <w:vAlign w:val="bottom"/>
            <w:shd w:val="clear" w:color="auto" w:fill="EAF7FA"/>
          </w:tcPr>
          <w:p>
            <w:pPr>
              <w:spacing w:after="0"/>
              <w:rPr>
                <w:sz w:val="14"/>
                <w:szCs w:val="14"/>
                <w:color w:val="auto"/>
              </w:rPr>
            </w:pPr>
          </w:p>
        </w:tc>
        <w:tc>
          <w:tcPr>
            <w:tcW w:w="2100" w:type="dxa"/>
            <w:vAlign w:val="bottom"/>
            <w:shd w:val="clear" w:color="auto" w:fill="EAF7FA"/>
          </w:tcPr>
          <w:p>
            <w:pPr>
              <w:spacing w:after="0"/>
              <w:rPr>
                <w:sz w:val="20"/>
                <w:szCs w:val="20"/>
                <w:color w:val="auto"/>
              </w:rPr>
            </w:pPr>
            <w:r>
              <w:rPr>
                <w:rFonts w:ascii="Arial" w:cs="Arial" w:eastAsia="Arial" w:hAnsi="Arial"/>
                <w:sz w:val="14"/>
                <w:szCs w:val="14"/>
                <w:b w:val="1"/>
                <w:bCs w:val="1"/>
                <w:color w:val="54565B"/>
              </w:rPr>
              <w:t xml:space="preserve">variable cash awards </w:t>
            </w:r>
            <w:r>
              <w:rPr>
                <w:rFonts w:ascii="Arial" w:cs="Arial" w:eastAsia="Arial" w:hAnsi="Arial"/>
                <w:sz w:val="14"/>
                <w:szCs w:val="14"/>
                <w:color w:val="54565B"/>
              </w:rPr>
              <w:t>based</w:t>
            </w:r>
          </w:p>
        </w:tc>
        <w:tc>
          <w:tcPr>
            <w:tcW w:w="300" w:type="dxa"/>
            <w:vAlign w:val="bottom"/>
            <w:shd w:val="clear" w:color="auto" w:fill="EAF7FA"/>
          </w:tcPr>
          <w:p>
            <w:pPr>
              <w:spacing w:after="0"/>
              <w:rPr>
                <w:sz w:val="14"/>
                <w:szCs w:val="14"/>
                <w:color w:val="auto"/>
              </w:rPr>
            </w:pPr>
          </w:p>
        </w:tc>
        <w:tc>
          <w:tcPr>
            <w:tcW w:w="4680" w:type="dxa"/>
            <w:vAlign w:val="bottom"/>
            <w:shd w:val="clear" w:color="auto" w:fill="EAF7FA"/>
          </w:tcPr>
          <w:p>
            <w:pPr>
              <w:ind w:left="60"/>
              <w:spacing w:after="0"/>
              <w:rPr>
                <w:sz w:val="20"/>
                <w:szCs w:val="20"/>
                <w:color w:val="auto"/>
              </w:rPr>
            </w:pPr>
            <w:r>
              <w:rPr>
                <w:rFonts w:ascii="Arial" w:cs="Arial" w:eastAsia="Arial" w:hAnsi="Arial"/>
                <w:sz w:val="14"/>
                <w:szCs w:val="14"/>
                <w:color w:val="54565B"/>
              </w:rPr>
              <w:t>success and shareholder value.</w:t>
            </w:r>
          </w:p>
        </w:tc>
        <w:tc>
          <w:tcPr>
            <w:tcW w:w="240" w:type="dxa"/>
            <w:vAlign w:val="bottom"/>
            <w:shd w:val="clear" w:color="auto" w:fill="EAF7FA"/>
          </w:tcPr>
          <w:p>
            <w:pPr>
              <w:spacing w:after="0"/>
              <w:rPr>
                <w:sz w:val="14"/>
                <w:szCs w:val="14"/>
                <w:color w:val="auto"/>
              </w:rPr>
            </w:pPr>
          </w:p>
        </w:tc>
        <w:tc>
          <w:tcPr>
            <w:tcW w:w="160" w:type="dxa"/>
            <w:vAlign w:val="bottom"/>
            <w:shd w:val="clear" w:color="auto" w:fill="EAF7FA"/>
          </w:tcPr>
          <w:p>
            <w:pPr>
              <w:spacing w:after="0"/>
              <w:rPr>
                <w:sz w:val="14"/>
                <w:szCs w:val="14"/>
                <w:color w:val="auto"/>
              </w:rPr>
            </w:pPr>
          </w:p>
        </w:tc>
        <w:tc>
          <w:tcPr>
            <w:tcW w:w="60" w:type="dxa"/>
            <w:vAlign w:val="bottom"/>
            <w:shd w:val="clear" w:color="auto" w:fill="EAF7FA"/>
          </w:tcPr>
          <w:p>
            <w:pPr>
              <w:spacing w:after="0"/>
              <w:rPr>
                <w:sz w:val="14"/>
                <w:szCs w:val="14"/>
                <w:color w:val="auto"/>
              </w:rPr>
            </w:pPr>
          </w:p>
        </w:tc>
        <w:tc>
          <w:tcPr>
            <w:tcW w:w="80" w:type="dxa"/>
            <w:vAlign w:val="bottom"/>
            <w:shd w:val="clear" w:color="auto" w:fill="EAF7FA"/>
          </w:tcPr>
          <w:p>
            <w:pPr>
              <w:spacing w:after="0"/>
              <w:rPr>
                <w:sz w:val="14"/>
                <w:szCs w:val="14"/>
                <w:color w:val="auto"/>
              </w:rPr>
            </w:pPr>
          </w:p>
        </w:tc>
        <w:tc>
          <w:tcPr>
            <w:tcW w:w="80" w:type="dxa"/>
            <w:vAlign w:val="bottom"/>
            <w:shd w:val="clear" w:color="auto" w:fill="EAF7FA"/>
          </w:tcPr>
          <w:p>
            <w:pPr>
              <w:spacing w:after="0"/>
              <w:rPr>
                <w:sz w:val="14"/>
                <w:szCs w:val="14"/>
                <w:color w:val="auto"/>
              </w:rPr>
            </w:pPr>
          </w:p>
        </w:tc>
        <w:tc>
          <w:tcPr>
            <w:tcW w:w="80" w:type="dxa"/>
            <w:vAlign w:val="bottom"/>
            <w:shd w:val="clear" w:color="auto" w:fill="EAF7FA"/>
          </w:tcPr>
          <w:p>
            <w:pPr>
              <w:spacing w:after="0"/>
              <w:rPr>
                <w:sz w:val="14"/>
                <w:szCs w:val="14"/>
                <w:color w:val="auto"/>
              </w:rPr>
            </w:pPr>
          </w:p>
        </w:tc>
        <w:tc>
          <w:tcPr>
            <w:tcW w:w="160" w:type="dxa"/>
            <w:vAlign w:val="bottom"/>
            <w:shd w:val="clear" w:color="auto" w:fill="EAF7F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shd w:val="clear" w:color="auto" w:fill="EAF7FA"/>
          </w:tcPr>
          <w:p>
            <w:pPr>
              <w:spacing w:after="0"/>
              <w:rPr>
                <w:sz w:val="14"/>
                <w:szCs w:val="14"/>
                <w:color w:val="auto"/>
              </w:rPr>
            </w:pPr>
          </w:p>
        </w:tc>
        <w:tc>
          <w:tcPr>
            <w:tcW w:w="1000" w:type="dxa"/>
            <w:vAlign w:val="bottom"/>
            <w:shd w:val="clear" w:color="auto" w:fill="EAF7FA"/>
          </w:tcPr>
          <w:p>
            <w:pPr>
              <w:spacing w:after="0"/>
              <w:rPr>
                <w:sz w:val="14"/>
                <w:szCs w:val="14"/>
                <w:color w:val="auto"/>
              </w:rPr>
            </w:pPr>
          </w:p>
        </w:tc>
        <w:tc>
          <w:tcPr>
            <w:tcW w:w="160" w:type="dxa"/>
            <w:vAlign w:val="bottom"/>
            <w:tcBorders>
              <w:right w:val="single" w:sz="8" w:color="0B3C61"/>
            </w:tcBorders>
            <w:shd w:val="clear" w:color="auto" w:fill="EAF7FA"/>
          </w:tcPr>
          <w:p>
            <w:pPr>
              <w:spacing w:after="0"/>
              <w:rPr>
                <w:sz w:val="14"/>
                <w:szCs w:val="14"/>
                <w:color w:val="auto"/>
              </w:rPr>
            </w:pPr>
          </w:p>
        </w:tc>
        <w:tc>
          <w:tcPr>
            <w:tcW w:w="140" w:type="dxa"/>
            <w:vAlign w:val="bottom"/>
            <w:shd w:val="clear" w:color="auto" w:fill="EAF7FA"/>
          </w:tcPr>
          <w:p>
            <w:pPr>
              <w:spacing w:after="0"/>
              <w:rPr>
                <w:sz w:val="14"/>
                <w:szCs w:val="14"/>
                <w:color w:val="auto"/>
              </w:rPr>
            </w:pPr>
          </w:p>
        </w:tc>
        <w:tc>
          <w:tcPr>
            <w:tcW w:w="2100" w:type="dxa"/>
            <w:vAlign w:val="bottom"/>
            <w:shd w:val="clear" w:color="auto" w:fill="EAF7FA"/>
          </w:tcPr>
          <w:p>
            <w:pPr>
              <w:spacing w:after="0"/>
              <w:rPr>
                <w:sz w:val="20"/>
                <w:szCs w:val="20"/>
                <w:color w:val="auto"/>
              </w:rPr>
            </w:pPr>
            <w:r>
              <w:rPr>
                <w:rFonts w:ascii="Arial" w:cs="Arial" w:eastAsia="Arial" w:hAnsi="Arial"/>
                <w:sz w:val="14"/>
                <w:szCs w:val="14"/>
                <w:color w:val="54565B"/>
              </w:rPr>
              <w:t>100% on Company</w:t>
            </w:r>
          </w:p>
        </w:tc>
        <w:tc>
          <w:tcPr>
            <w:tcW w:w="300" w:type="dxa"/>
            <w:vAlign w:val="bottom"/>
            <w:shd w:val="clear" w:color="auto" w:fill="EAF7FA"/>
          </w:tcPr>
          <w:p>
            <w:pPr>
              <w:ind w:left="160"/>
              <w:spacing w:after="0"/>
              <w:rPr>
                <w:sz w:val="20"/>
                <w:szCs w:val="20"/>
                <w:color w:val="auto"/>
              </w:rPr>
            </w:pPr>
            <w:r>
              <w:rPr>
                <w:rFonts w:ascii="Arial" w:cs="Arial" w:eastAsia="Arial" w:hAnsi="Arial"/>
                <w:sz w:val="12"/>
                <w:szCs w:val="12"/>
                <w:color w:val="54565B"/>
                <w:w w:val="73"/>
              </w:rPr>
              <w:t>• </w:t>
            </w:r>
          </w:p>
        </w:tc>
        <w:tc>
          <w:tcPr>
            <w:tcW w:w="4680" w:type="dxa"/>
            <w:vAlign w:val="bottom"/>
            <w:shd w:val="clear" w:color="auto" w:fill="EAF7FA"/>
          </w:tcPr>
          <w:p>
            <w:pPr>
              <w:ind w:left="60"/>
              <w:spacing w:after="0"/>
              <w:rPr>
                <w:sz w:val="20"/>
                <w:szCs w:val="20"/>
                <w:color w:val="auto"/>
              </w:rPr>
            </w:pPr>
            <w:r>
              <w:rPr>
                <w:rFonts w:ascii="Arial" w:cs="Arial" w:eastAsia="Arial" w:hAnsi="Arial"/>
                <w:sz w:val="14"/>
                <w:szCs w:val="14"/>
                <w:color w:val="54565B"/>
              </w:rPr>
              <w:t>Motivates and rewards NEOs to achieve strong annual business</w:t>
            </w:r>
          </w:p>
        </w:tc>
        <w:tc>
          <w:tcPr>
            <w:tcW w:w="860" w:type="dxa"/>
            <w:vAlign w:val="bottom"/>
            <w:gridSpan w:val="7"/>
            <w:vMerge w:val="restart"/>
            <w:shd w:val="clear" w:color="auto" w:fill="EAF7FA"/>
          </w:tcPr>
          <w:p>
            <w:pPr>
              <w:jc w:val="center"/>
              <w:spacing w:after="0"/>
              <w:rPr>
                <w:sz w:val="20"/>
                <w:szCs w:val="20"/>
                <w:color w:val="auto"/>
              </w:rPr>
            </w:pPr>
            <w:r>
              <w:rPr>
                <w:rFonts w:ascii="Arial" w:cs="Arial" w:eastAsia="Arial" w:hAnsi="Arial"/>
                <w:sz w:val="14"/>
                <w:szCs w:val="14"/>
                <w:color w:val="54565B"/>
              </w:rPr>
              <w:t>Pages</w:t>
            </w:r>
          </w:p>
        </w:tc>
        <w:tc>
          <w:tcPr>
            <w:tcW w:w="0" w:type="dxa"/>
            <w:vAlign w:val="bottom"/>
          </w:tcPr>
          <w:p>
            <w:pPr>
              <w:spacing w:after="0"/>
              <w:rPr>
                <w:sz w:val="1"/>
                <w:szCs w:val="1"/>
                <w:color w:val="auto"/>
              </w:rPr>
            </w:pPr>
          </w:p>
        </w:tc>
      </w:tr>
      <w:tr>
        <w:trPr>
          <w:trHeight w:val="81"/>
        </w:trPr>
        <w:tc>
          <w:tcPr>
            <w:tcW w:w="160" w:type="dxa"/>
            <w:vAlign w:val="bottom"/>
            <w:shd w:val="clear" w:color="auto" w:fill="EAF7FA"/>
          </w:tcPr>
          <w:p>
            <w:pPr>
              <w:spacing w:after="0"/>
              <w:rPr>
                <w:sz w:val="7"/>
                <w:szCs w:val="7"/>
                <w:color w:val="auto"/>
              </w:rPr>
            </w:pPr>
          </w:p>
        </w:tc>
        <w:tc>
          <w:tcPr>
            <w:tcW w:w="1000" w:type="dxa"/>
            <w:vAlign w:val="bottom"/>
            <w:shd w:val="clear" w:color="auto" w:fill="EAF7FA"/>
          </w:tcPr>
          <w:p>
            <w:pPr>
              <w:spacing w:after="0"/>
              <w:rPr>
                <w:sz w:val="7"/>
                <w:szCs w:val="7"/>
                <w:color w:val="auto"/>
              </w:rPr>
            </w:pPr>
          </w:p>
        </w:tc>
        <w:tc>
          <w:tcPr>
            <w:tcW w:w="160" w:type="dxa"/>
            <w:vAlign w:val="bottom"/>
            <w:tcBorders>
              <w:right w:val="single" w:sz="8" w:color="0B3C61"/>
            </w:tcBorders>
            <w:shd w:val="clear" w:color="auto" w:fill="EAF7FA"/>
          </w:tcPr>
          <w:p>
            <w:pPr>
              <w:spacing w:after="0"/>
              <w:rPr>
                <w:sz w:val="7"/>
                <w:szCs w:val="7"/>
                <w:color w:val="auto"/>
              </w:rPr>
            </w:pPr>
          </w:p>
        </w:tc>
        <w:tc>
          <w:tcPr>
            <w:tcW w:w="140" w:type="dxa"/>
            <w:vAlign w:val="bottom"/>
            <w:shd w:val="clear" w:color="auto" w:fill="EAF7FA"/>
          </w:tcPr>
          <w:p>
            <w:pPr>
              <w:spacing w:after="0"/>
              <w:rPr>
                <w:sz w:val="7"/>
                <w:szCs w:val="7"/>
                <w:color w:val="auto"/>
              </w:rPr>
            </w:pPr>
          </w:p>
        </w:tc>
        <w:tc>
          <w:tcPr>
            <w:tcW w:w="2100" w:type="dxa"/>
            <w:vAlign w:val="bottom"/>
            <w:vMerge w:val="restart"/>
            <w:shd w:val="clear" w:color="auto" w:fill="EAF7FA"/>
          </w:tcPr>
          <w:p>
            <w:pPr>
              <w:spacing w:after="0"/>
              <w:rPr>
                <w:sz w:val="20"/>
                <w:szCs w:val="20"/>
                <w:color w:val="auto"/>
              </w:rPr>
            </w:pPr>
            <w:r>
              <w:rPr>
                <w:rFonts w:ascii="Arial" w:cs="Arial" w:eastAsia="Arial" w:hAnsi="Arial"/>
                <w:sz w:val="14"/>
                <w:szCs w:val="14"/>
                <w:color w:val="54565B"/>
              </w:rPr>
              <w:t>performance for the Co-CEOs</w:t>
            </w:r>
          </w:p>
        </w:tc>
        <w:tc>
          <w:tcPr>
            <w:tcW w:w="300" w:type="dxa"/>
            <w:vAlign w:val="bottom"/>
            <w:shd w:val="clear" w:color="auto" w:fill="EAF7FA"/>
          </w:tcPr>
          <w:p>
            <w:pPr>
              <w:spacing w:after="0"/>
              <w:rPr>
                <w:sz w:val="7"/>
                <w:szCs w:val="7"/>
                <w:color w:val="auto"/>
              </w:rPr>
            </w:pPr>
          </w:p>
        </w:tc>
        <w:tc>
          <w:tcPr>
            <w:tcW w:w="4680" w:type="dxa"/>
            <w:vAlign w:val="bottom"/>
            <w:vMerge w:val="restart"/>
            <w:shd w:val="clear" w:color="auto" w:fill="EAF7FA"/>
          </w:tcPr>
          <w:p>
            <w:pPr>
              <w:ind w:left="60"/>
              <w:spacing w:after="0"/>
              <w:rPr>
                <w:sz w:val="20"/>
                <w:szCs w:val="20"/>
                <w:color w:val="auto"/>
              </w:rPr>
            </w:pPr>
            <w:r>
              <w:rPr>
                <w:rFonts w:ascii="Arial" w:cs="Arial" w:eastAsia="Arial" w:hAnsi="Arial"/>
                <w:sz w:val="14"/>
                <w:szCs w:val="14"/>
                <w:color w:val="54565B"/>
              </w:rPr>
              <w:t>results that will contribute to the Company’s long-term success without</w:t>
            </w:r>
          </w:p>
        </w:tc>
        <w:tc>
          <w:tcPr>
            <w:tcW w:w="860" w:type="dxa"/>
            <w:vAlign w:val="bottom"/>
            <w:gridSpan w:val="7"/>
            <w:vMerge w:val="continue"/>
            <w:shd w:val="clear" w:color="auto" w:fill="EAF7FA"/>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 w:type="dxa"/>
            <w:vAlign w:val="bottom"/>
            <w:shd w:val="clear" w:color="auto" w:fill="EAF7FA"/>
          </w:tcPr>
          <w:p>
            <w:pPr>
              <w:spacing w:after="0"/>
              <w:rPr>
                <w:sz w:val="7"/>
                <w:szCs w:val="7"/>
                <w:color w:val="auto"/>
              </w:rPr>
            </w:pPr>
          </w:p>
        </w:tc>
        <w:tc>
          <w:tcPr>
            <w:tcW w:w="1000" w:type="dxa"/>
            <w:vAlign w:val="bottom"/>
            <w:shd w:val="clear" w:color="auto" w:fill="EAF7FA"/>
          </w:tcPr>
          <w:p>
            <w:pPr>
              <w:spacing w:after="0"/>
              <w:rPr>
                <w:sz w:val="7"/>
                <w:szCs w:val="7"/>
                <w:color w:val="auto"/>
              </w:rPr>
            </w:pPr>
          </w:p>
        </w:tc>
        <w:tc>
          <w:tcPr>
            <w:tcW w:w="160" w:type="dxa"/>
            <w:vAlign w:val="bottom"/>
            <w:tcBorders>
              <w:right w:val="single" w:sz="8" w:color="0B3C61"/>
            </w:tcBorders>
            <w:shd w:val="clear" w:color="auto" w:fill="EAF7FA"/>
          </w:tcPr>
          <w:p>
            <w:pPr>
              <w:spacing w:after="0"/>
              <w:rPr>
                <w:sz w:val="7"/>
                <w:szCs w:val="7"/>
                <w:color w:val="auto"/>
              </w:rPr>
            </w:pPr>
          </w:p>
        </w:tc>
        <w:tc>
          <w:tcPr>
            <w:tcW w:w="140" w:type="dxa"/>
            <w:vAlign w:val="bottom"/>
            <w:shd w:val="clear" w:color="auto" w:fill="EAF7FA"/>
          </w:tcPr>
          <w:p>
            <w:pPr>
              <w:spacing w:after="0"/>
              <w:rPr>
                <w:sz w:val="7"/>
                <w:szCs w:val="7"/>
                <w:color w:val="auto"/>
              </w:rPr>
            </w:pPr>
          </w:p>
        </w:tc>
        <w:tc>
          <w:tcPr>
            <w:tcW w:w="2100" w:type="dxa"/>
            <w:vAlign w:val="bottom"/>
            <w:vMerge w:val="continue"/>
            <w:shd w:val="clear" w:color="auto" w:fill="EAF7FA"/>
          </w:tcPr>
          <w:p>
            <w:pPr>
              <w:spacing w:after="0"/>
              <w:rPr>
                <w:sz w:val="7"/>
                <w:szCs w:val="7"/>
                <w:color w:val="auto"/>
              </w:rPr>
            </w:pPr>
          </w:p>
        </w:tc>
        <w:tc>
          <w:tcPr>
            <w:tcW w:w="300" w:type="dxa"/>
            <w:vAlign w:val="bottom"/>
            <w:shd w:val="clear" w:color="auto" w:fill="EAF7FA"/>
          </w:tcPr>
          <w:p>
            <w:pPr>
              <w:spacing w:after="0"/>
              <w:rPr>
                <w:sz w:val="7"/>
                <w:szCs w:val="7"/>
                <w:color w:val="auto"/>
              </w:rPr>
            </w:pPr>
          </w:p>
        </w:tc>
        <w:tc>
          <w:tcPr>
            <w:tcW w:w="4680" w:type="dxa"/>
            <w:vAlign w:val="bottom"/>
            <w:vMerge w:val="continue"/>
            <w:shd w:val="clear" w:color="auto" w:fill="EAF7FA"/>
          </w:tcPr>
          <w:p>
            <w:pPr>
              <w:spacing w:after="0"/>
              <w:rPr>
                <w:sz w:val="7"/>
                <w:szCs w:val="7"/>
                <w:color w:val="auto"/>
              </w:rPr>
            </w:pPr>
          </w:p>
        </w:tc>
        <w:tc>
          <w:tcPr>
            <w:tcW w:w="700" w:type="dxa"/>
            <w:vAlign w:val="bottom"/>
            <w:gridSpan w:val="6"/>
            <w:vMerge w:val="restart"/>
            <w:shd w:val="clear" w:color="auto" w:fill="EAF7FA"/>
          </w:tcPr>
          <w:p>
            <w:pPr>
              <w:jc w:val="center"/>
              <w:ind w:left="88"/>
              <w:spacing w:after="0" w:line="158" w:lineRule="exact"/>
              <w:rPr>
                <w:sz w:val="20"/>
                <w:szCs w:val="20"/>
                <w:color w:val="auto"/>
              </w:rPr>
            </w:pPr>
            <w:r>
              <w:rPr>
                <w:rFonts w:ascii="Arial" w:cs="Arial" w:eastAsia="Arial" w:hAnsi="Arial"/>
                <w:sz w:val="14"/>
                <w:szCs w:val="14"/>
                <w:color w:val="0000EE"/>
              </w:rPr>
              <w:t>46</w:t>
            </w:r>
            <w:r>
              <w:rPr>
                <w:rFonts w:ascii="Arial" w:cs="Arial" w:eastAsia="Arial" w:hAnsi="Arial"/>
                <w:sz w:val="14"/>
                <w:szCs w:val="14"/>
                <w:color w:val="54565B"/>
              </w:rPr>
              <w:t>-</w:t>
            </w:r>
            <w:r>
              <w:rPr>
                <w:rFonts w:ascii="Arial" w:cs="Arial" w:eastAsia="Arial" w:hAnsi="Arial"/>
                <w:sz w:val="14"/>
                <w:szCs w:val="14"/>
                <w:color w:val="0000EE"/>
              </w:rPr>
              <w:t>49</w:t>
            </w:r>
          </w:p>
        </w:tc>
        <w:tc>
          <w:tcPr>
            <w:tcW w:w="160" w:type="dxa"/>
            <w:vAlign w:val="bottom"/>
            <w:shd w:val="clear" w:color="auto" w:fill="EAF7FA"/>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160" w:type="dxa"/>
            <w:vAlign w:val="bottom"/>
            <w:shd w:val="clear" w:color="auto" w:fill="EAF7FA"/>
          </w:tcPr>
          <w:p>
            <w:pPr>
              <w:spacing w:after="0"/>
              <w:rPr>
                <w:sz w:val="6"/>
                <w:szCs w:val="6"/>
                <w:color w:val="auto"/>
              </w:rPr>
            </w:pPr>
          </w:p>
        </w:tc>
        <w:tc>
          <w:tcPr>
            <w:tcW w:w="1000" w:type="dxa"/>
            <w:vAlign w:val="bottom"/>
            <w:shd w:val="clear" w:color="auto" w:fill="EAF7FA"/>
          </w:tcPr>
          <w:p>
            <w:pPr>
              <w:spacing w:after="0"/>
              <w:rPr>
                <w:sz w:val="6"/>
                <w:szCs w:val="6"/>
                <w:color w:val="auto"/>
              </w:rPr>
            </w:pPr>
          </w:p>
        </w:tc>
        <w:tc>
          <w:tcPr>
            <w:tcW w:w="160" w:type="dxa"/>
            <w:vAlign w:val="bottom"/>
            <w:tcBorders>
              <w:right w:val="single" w:sz="8" w:color="0B3C61"/>
            </w:tcBorders>
            <w:shd w:val="clear" w:color="auto" w:fill="EAF7FA"/>
          </w:tcPr>
          <w:p>
            <w:pPr>
              <w:spacing w:after="0"/>
              <w:rPr>
                <w:sz w:val="6"/>
                <w:szCs w:val="6"/>
                <w:color w:val="auto"/>
              </w:rPr>
            </w:pPr>
          </w:p>
        </w:tc>
        <w:tc>
          <w:tcPr>
            <w:tcW w:w="140" w:type="dxa"/>
            <w:vAlign w:val="bottom"/>
            <w:shd w:val="clear" w:color="auto" w:fill="EAF7FA"/>
          </w:tcPr>
          <w:p>
            <w:pPr>
              <w:spacing w:after="0"/>
              <w:rPr>
                <w:sz w:val="6"/>
                <w:szCs w:val="6"/>
                <w:color w:val="auto"/>
              </w:rPr>
            </w:pPr>
          </w:p>
        </w:tc>
        <w:tc>
          <w:tcPr>
            <w:tcW w:w="2100" w:type="dxa"/>
            <w:vAlign w:val="bottom"/>
            <w:vMerge w:val="restart"/>
            <w:shd w:val="clear" w:color="auto" w:fill="EAF7FA"/>
          </w:tcPr>
          <w:p>
            <w:pPr>
              <w:spacing w:after="0"/>
              <w:rPr>
                <w:sz w:val="20"/>
                <w:szCs w:val="20"/>
                <w:color w:val="auto"/>
              </w:rPr>
            </w:pPr>
            <w:r>
              <w:rPr>
                <w:rFonts w:ascii="Arial" w:cs="Arial" w:eastAsia="Arial" w:hAnsi="Arial"/>
                <w:sz w:val="14"/>
                <w:szCs w:val="14"/>
                <w:color w:val="54565B"/>
              </w:rPr>
              <w:t>and President and</w:t>
            </w:r>
          </w:p>
        </w:tc>
        <w:tc>
          <w:tcPr>
            <w:tcW w:w="300" w:type="dxa"/>
            <w:vAlign w:val="bottom"/>
            <w:shd w:val="clear" w:color="auto" w:fill="EAF7FA"/>
          </w:tcPr>
          <w:p>
            <w:pPr>
              <w:spacing w:after="0"/>
              <w:rPr>
                <w:sz w:val="6"/>
                <w:szCs w:val="6"/>
                <w:color w:val="auto"/>
              </w:rPr>
            </w:pPr>
          </w:p>
        </w:tc>
        <w:tc>
          <w:tcPr>
            <w:tcW w:w="4680" w:type="dxa"/>
            <w:vAlign w:val="bottom"/>
            <w:vMerge w:val="restart"/>
            <w:shd w:val="clear" w:color="auto" w:fill="EAF7FA"/>
          </w:tcPr>
          <w:p>
            <w:pPr>
              <w:ind w:left="60"/>
              <w:spacing w:after="0"/>
              <w:rPr>
                <w:sz w:val="20"/>
                <w:szCs w:val="20"/>
                <w:color w:val="auto"/>
              </w:rPr>
            </w:pPr>
            <w:r>
              <w:rPr>
                <w:rFonts w:ascii="Arial" w:cs="Arial" w:eastAsia="Arial" w:hAnsi="Arial"/>
                <w:sz w:val="14"/>
                <w:szCs w:val="14"/>
                <w:color w:val="54565B"/>
              </w:rPr>
              <w:t>creating an incentive to take excessive risk.</w:t>
            </w:r>
          </w:p>
        </w:tc>
        <w:tc>
          <w:tcPr>
            <w:tcW w:w="700" w:type="dxa"/>
            <w:vAlign w:val="bottom"/>
            <w:gridSpan w:val="6"/>
            <w:vMerge w:val="continue"/>
            <w:shd w:val="clear" w:color="auto" w:fill="EAF7FA"/>
          </w:tcPr>
          <w:p>
            <w:pPr>
              <w:spacing w:after="0"/>
              <w:rPr>
                <w:sz w:val="6"/>
                <w:szCs w:val="6"/>
                <w:color w:val="auto"/>
              </w:rPr>
            </w:pPr>
          </w:p>
        </w:tc>
        <w:tc>
          <w:tcPr>
            <w:tcW w:w="160" w:type="dxa"/>
            <w:vAlign w:val="bottom"/>
            <w:shd w:val="clear" w:color="auto" w:fill="EAF7FA"/>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60" w:type="dxa"/>
            <w:vAlign w:val="bottom"/>
            <w:tcBorders>
              <w:top w:val="single" w:sz="8" w:color="EAF7FA"/>
            </w:tcBorders>
            <w:shd w:val="clear" w:color="auto" w:fill="EAF7FA"/>
          </w:tcPr>
          <w:p>
            <w:pPr>
              <w:spacing w:after="0"/>
              <w:rPr>
                <w:sz w:val="5"/>
                <w:szCs w:val="5"/>
                <w:color w:val="auto"/>
              </w:rPr>
            </w:pPr>
          </w:p>
        </w:tc>
        <w:tc>
          <w:tcPr>
            <w:tcW w:w="100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right w:val="single" w:sz="8" w:color="0B3C61"/>
            </w:tcBorders>
            <w:shd w:val="clear" w:color="auto" w:fill="EAF7FA"/>
          </w:tcPr>
          <w:p>
            <w:pPr>
              <w:spacing w:after="0"/>
              <w:rPr>
                <w:sz w:val="5"/>
                <w:szCs w:val="5"/>
                <w:color w:val="auto"/>
              </w:rPr>
            </w:pPr>
          </w:p>
        </w:tc>
        <w:tc>
          <w:tcPr>
            <w:tcW w:w="140" w:type="dxa"/>
            <w:vAlign w:val="bottom"/>
            <w:tcBorders>
              <w:top w:val="single" w:sz="8" w:color="EAF7FA"/>
            </w:tcBorders>
            <w:shd w:val="clear" w:color="auto" w:fill="EAF7FA"/>
          </w:tcPr>
          <w:p>
            <w:pPr>
              <w:spacing w:after="0"/>
              <w:rPr>
                <w:sz w:val="5"/>
                <w:szCs w:val="5"/>
                <w:color w:val="auto"/>
              </w:rPr>
            </w:pPr>
          </w:p>
        </w:tc>
        <w:tc>
          <w:tcPr>
            <w:tcW w:w="2100" w:type="dxa"/>
            <w:vAlign w:val="bottom"/>
            <w:tcBorders>
              <w:top w:val="single" w:sz="8" w:color="EAF7FA"/>
            </w:tcBorders>
            <w:vMerge w:val="continue"/>
            <w:shd w:val="clear" w:color="auto" w:fill="EAF7FA"/>
          </w:tcPr>
          <w:p>
            <w:pPr>
              <w:spacing w:after="0"/>
              <w:rPr>
                <w:sz w:val="5"/>
                <w:szCs w:val="5"/>
                <w:color w:val="auto"/>
              </w:rPr>
            </w:pPr>
          </w:p>
        </w:tc>
        <w:tc>
          <w:tcPr>
            <w:tcW w:w="300" w:type="dxa"/>
            <w:vAlign w:val="bottom"/>
            <w:tcBorders>
              <w:top w:val="single" w:sz="8" w:color="EAF7FA"/>
            </w:tcBorders>
            <w:shd w:val="clear" w:color="auto" w:fill="EAF7FA"/>
          </w:tcPr>
          <w:p>
            <w:pPr>
              <w:spacing w:after="0"/>
              <w:rPr>
                <w:sz w:val="5"/>
                <w:szCs w:val="5"/>
                <w:color w:val="auto"/>
              </w:rPr>
            </w:pPr>
          </w:p>
        </w:tc>
        <w:tc>
          <w:tcPr>
            <w:tcW w:w="4680" w:type="dxa"/>
            <w:vAlign w:val="bottom"/>
            <w:tcBorders>
              <w:top w:val="single" w:sz="8" w:color="EAF7FA"/>
            </w:tcBorders>
            <w:vMerge w:val="continue"/>
            <w:shd w:val="clear" w:color="auto" w:fill="EAF7FA"/>
          </w:tcPr>
          <w:p>
            <w:pPr>
              <w:spacing w:after="0"/>
              <w:rPr>
                <w:sz w:val="5"/>
                <w:szCs w:val="5"/>
                <w:color w:val="auto"/>
              </w:rPr>
            </w:pPr>
          </w:p>
        </w:tc>
        <w:tc>
          <w:tcPr>
            <w:tcW w:w="24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60" w:type="dxa"/>
            <w:vAlign w:val="bottom"/>
            <w:shd w:val="clear" w:color="auto" w:fill="EAF7FA"/>
          </w:tcPr>
          <w:p>
            <w:pPr>
              <w:spacing w:after="0"/>
              <w:rPr>
                <w:sz w:val="14"/>
                <w:szCs w:val="14"/>
                <w:color w:val="auto"/>
              </w:rPr>
            </w:pPr>
          </w:p>
        </w:tc>
        <w:tc>
          <w:tcPr>
            <w:tcW w:w="1000" w:type="dxa"/>
            <w:vAlign w:val="bottom"/>
            <w:shd w:val="clear" w:color="auto" w:fill="EAF7FA"/>
          </w:tcPr>
          <w:p>
            <w:pPr>
              <w:spacing w:after="0"/>
              <w:rPr>
                <w:sz w:val="14"/>
                <w:szCs w:val="14"/>
                <w:color w:val="auto"/>
              </w:rPr>
            </w:pPr>
          </w:p>
        </w:tc>
        <w:tc>
          <w:tcPr>
            <w:tcW w:w="160" w:type="dxa"/>
            <w:vAlign w:val="bottom"/>
            <w:tcBorders>
              <w:right w:val="single" w:sz="8" w:color="0B3C61"/>
            </w:tcBorders>
            <w:shd w:val="clear" w:color="auto" w:fill="EAF7FA"/>
          </w:tcPr>
          <w:p>
            <w:pPr>
              <w:spacing w:after="0"/>
              <w:rPr>
                <w:sz w:val="14"/>
                <w:szCs w:val="14"/>
                <w:color w:val="auto"/>
              </w:rPr>
            </w:pPr>
          </w:p>
        </w:tc>
        <w:tc>
          <w:tcPr>
            <w:tcW w:w="140" w:type="dxa"/>
            <w:vAlign w:val="bottom"/>
            <w:shd w:val="clear" w:color="auto" w:fill="EAF7FA"/>
          </w:tcPr>
          <w:p>
            <w:pPr>
              <w:spacing w:after="0"/>
              <w:rPr>
                <w:sz w:val="14"/>
                <w:szCs w:val="14"/>
                <w:color w:val="auto"/>
              </w:rPr>
            </w:pPr>
          </w:p>
        </w:tc>
        <w:tc>
          <w:tcPr>
            <w:tcW w:w="2100" w:type="dxa"/>
            <w:vAlign w:val="bottom"/>
            <w:shd w:val="clear" w:color="auto" w:fill="EAF7FA"/>
          </w:tcPr>
          <w:p>
            <w:pPr>
              <w:spacing w:after="0"/>
              <w:rPr>
                <w:sz w:val="20"/>
                <w:szCs w:val="20"/>
                <w:color w:val="auto"/>
              </w:rPr>
            </w:pPr>
            <w:r>
              <w:rPr>
                <w:rFonts w:ascii="Arial" w:cs="Arial" w:eastAsia="Arial" w:hAnsi="Arial"/>
                <w:sz w:val="14"/>
                <w:szCs w:val="14"/>
                <w:color w:val="54565B"/>
              </w:rPr>
              <w:t>performance-based in large</w:t>
            </w:r>
          </w:p>
        </w:tc>
        <w:tc>
          <w:tcPr>
            <w:tcW w:w="300" w:type="dxa"/>
            <w:vAlign w:val="bottom"/>
            <w:shd w:val="clear" w:color="auto" w:fill="EAF7FA"/>
          </w:tcPr>
          <w:p>
            <w:pPr>
              <w:spacing w:after="0"/>
              <w:rPr>
                <w:sz w:val="14"/>
                <w:szCs w:val="14"/>
                <w:color w:val="auto"/>
              </w:rPr>
            </w:pPr>
          </w:p>
        </w:tc>
        <w:tc>
          <w:tcPr>
            <w:tcW w:w="4680" w:type="dxa"/>
            <w:vAlign w:val="bottom"/>
            <w:shd w:val="clear" w:color="auto" w:fill="EAF7FA"/>
          </w:tcPr>
          <w:p>
            <w:pPr>
              <w:spacing w:after="0"/>
              <w:rPr>
                <w:sz w:val="14"/>
                <w:szCs w:val="14"/>
                <w:color w:val="auto"/>
              </w:rPr>
            </w:pPr>
          </w:p>
        </w:tc>
        <w:tc>
          <w:tcPr>
            <w:tcW w:w="240" w:type="dxa"/>
            <w:vAlign w:val="bottom"/>
            <w:shd w:val="clear" w:color="auto" w:fill="EAF7FA"/>
          </w:tcPr>
          <w:p>
            <w:pPr>
              <w:spacing w:after="0"/>
              <w:rPr>
                <w:sz w:val="14"/>
                <w:szCs w:val="14"/>
                <w:color w:val="auto"/>
              </w:rPr>
            </w:pPr>
          </w:p>
        </w:tc>
        <w:tc>
          <w:tcPr>
            <w:tcW w:w="160" w:type="dxa"/>
            <w:vAlign w:val="bottom"/>
            <w:shd w:val="clear" w:color="auto" w:fill="EAF7FA"/>
          </w:tcPr>
          <w:p>
            <w:pPr>
              <w:spacing w:after="0"/>
              <w:rPr>
                <w:sz w:val="14"/>
                <w:szCs w:val="14"/>
                <w:color w:val="auto"/>
              </w:rPr>
            </w:pPr>
          </w:p>
        </w:tc>
        <w:tc>
          <w:tcPr>
            <w:tcW w:w="60" w:type="dxa"/>
            <w:vAlign w:val="bottom"/>
            <w:shd w:val="clear" w:color="auto" w:fill="EAF7FA"/>
          </w:tcPr>
          <w:p>
            <w:pPr>
              <w:spacing w:after="0"/>
              <w:rPr>
                <w:sz w:val="14"/>
                <w:szCs w:val="14"/>
                <w:color w:val="auto"/>
              </w:rPr>
            </w:pPr>
          </w:p>
        </w:tc>
        <w:tc>
          <w:tcPr>
            <w:tcW w:w="80" w:type="dxa"/>
            <w:vAlign w:val="bottom"/>
            <w:shd w:val="clear" w:color="auto" w:fill="EAF7FA"/>
          </w:tcPr>
          <w:p>
            <w:pPr>
              <w:spacing w:after="0"/>
              <w:rPr>
                <w:sz w:val="14"/>
                <w:szCs w:val="14"/>
                <w:color w:val="auto"/>
              </w:rPr>
            </w:pPr>
          </w:p>
        </w:tc>
        <w:tc>
          <w:tcPr>
            <w:tcW w:w="80" w:type="dxa"/>
            <w:vAlign w:val="bottom"/>
            <w:shd w:val="clear" w:color="auto" w:fill="EAF7FA"/>
          </w:tcPr>
          <w:p>
            <w:pPr>
              <w:spacing w:after="0"/>
              <w:rPr>
                <w:sz w:val="14"/>
                <w:szCs w:val="14"/>
                <w:color w:val="auto"/>
              </w:rPr>
            </w:pPr>
          </w:p>
        </w:tc>
        <w:tc>
          <w:tcPr>
            <w:tcW w:w="80" w:type="dxa"/>
            <w:vAlign w:val="bottom"/>
            <w:shd w:val="clear" w:color="auto" w:fill="EAF7FA"/>
          </w:tcPr>
          <w:p>
            <w:pPr>
              <w:spacing w:after="0"/>
              <w:rPr>
                <w:sz w:val="14"/>
                <w:szCs w:val="14"/>
                <w:color w:val="auto"/>
              </w:rPr>
            </w:pPr>
          </w:p>
        </w:tc>
        <w:tc>
          <w:tcPr>
            <w:tcW w:w="160" w:type="dxa"/>
            <w:vAlign w:val="bottom"/>
            <w:shd w:val="clear" w:color="auto" w:fill="EAF7FA"/>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0" w:type="dxa"/>
            <w:vAlign w:val="bottom"/>
            <w:shd w:val="clear" w:color="auto" w:fill="EAF7FA"/>
          </w:tcPr>
          <w:p>
            <w:pPr>
              <w:spacing w:after="0"/>
              <w:rPr>
                <w:sz w:val="16"/>
                <w:szCs w:val="16"/>
                <w:color w:val="auto"/>
              </w:rPr>
            </w:pPr>
          </w:p>
        </w:tc>
        <w:tc>
          <w:tcPr>
            <w:tcW w:w="1000" w:type="dxa"/>
            <w:vAlign w:val="bottom"/>
            <w:shd w:val="clear" w:color="auto" w:fill="EAF7FA"/>
          </w:tcPr>
          <w:p>
            <w:pPr>
              <w:spacing w:after="0"/>
              <w:rPr>
                <w:sz w:val="16"/>
                <w:szCs w:val="16"/>
                <w:color w:val="auto"/>
              </w:rPr>
            </w:pPr>
          </w:p>
        </w:tc>
        <w:tc>
          <w:tcPr>
            <w:tcW w:w="160" w:type="dxa"/>
            <w:vAlign w:val="bottom"/>
            <w:tcBorders>
              <w:right w:val="single" w:sz="8" w:color="0B3C61"/>
            </w:tcBorders>
            <w:shd w:val="clear" w:color="auto" w:fill="EAF7FA"/>
          </w:tcPr>
          <w:p>
            <w:pPr>
              <w:spacing w:after="0"/>
              <w:rPr>
                <w:sz w:val="16"/>
                <w:szCs w:val="16"/>
                <w:color w:val="auto"/>
              </w:rPr>
            </w:pPr>
          </w:p>
        </w:tc>
        <w:tc>
          <w:tcPr>
            <w:tcW w:w="140" w:type="dxa"/>
            <w:vAlign w:val="bottom"/>
            <w:shd w:val="clear" w:color="auto" w:fill="EAF7FA"/>
          </w:tcPr>
          <w:p>
            <w:pPr>
              <w:spacing w:after="0"/>
              <w:rPr>
                <w:sz w:val="16"/>
                <w:szCs w:val="16"/>
                <w:color w:val="auto"/>
              </w:rPr>
            </w:pPr>
          </w:p>
        </w:tc>
        <w:tc>
          <w:tcPr>
            <w:tcW w:w="2100" w:type="dxa"/>
            <w:vAlign w:val="bottom"/>
            <w:shd w:val="clear" w:color="auto" w:fill="EAF7FA"/>
          </w:tcPr>
          <w:p>
            <w:pPr>
              <w:spacing w:after="0"/>
              <w:rPr>
                <w:sz w:val="20"/>
                <w:szCs w:val="20"/>
                <w:color w:val="auto"/>
              </w:rPr>
            </w:pPr>
            <w:r>
              <w:rPr>
                <w:rFonts w:ascii="Arial" w:cs="Arial" w:eastAsia="Arial" w:hAnsi="Arial"/>
                <w:sz w:val="14"/>
                <w:szCs w:val="14"/>
                <w:color w:val="54565B"/>
              </w:rPr>
              <w:t>part for the other NEOs.</w:t>
            </w:r>
          </w:p>
        </w:tc>
        <w:tc>
          <w:tcPr>
            <w:tcW w:w="300" w:type="dxa"/>
            <w:vAlign w:val="bottom"/>
            <w:shd w:val="clear" w:color="auto" w:fill="EAF7FA"/>
          </w:tcPr>
          <w:p>
            <w:pPr>
              <w:spacing w:after="0"/>
              <w:rPr>
                <w:sz w:val="16"/>
                <w:szCs w:val="16"/>
                <w:color w:val="auto"/>
              </w:rPr>
            </w:pPr>
          </w:p>
        </w:tc>
        <w:tc>
          <w:tcPr>
            <w:tcW w:w="4680" w:type="dxa"/>
            <w:vAlign w:val="bottom"/>
            <w:shd w:val="clear" w:color="auto" w:fill="EAF7FA"/>
          </w:tcPr>
          <w:p>
            <w:pPr>
              <w:spacing w:after="0"/>
              <w:rPr>
                <w:sz w:val="16"/>
                <w:szCs w:val="16"/>
                <w:color w:val="auto"/>
              </w:rPr>
            </w:pPr>
          </w:p>
        </w:tc>
        <w:tc>
          <w:tcPr>
            <w:tcW w:w="240" w:type="dxa"/>
            <w:vAlign w:val="bottom"/>
            <w:shd w:val="clear" w:color="auto" w:fill="EAF7FA"/>
          </w:tcPr>
          <w:p>
            <w:pPr>
              <w:spacing w:after="0"/>
              <w:rPr>
                <w:sz w:val="16"/>
                <w:szCs w:val="16"/>
                <w:color w:val="auto"/>
              </w:rPr>
            </w:pPr>
          </w:p>
        </w:tc>
        <w:tc>
          <w:tcPr>
            <w:tcW w:w="160" w:type="dxa"/>
            <w:vAlign w:val="bottom"/>
            <w:shd w:val="clear" w:color="auto" w:fill="EAF7FA"/>
          </w:tcPr>
          <w:p>
            <w:pPr>
              <w:spacing w:after="0"/>
              <w:rPr>
                <w:sz w:val="16"/>
                <w:szCs w:val="16"/>
                <w:color w:val="auto"/>
              </w:rPr>
            </w:pPr>
          </w:p>
        </w:tc>
        <w:tc>
          <w:tcPr>
            <w:tcW w:w="60" w:type="dxa"/>
            <w:vAlign w:val="bottom"/>
            <w:shd w:val="clear" w:color="auto" w:fill="EAF7FA"/>
          </w:tcPr>
          <w:p>
            <w:pPr>
              <w:spacing w:after="0"/>
              <w:rPr>
                <w:sz w:val="16"/>
                <w:szCs w:val="16"/>
                <w:color w:val="auto"/>
              </w:rPr>
            </w:pPr>
          </w:p>
        </w:tc>
        <w:tc>
          <w:tcPr>
            <w:tcW w:w="80" w:type="dxa"/>
            <w:vAlign w:val="bottom"/>
            <w:shd w:val="clear" w:color="auto" w:fill="EAF7FA"/>
          </w:tcPr>
          <w:p>
            <w:pPr>
              <w:spacing w:after="0"/>
              <w:rPr>
                <w:sz w:val="16"/>
                <w:szCs w:val="16"/>
                <w:color w:val="auto"/>
              </w:rPr>
            </w:pPr>
          </w:p>
        </w:tc>
        <w:tc>
          <w:tcPr>
            <w:tcW w:w="80" w:type="dxa"/>
            <w:vAlign w:val="bottom"/>
            <w:shd w:val="clear" w:color="auto" w:fill="EAF7FA"/>
          </w:tcPr>
          <w:p>
            <w:pPr>
              <w:spacing w:after="0"/>
              <w:rPr>
                <w:sz w:val="16"/>
                <w:szCs w:val="16"/>
                <w:color w:val="auto"/>
              </w:rPr>
            </w:pPr>
          </w:p>
        </w:tc>
        <w:tc>
          <w:tcPr>
            <w:tcW w:w="80" w:type="dxa"/>
            <w:vAlign w:val="bottom"/>
            <w:shd w:val="clear" w:color="auto" w:fill="EAF7FA"/>
          </w:tcPr>
          <w:p>
            <w:pPr>
              <w:spacing w:after="0"/>
              <w:rPr>
                <w:sz w:val="16"/>
                <w:szCs w:val="16"/>
                <w:color w:val="auto"/>
              </w:rPr>
            </w:pPr>
          </w:p>
        </w:tc>
        <w:tc>
          <w:tcPr>
            <w:tcW w:w="160" w:type="dxa"/>
            <w:vAlign w:val="bottom"/>
            <w:shd w:val="clear" w:color="auto" w:fill="EAF7FA"/>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160" w:type="dxa"/>
            <w:vAlign w:val="bottom"/>
            <w:shd w:val="clear" w:color="auto" w:fill="EAF7FA"/>
          </w:tcPr>
          <w:p>
            <w:pPr>
              <w:spacing w:after="0"/>
              <w:rPr>
                <w:sz w:val="24"/>
                <w:szCs w:val="24"/>
                <w:color w:val="auto"/>
              </w:rPr>
            </w:pPr>
          </w:p>
        </w:tc>
        <w:tc>
          <w:tcPr>
            <w:tcW w:w="1000" w:type="dxa"/>
            <w:vAlign w:val="bottom"/>
            <w:shd w:val="clear" w:color="auto" w:fill="EAF7FA"/>
          </w:tcPr>
          <w:p>
            <w:pPr>
              <w:spacing w:after="0"/>
              <w:rPr>
                <w:sz w:val="24"/>
                <w:szCs w:val="24"/>
                <w:color w:val="auto"/>
              </w:rPr>
            </w:pPr>
          </w:p>
        </w:tc>
        <w:tc>
          <w:tcPr>
            <w:tcW w:w="160" w:type="dxa"/>
            <w:vAlign w:val="bottom"/>
            <w:tcBorders>
              <w:right w:val="single" w:sz="8" w:color="0B3C61"/>
            </w:tcBorders>
            <w:shd w:val="clear" w:color="auto" w:fill="EAF7FA"/>
          </w:tcPr>
          <w:p>
            <w:pPr>
              <w:spacing w:after="0"/>
              <w:rPr>
                <w:sz w:val="24"/>
                <w:szCs w:val="24"/>
                <w:color w:val="auto"/>
              </w:rPr>
            </w:pPr>
          </w:p>
        </w:tc>
        <w:tc>
          <w:tcPr>
            <w:tcW w:w="140" w:type="dxa"/>
            <w:vAlign w:val="bottom"/>
            <w:shd w:val="clear" w:color="auto" w:fill="EAF7FA"/>
          </w:tcPr>
          <w:p>
            <w:pPr>
              <w:spacing w:after="0"/>
              <w:rPr>
                <w:sz w:val="24"/>
                <w:szCs w:val="24"/>
                <w:color w:val="auto"/>
              </w:rPr>
            </w:pPr>
          </w:p>
        </w:tc>
        <w:tc>
          <w:tcPr>
            <w:tcW w:w="2100" w:type="dxa"/>
            <w:vAlign w:val="bottom"/>
            <w:shd w:val="clear" w:color="auto" w:fill="EAF7FA"/>
          </w:tcPr>
          <w:p>
            <w:pPr>
              <w:spacing w:after="0"/>
              <w:rPr>
                <w:sz w:val="20"/>
                <w:szCs w:val="20"/>
                <w:color w:val="auto"/>
              </w:rPr>
            </w:pPr>
            <w:r>
              <w:rPr>
                <w:rFonts w:ascii="Arial" w:cs="Arial" w:eastAsia="Arial" w:hAnsi="Arial"/>
                <w:sz w:val="14"/>
                <w:szCs w:val="14"/>
                <w:b w:val="1"/>
                <w:bCs w:val="1"/>
                <w:color w:val="54565B"/>
              </w:rPr>
              <w:t>Long-term incentive awards</w:t>
            </w:r>
          </w:p>
        </w:tc>
        <w:tc>
          <w:tcPr>
            <w:tcW w:w="300" w:type="dxa"/>
            <w:vAlign w:val="bottom"/>
            <w:shd w:val="clear" w:color="auto" w:fill="EAF7FA"/>
          </w:tcPr>
          <w:p>
            <w:pPr>
              <w:ind w:left="160"/>
              <w:spacing w:after="0"/>
              <w:rPr>
                <w:sz w:val="20"/>
                <w:szCs w:val="20"/>
                <w:color w:val="auto"/>
              </w:rPr>
            </w:pPr>
            <w:r>
              <w:rPr>
                <w:rFonts w:ascii="Arial" w:cs="Arial" w:eastAsia="Arial" w:hAnsi="Arial"/>
                <w:sz w:val="12"/>
                <w:szCs w:val="12"/>
                <w:color w:val="54565B"/>
                <w:w w:val="73"/>
              </w:rPr>
              <w:t>• </w:t>
            </w:r>
          </w:p>
        </w:tc>
        <w:tc>
          <w:tcPr>
            <w:tcW w:w="4680" w:type="dxa"/>
            <w:vAlign w:val="bottom"/>
            <w:shd w:val="clear" w:color="auto" w:fill="EAF7FA"/>
          </w:tcPr>
          <w:p>
            <w:pPr>
              <w:ind w:left="60"/>
              <w:spacing w:after="0"/>
              <w:rPr>
                <w:sz w:val="20"/>
                <w:szCs w:val="20"/>
                <w:color w:val="auto"/>
              </w:rPr>
            </w:pPr>
            <w:r>
              <w:rPr>
                <w:rFonts w:ascii="Arial" w:cs="Arial" w:eastAsia="Arial" w:hAnsi="Arial"/>
                <w:sz w:val="14"/>
                <w:szCs w:val="14"/>
                <w:color w:val="54565B"/>
              </w:rPr>
              <w:t>Encourages focus on growth in book value and return on equity,</w:t>
            </w:r>
          </w:p>
        </w:tc>
        <w:tc>
          <w:tcPr>
            <w:tcW w:w="240" w:type="dxa"/>
            <w:vAlign w:val="bottom"/>
            <w:shd w:val="clear" w:color="auto" w:fill="EAF7FA"/>
          </w:tcPr>
          <w:p>
            <w:pPr>
              <w:spacing w:after="0"/>
              <w:rPr>
                <w:sz w:val="24"/>
                <w:szCs w:val="24"/>
                <w:color w:val="auto"/>
              </w:rPr>
            </w:pPr>
          </w:p>
        </w:tc>
        <w:tc>
          <w:tcPr>
            <w:tcW w:w="160" w:type="dxa"/>
            <w:vAlign w:val="bottom"/>
            <w:shd w:val="clear" w:color="auto" w:fill="EAF7FA"/>
          </w:tcPr>
          <w:p>
            <w:pPr>
              <w:spacing w:after="0"/>
              <w:rPr>
                <w:sz w:val="24"/>
                <w:szCs w:val="24"/>
                <w:color w:val="auto"/>
              </w:rPr>
            </w:pPr>
          </w:p>
        </w:tc>
        <w:tc>
          <w:tcPr>
            <w:tcW w:w="60" w:type="dxa"/>
            <w:vAlign w:val="bottom"/>
            <w:shd w:val="clear" w:color="auto" w:fill="EAF7FA"/>
          </w:tcPr>
          <w:p>
            <w:pPr>
              <w:spacing w:after="0"/>
              <w:rPr>
                <w:sz w:val="24"/>
                <w:szCs w:val="24"/>
                <w:color w:val="auto"/>
              </w:rPr>
            </w:pPr>
          </w:p>
        </w:tc>
        <w:tc>
          <w:tcPr>
            <w:tcW w:w="80" w:type="dxa"/>
            <w:vAlign w:val="bottom"/>
            <w:shd w:val="clear" w:color="auto" w:fill="EAF7FA"/>
          </w:tcPr>
          <w:p>
            <w:pPr>
              <w:spacing w:after="0"/>
              <w:rPr>
                <w:sz w:val="24"/>
                <w:szCs w:val="24"/>
                <w:color w:val="auto"/>
              </w:rPr>
            </w:pPr>
          </w:p>
        </w:tc>
        <w:tc>
          <w:tcPr>
            <w:tcW w:w="80" w:type="dxa"/>
            <w:vAlign w:val="bottom"/>
            <w:shd w:val="clear" w:color="auto" w:fill="EAF7FA"/>
          </w:tcPr>
          <w:p>
            <w:pPr>
              <w:spacing w:after="0"/>
              <w:rPr>
                <w:sz w:val="24"/>
                <w:szCs w:val="24"/>
                <w:color w:val="auto"/>
              </w:rPr>
            </w:pPr>
          </w:p>
        </w:tc>
        <w:tc>
          <w:tcPr>
            <w:tcW w:w="80" w:type="dxa"/>
            <w:vAlign w:val="bottom"/>
            <w:shd w:val="clear" w:color="auto" w:fill="EAF7FA"/>
          </w:tcPr>
          <w:p>
            <w:pPr>
              <w:spacing w:after="0"/>
              <w:rPr>
                <w:sz w:val="24"/>
                <w:szCs w:val="24"/>
                <w:color w:val="auto"/>
              </w:rPr>
            </w:pPr>
          </w:p>
        </w:tc>
        <w:tc>
          <w:tcPr>
            <w:tcW w:w="160" w:type="dxa"/>
            <w:vAlign w:val="bottom"/>
            <w:shd w:val="clear" w:color="auto" w:fill="EAF7FA"/>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0" w:type="dxa"/>
            <w:vAlign w:val="bottom"/>
            <w:shd w:val="clear" w:color="auto" w:fill="EAF7FA"/>
          </w:tcPr>
          <w:p>
            <w:pPr>
              <w:spacing w:after="0"/>
              <w:rPr>
                <w:sz w:val="14"/>
                <w:szCs w:val="14"/>
                <w:color w:val="auto"/>
              </w:rPr>
            </w:pPr>
          </w:p>
        </w:tc>
        <w:tc>
          <w:tcPr>
            <w:tcW w:w="1000" w:type="dxa"/>
            <w:vAlign w:val="bottom"/>
            <w:shd w:val="clear" w:color="auto" w:fill="EAF7FA"/>
          </w:tcPr>
          <w:p>
            <w:pPr>
              <w:ind w:left="80"/>
              <w:spacing w:after="0"/>
              <w:rPr>
                <w:sz w:val="20"/>
                <w:szCs w:val="20"/>
                <w:color w:val="auto"/>
              </w:rPr>
            </w:pPr>
            <w:r>
              <w:rPr>
                <w:rFonts w:ascii="Arial" w:cs="Arial" w:eastAsia="Arial" w:hAnsi="Arial"/>
                <w:sz w:val="14"/>
                <w:szCs w:val="14"/>
                <w:b w:val="1"/>
                <w:bCs w:val="1"/>
                <w:color w:val="54565B"/>
              </w:rPr>
              <w:t>“At-Risk”</w:t>
            </w:r>
          </w:p>
        </w:tc>
        <w:tc>
          <w:tcPr>
            <w:tcW w:w="160" w:type="dxa"/>
            <w:vAlign w:val="bottom"/>
            <w:tcBorders>
              <w:right w:val="single" w:sz="8" w:color="0B3C61"/>
            </w:tcBorders>
            <w:shd w:val="clear" w:color="auto" w:fill="EAF7FA"/>
          </w:tcPr>
          <w:p>
            <w:pPr>
              <w:spacing w:after="0"/>
              <w:rPr>
                <w:sz w:val="14"/>
                <w:szCs w:val="14"/>
                <w:color w:val="auto"/>
              </w:rPr>
            </w:pPr>
          </w:p>
        </w:tc>
        <w:tc>
          <w:tcPr>
            <w:tcW w:w="140" w:type="dxa"/>
            <w:vAlign w:val="bottom"/>
            <w:shd w:val="clear" w:color="auto" w:fill="EAF7FA"/>
          </w:tcPr>
          <w:p>
            <w:pPr>
              <w:spacing w:after="0"/>
              <w:rPr>
                <w:sz w:val="14"/>
                <w:szCs w:val="14"/>
                <w:color w:val="auto"/>
              </w:rPr>
            </w:pPr>
          </w:p>
        </w:tc>
        <w:tc>
          <w:tcPr>
            <w:tcW w:w="2100" w:type="dxa"/>
            <w:vAlign w:val="bottom"/>
            <w:shd w:val="clear" w:color="auto" w:fill="EAF7FA"/>
          </w:tcPr>
          <w:p>
            <w:pPr>
              <w:spacing w:after="0"/>
              <w:rPr>
                <w:sz w:val="20"/>
                <w:szCs w:val="20"/>
                <w:color w:val="auto"/>
              </w:rPr>
            </w:pPr>
            <w:r>
              <w:rPr>
                <w:rFonts w:ascii="Arial" w:cs="Arial" w:eastAsia="Arial" w:hAnsi="Arial"/>
                <w:sz w:val="14"/>
                <w:szCs w:val="14"/>
                <w:b w:val="1"/>
                <w:bCs w:val="1"/>
                <w:color w:val="54565B"/>
              </w:rPr>
              <w:t>are variable cash awards</w:t>
            </w:r>
          </w:p>
        </w:tc>
        <w:tc>
          <w:tcPr>
            <w:tcW w:w="300" w:type="dxa"/>
            <w:vAlign w:val="bottom"/>
            <w:shd w:val="clear" w:color="auto" w:fill="EAF7FA"/>
          </w:tcPr>
          <w:p>
            <w:pPr>
              <w:spacing w:after="0"/>
              <w:rPr>
                <w:sz w:val="14"/>
                <w:szCs w:val="14"/>
                <w:color w:val="auto"/>
              </w:rPr>
            </w:pPr>
          </w:p>
        </w:tc>
        <w:tc>
          <w:tcPr>
            <w:tcW w:w="4680" w:type="dxa"/>
            <w:vAlign w:val="bottom"/>
            <w:shd w:val="clear" w:color="auto" w:fill="EAF7FA"/>
          </w:tcPr>
          <w:p>
            <w:pPr>
              <w:ind w:left="60"/>
              <w:spacing w:after="0"/>
              <w:rPr>
                <w:sz w:val="20"/>
                <w:szCs w:val="20"/>
                <w:color w:val="auto"/>
              </w:rPr>
            </w:pPr>
            <w:r>
              <w:rPr>
                <w:rFonts w:ascii="Arial" w:cs="Arial" w:eastAsia="Arial" w:hAnsi="Arial"/>
                <w:sz w:val="14"/>
                <w:szCs w:val="14"/>
                <w:color w:val="54565B"/>
              </w:rPr>
              <w:t>primary drivers of long-term shareholder value.</w:t>
            </w:r>
          </w:p>
        </w:tc>
        <w:tc>
          <w:tcPr>
            <w:tcW w:w="700" w:type="dxa"/>
            <w:vAlign w:val="bottom"/>
            <w:gridSpan w:val="6"/>
            <w:vMerge w:val="restart"/>
            <w:shd w:val="clear" w:color="auto" w:fill="EAF7FA"/>
          </w:tcPr>
          <w:p>
            <w:pPr>
              <w:jc w:val="center"/>
              <w:ind w:left="88"/>
              <w:spacing w:after="0"/>
              <w:rPr>
                <w:sz w:val="20"/>
                <w:szCs w:val="20"/>
                <w:color w:val="auto"/>
              </w:rPr>
            </w:pPr>
            <w:r>
              <w:rPr>
                <w:rFonts w:ascii="Arial" w:cs="Arial" w:eastAsia="Arial" w:hAnsi="Arial"/>
                <w:sz w:val="14"/>
                <w:szCs w:val="14"/>
                <w:color w:val="54565B"/>
              </w:rPr>
              <w:t>Pages</w:t>
            </w:r>
          </w:p>
        </w:tc>
        <w:tc>
          <w:tcPr>
            <w:tcW w:w="160" w:type="dxa"/>
            <w:vAlign w:val="bottom"/>
            <w:shd w:val="clear" w:color="auto" w:fill="EAF7FA"/>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60" w:type="dxa"/>
            <w:vAlign w:val="bottom"/>
            <w:shd w:val="clear" w:color="auto" w:fill="EAF7FA"/>
          </w:tcPr>
          <w:p>
            <w:pPr>
              <w:spacing w:after="0"/>
              <w:rPr>
                <w:sz w:val="7"/>
                <w:szCs w:val="7"/>
                <w:color w:val="auto"/>
              </w:rPr>
            </w:pPr>
          </w:p>
        </w:tc>
        <w:tc>
          <w:tcPr>
            <w:tcW w:w="1000" w:type="dxa"/>
            <w:vAlign w:val="bottom"/>
            <w:vMerge w:val="restart"/>
            <w:shd w:val="clear" w:color="auto" w:fill="EAF7FA"/>
          </w:tcPr>
          <w:p>
            <w:pPr>
              <w:ind w:left="80"/>
              <w:spacing w:after="0"/>
              <w:rPr>
                <w:sz w:val="20"/>
                <w:szCs w:val="20"/>
                <w:color w:val="auto"/>
              </w:rPr>
            </w:pPr>
            <w:r>
              <w:rPr>
                <w:rFonts w:ascii="Arial" w:cs="Arial" w:eastAsia="Arial" w:hAnsi="Arial"/>
                <w:sz w:val="14"/>
                <w:szCs w:val="14"/>
                <w:b w:val="1"/>
                <w:bCs w:val="1"/>
                <w:color w:val="54565B"/>
                <w:w w:val="99"/>
              </w:rPr>
              <w:t>Performance-</w:t>
            </w:r>
          </w:p>
        </w:tc>
        <w:tc>
          <w:tcPr>
            <w:tcW w:w="160" w:type="dxa"/>
            <w:vAlign w:val="bottom"/>
            <w:tcBorders>
              <w:right w:val="single" w:sz="8" w:color="0B3C61"/>
            </w:tcBorders>
            <w:shd w:val="clear" w:color="auto" w:fill="EAF7FA"/>
          </w:tcPr>
          <w:p>
            <w:pPr>
              <w:spacing w:after="0"/>
              <w:rPr>
                <w:sz w:val="7"/>
                <w:szCs w:val="7"/>
                <w:color w:val="auto"/>
              </w:rPr>
            </w:pPr>
          </w:p>
        </w:tc>
        <w:tc>
          <w:tcPr>
            <w:tcW w:w="140" w:type="dxa"/>
            <w:vAlign w:val="bottom"/>
            <w:shd w:val="clear" w:color="auto" w:fill="EAF7FA"/>
          </w:tcPr>
          <w:p>
            <w:pPr>
              <w:spacing w:after="0"/>
              <w:rPr>
                <w:sz w:val="7"/>
                <w:szCs w:val="7"/>
                <w:color w:val="auto"/>
              </w:rPr>
            </w:pPr>
          </w:p>
        </w:tc>
        <w:tc>
          <w:tcPr>
            <w:tcW w:w="2100" w:type="dxa"/>
            <w:vAlign w:val="bottom"/>
            <w:vMerge w:val="restart"/>
            <w:shd w:val="clear" w:color="auto" w:fill="EAF7FA"/>
          </w:tcPr>
          <w:p>
            <w:pPr>
              <w:spacing w:after="0"/>
              <w:rPr>
                <w:sz w:val="20"/>
                <w:szCs w:val="20"/>
                <w:color w:val="auto"/>
              </w:rPr>
            </w:pPr>
            <w:r>
              <w:rPr>
                <w:rFonts w:ascii="Arial" w:cs="Arial" w:eastAsia="Arial" w:hAnsi="Arial"/>
                <w:sz w:val="14"/>
                <w:szCs w:val="14"/>
                <w:b w:val="1"/>
                <w:bCs w:val="1"/>
                <w:color w:val="54565B"/>
              </w:rPr>
              <w:t>based 100% on Company</w:t>
            </w:r>
          </w:p>
        </w:tc>
        <w:tc>
          <w:tcPr>
            <w:tcW w:w="300" w:type="dxa"/>
            <w:vAlign w:val="bottom"/>
            <w:vMerge w:val="restart"/>
            <w:shd w:val="clear" w:color="auto" w:fill="EAF7FA"/>
          </w:tcPr>
          <w:p>
            <w:pPr>
              <w:ind w:left="160"/>
              <w:spacing w:after="0"/>
              <w:rPr>
                <w:sz w:val="20"/>
                <w:szCs w:val="20"/>
                <w:color w:val="auto"/>
              </w:rPr>
            </w:pPr>
            <w:r>
              <w:rPr>
                <w:rFonts w:ascii="Arial" w:cs="Arial" w:eastAsia="Arial" w:hAnsi="Arial"/>
                <w:sz w:val="12"/>
                <w:szCs w:val="12"/>
                <w:color w:val="54565B"/>
                <w:w w:val="73"/>
              </w:rPr>
              <w:t>• </w:t>
            </w:r>
          </w:p>
        </w:tc>
        <w:tc>
          <w:tcPr>
            <w:tcW w:w="4680" w:type="dxa"/>
            <w:vAlign w:val="bottom"/>
            <w:vMerge w:val="restart"/>
            <w:shd w:val="clear" w:color="auto" w:fill="EAF7FA"/>
          </w:tcPr>
          <w:p>
            <w:pPr>
              <w:ind w:left="60"/>
              <w:spacing w:after="0"/>
              <w:rPr>
                <w:sz w:val="20"/>
                <w:szCs w:val="20"/>
                <w:color w:val="auto"/>
              </w:rPr>
            </w:pPr>
            <w:r>
              <w:rPr>
                <w:rFonts w:ascii="Arial" w:cs="Arial" w:eastAsia="Arial" w:hAnsi="Arial"/>
                <w:sz w:val="14"/>
                <w:szCs w:val="14"/>
                <w:color w:val="54565B"/>
              </w:rPr>
              <w:t>Encourages retention through three-year performance periods.</w:t>
            </w:r>
          </w:p>
        </w:tc>
        <w:tc>
          <w:tcPr>
            <w:tcW w:w="700" w:type="dxa"/>
            <w:vAlign w:val="bottom"/>
            <w:gridSpan w:val="6"/>
            <w:vMerge w:val="continue"/>
            <w:shd w:val="clear" w:color="auto" w:fill="EAF7FA"/>
          </w:tcPr>
          <w:p>
            <w:pPr>
              <w:spacing w:after="0"/>
              <w:rPr>
                <w:sz w:val="7"/>
                <w:szCs w:val="7"/>
                <w:color w:val="auto"/>
              </w:rPr>
            </w:pPr>
          </w:p>
        </w:tc>
        <w:tc>
          <w:tcPr>
            <w:tcW w:w="160" w:type="dxa"/>
            <w:vAlign w:val="bottom"/>
            <w:shd w:val="clear" w:color="auto" w:fill="EAF7FA"/>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 w:type="dxa"/>
            <w:vAlign w:val="bottom"/>
            <w:shd w:val="clear" w:color="auto" w:fill="EAF7FA"/>
          </w:tcPr>
          <w:p>
            <w:pPr>
              <w:spacing w:after="0"/>
              <w:rPr>
                <w:sz w:val="7"/>
                <w:szCs w:val="7"/>
                <w:color w:val="auto"/>
              </w:rPr>
            </w:pPr>
          </w:p>
        </w:tc>
        <w:tc>
          <w:tcPr>
            <w:tcW w:w="1000" w:type="dxa"/>
            <w:vAlign w:val="bottom"/>
            <w:vMerge w:val="continue"/>
            <w:shd w:val="clear" w:color="auto" w:fill="EAF7FA"/>
          </w:tcPr>
          <w:p>
            <w:pPr>
              <w:spacing w:after="0"/>
              <w:rPr>
                <w:sz w:val="7"/>
                <w:szCs w:val="7"/>
                <w:color w:val="auto"/>
              </w:rPr>
            </w:pPr>
          </w:p>
        </w:tc>
        <w:tc>
          <w:tcPr>
            <w:tcW w:w="160" w:type="dxa"/>
            <w:vAlign w:val="bottom"/>
            <w:tcBorders>
              <w:right w:val="single" w:sz="8" w:color="0B3C61"/>
            </w:tcBorders>
            <w:shd w:val="clear" w:color="auto" w:fill="EAF7FA"/>
          </w:tcPr>
          <w:p>
            <w:pPr>
              <w:spacing w:after="0"/>
              <w:rPr>
                <w:sz w:val="7"/>
                <w:szCs w:val="7"/>
                <w:color w:val="auto"/>
              </w:rPr>
            </w:pPr>
          </w:p>
        </w:tc>
        <w:tc>
          <w:tcPr>
            <w:tcW w:w="140" w:type="dxa"/>
            <w:vAlign w:val="bottom"/>
            <w:shd w:val="clear" w:color="auto" w:fill="EAF7FA"/>
          </w:tcPr>
          <w:p>
            <w:pPr>
              <w:spacing w:after="0"/>
              <w:rPr>
                <w:sz w:val="7"/>
                <w:szCs w:val="7"/>
                <w:color w:val="auto"/>
              </w:rPr>
            </w:pPr>
          </w:p>
        </w:tc>
        <w:tc>
          <w:tcPr>
            <w:tcW w:w="2100" w:type="dxa"/>
            <w:vAlign w:val="bottom"/>
            <w:vMerge w:val="continue"/>
            <w:shd w:val="clear" w:color="auto" w:fill="EAF7FA"/>
          </w:tcPr>
          <w:p>
            <w:pPr>
              <w:spacing w:after="0"/>
              <w:rPr>
                <w:sz w:val="7"/>
                <w:szCs w:val="7"/>
                <w:color w:val="auto"/>
              </w:rPr>
            </w:pPr>
          </w:p>
        </w:tc>
        <w:tc>
          <w:tcPr>
            <w:tcW w:w="300" w:type="dxa"/>
            <w:vAlign w:val="bottom"/>
            <w:vMerge w:val="continue"/>
            <w:shd w:val="clear" w:color="auto" w:fill="EAF7FA"/>
          </w:tcPr>
          <w:p>
            <w:pPr>
              <w:spacing w:after="0"/>
              <w:rPr>
                <w:sz w:val="7"/>
                <w:szCs w:val="7"/>
                <w:color w:val="auto"/>
              </w:rPr>
            </w:pPr>
          </w:p>
        </w:tc>
        <w:tc>
          <w:tcPr>
            <w:tcW w:w="4680" w:type="dxa"/>
            <w:vAlign w:val="bottom"/>
            <w:vMerge w:val="continue"/>
            <w:shd w:val="clear" w:color="auto" w:fill="EAF7FA"/>
          </w:tcPr>
          <w:p>
            <w:pPr>
              <w:spacing w:after="0"/>
              <w:rPr>
                <w:sz w:val="7"/>
                <w:szCs w:val="7"/>
                <w:color w:val="auto"/>
              </w:rPr>
            </w:pPr>
          </w:p>
        </w:tc>
        <w:tc>
          <w:tcPr>
            <w:tcW w:w="700" w:type="dxa"/>
            <w:vAlign w:val="bottom"/>
            <w:gridSpan w:val="6"/>
            <w:vMerge w:val="restart"/>
            <w:shd w:val="clear" w:color="auto" w:fill="EAF7FA"/>
          </w:tcPr>
          <w:p>
            <w:pPr>
              <w:jc w:val="center"/>
              <w:ind w:left="88"/>
              <w:spacing w:after="0" w:line="158" w:lineRule="exact"/>
              <w:rPr>
                <w:sz w:val="20"/>
                <w:szCs w:val="20"/>
                <w:color w:val="auto"/>
              </w:rPr>
            </w:pPr>
            <w:r>
              <w:rPr>
                <w:rFonts w:ascii="Arial" w:cs="Arial" w:eastAsia="Arial" w:hAnsi="Arial"/>
                <w:sz w:val="14"/>
                <w:szCs w:val="14"/>
                <w:color w:val="0000EE"/>
              </w:rPr>
              <w:t>50</w:t>
            </w:r>
            <w:r>
              <w:rPr>
                <w:rFonts w:ascii="Arial" w:cs="Arial" w:eastAsia="Arial" w:hAnsi="Arial"/>
                <w:sz w:val="14"/>
                <w:szCs w:val="14"/>
                <w:color w:val="54565B"/>
              </w:rPr>
              <w:t>-</w:t>
            </w:r>
            <w:r>
              <w:rPr>
                <w:rFonts w:ascii="Arial" w:cs="Arial" w:eastAsia="Arial" w:hAnsi="Arial"/>
                <w:sz w:val="14"/>
                <w:szCs w:val="14"/>
                <w:color w:val="0000EE"/>
              </w:rPr>
              <w:t>52</w:t>
            </w:r>
          </w:p>
        </w:tc>
        <w:tc>
          <w:tcPr>
            <w:tcW w:w="160" w:type="dxa"/>
            <w:vAlign w:val="bottom"/>
            <w:shd w:val="clear" w:color="auto" w:fill="EAF7FA"/>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160" w:type="dxa"/>
            <w:vAlign w:val="bottom"/>
            <w:shd w:val="clear" w:color="auto" w:fill="EAF7FA"/>
          </w:tcPr>
          <w:p>
            <w:pPr>
              <w:spacing w:after="0"/>
              <w:rPr>
                <w:sz w:val="6"/>
                <w:szCs w:val="6"/>
                <w:color w:val="auto"/>
              </w:rPr>
            </w:pPr>
          </w:p>
        </w:tc>
        <w:tc>
          <w:tcPr>
            <w:tcW w:w="1000" w:type="dxa"/>
            <w:vAlign w:val="bottom"/>
            <w:vMerge w:val="restart"/>
            <w:shd w:val="clear" w:color="auto" w:fill="EAF7FA"/>
          </w:tcPr>
          <w:p>
            <w:pPr>
              <w:ind w:left="80"/>
              <w:spacing w:after="0"/>
              <w:rPr>
                <w:sz w:val="20"/>
                <w:szCs w:val="20"/>
                <w:color w:val="auto"/>
              </w:rPr>
            </w:pPr>
            <w:r>
              <w:rPr>
                <w:rFonts w:ascii="Arial" w:cs="Arial" w:eastAsia="Arial" w:hAnsi="Arial"/>
                <w:sz w:val="14"/>
                <w:szCs w:val="14"/>
                <w:b w:val="1"/>
                <w:bCs w:val="1"/>
                <w:color w:val="54565B"/>
              </w:rPr>
              <w:t>Based</w:t>
            </w:r>
          </w:p>
        </w:tc>
        <w:tc>
          <w:tcPr>
            <w:tcW w:w="160" w:type="dxa"/>
            <w:vAlign w:val="bottom"/>
            <w:tcBorders>
              <w:right w:val="single" w:sz="8" w:color="0B3C61"/>
            </w:tcBorders>
            <w:shd w:val="clear" w:color="auto" w:fill="EAF7FA"/>
          </w:tcPr>
          <w:p>
            <w:pPr>
              <w:spacing w:after="0"/>
              <w:rPr>
                <w:sz w:val="6"/>
                <w:szCs w:val="6"/>
                <w:color w:val="auto"/>
              </w:rPr>
            </w:pPr>
          </w:p>
        </w:tc>
        <w:tc>
          <w:tcPr>
            <w:tcW w:w="140" w:type="dxa"/>
            <w:vAlign w:val="bottom"/>
            <w:shd w:val="clear" w:color="auto" w:fill="EAF7FA"/>
          </w:tcPr>
          <w:p>
            <w:pPr>
              <w:spacing w:after="0"/>
              <w:rPr>
                <w:sz w:val="6"/>
                <w:szCs w:val="6"/>
                <w:color w:val="auto"/>
              </w:rPr>
            </w:pPr>
          </w:p>
        </w:tc>
        <w:tc>
          <w:tcPr>
            <w:tcW w:w="2100" w:type="dxa"/>
            <w:vAlign w:val="bottom"/>
            <w:vMerge w:val="restart"/>
            <w:shd w:val="clear" w:color="auto" w:fill="EAF7FA"/>
          </w:tcPr>
          <w:p>
            <w:pPr>
              <w:spacing w:after="0"/>
              <w:rPr>
                <w:sz w:val="20"/>
                <w:szCs w:val="20"/>
                <w:color w:val="auto"/>
              </w:rPr>
            </w:pPr>
            <w:r>
              <w:rPr>
                <w:rFonts w:ascii="Arial" w:cs="Arial" w:eastAsia="Arial" w:hAnsi="Arial"/>
                <w:sz w:val="14"/>
                <w:szCs w:val="14"/>
                <w:b w:val="1"/>
                <w:bCs w:val="1"/>
                <w:color w:val="54565B"/>
              </w:rPr>
              <w:t>performance for the Co-</w:t>
            </w:r>
          </w:p>
        </w:tc>
        <w:tc>
          <w:tcPr>
            <w:tcW w:w="300" w:type="dxa"/>
            <w:vAlign w:val="bottom"/>
            <w:vMerge w:val="restart"/>
            <w:shd w:val="clear" w:color="auto" w:fill="EAF7FA"/>
          </w:tcPr>
          <w:p>
            <w:pPr>
              <w:ind w:left="160"/>
              <w:spacing w:after="0"/>
              <w:rPr>
                <w:sz w:val="20"/>
                <w:szCs w:val="20"/>
                <w:color w:val="auto"/>
              </w:rPr>
            </w:pPr>
            <w:r>
              <w:rPr>
                <w:rFonts w:ascii="Arial" w:cs="Arial" w:eastAsia="Arial" w:hAnsi="Arial"/>
                <w:sz w:val="12"/>
                <w:szCs w:val="12"/>
                <w:color w:val="54565B"/>
                <w:w w:val="73"/>
              </w:rPr>
              <w:t>• </w:t>
            </w:r>
          </w:p>
        </w:tc>
        <w:tc>
          <w:tcPr>
            <w:tcW w:w="4680" w:type="dxa"/>
            <w:vAlign w:val="bottom"/>
            <w:vMerge w:val="restart"/>
            <w:shd w:val="clear" w:color="auto" w:fill="EAF7FA"/>
          </w:tcPr>
          <w:p>
            <w:pPr>
              <w:ind w:left="60"/>
              <w:spacing w:after="0"/>
              <w:rPr>
                <w:sz w:val="20"/>
                <w:szCs w:val="20"/>
                <w:color w:val="auto"/>
              </w:rPr>
            </w:pPr>
            <w:r>
              <w:rPr>
                <w:rFonts w:ascii="Arial" w:cs="Arial" w:eastAsia="Arial" w:hAnsi="Arial"/>
                <w:sz w:val="14"/>
                <w:szCs w:val="14"/>
                <w:color w:val="54565B"/>
              </w:rPr>
              <w:t>Long-term focus discourages excessive risk taking.</w:t>
            </w:r>
          </w:p>
        </w:tc>
        <w:tc>
          <w:tcPr>
            <w:tcW w:w="700" w:type="dxa"/>
            <w:vAlign w:val="bottom"/>
            <w:gridSpan w:val="6"/>
            <w:vMerge w:val="continue"/>
            <w:shd w:val="clear" w:color="auto" w:fill="EAF7FA"/>
          </w:tcPr>
          <w:p>
            <w:pPr>
              <w:spacing w:after="0"/>
              <w:rPr>
                <w:sz w:val="6"/>
                <w:szCs w:val="6"/>
                <w:color w:val="auto"/>
              </w:rPr>
            </w:pPr>
          </w:p>
        </w:tc>
        <w:tc>
          <w:tcPr>
            <w:tcW w:w="160" w:type="dxa"/>
            <w:vAlign w:val="bottom"/>
            <w:shd w:val="clear" w:color="auto" w:fill="EAF7FA"/>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60" w:type="dxa"/>
            <w:vAlign w:val="bottom"/>
            <w:tcBorders>
              <w:top w:val="single" w:sz="8" w:color="EAF7FA"/>
            </w:tcBorders>
            <w:shd w:val="clear" w:color="auto" w:fill="EAF7FA"/>
          </w:tcPr>
          <w:p>
            <w:pPr>
              <w:spacing w:after="0"/>
              <w:rPr>
                <w:sz w:val="5"/>
                <w:szCs w:val="5"/>
                <w:color w:val="auto"/>
              </w:rPr>
            </w:pPr>
          </w:p>
        </w:tc>
        <w:tc>
          <w:tcPr>
            <w:tcW w:w="1000" w:type="dxa"/>
            <w:vAlign w:val="bottom"/>
            <w:tcBorders>
              <w:top w:val="single" w:sz="8" w:color="EAF7FA"/>
            </w:tcBorders>
            <w:vMerge w:val="continue"/>
            <w:shd w:val="clear" w:color="auto" w:fill="EAF7FA"/>
          </w:tcPr>
          <w:p>
            <w:pPr>
              <w:spacing w:after="0"/>
              <w:rPr>
                <w:sz w:val="5"/>
                <w:szCs w:val="5"/>
                <w:color w:val="auto"/>
              </w:rPr>
            </w:pPr>
          </w:p>
        </w:tc>
        <w:tc>
          <w:tcPr>
            <w:tcW w:w="160" w:type="dxa"/>
            <w:vAlign w:val="bottom"/>
            <w:tcBorders>
              <w:top w:val="single" w:sz="8" w:color="EAF7FA"/>
              <w:right w:val="single" w:sz="8" w:color="0B3C61"/>
            </w:tcBorders>
            <w:shd w:val="clear" w:color="auto" w:fill="EAF7FA"/>
          </w:tcPr>
          <w:p>
            <w:pPr>
              <w:spacing w:after="0"/>
              <w:rPr>
                <w:sz w:val="5"/>
                <w:szCs w:val="5"/>
                <w:color w:val="auto"/>
              </w:rPr>
            </w:pPr>
          </w:p>
        </w:tc>
        <w:tc>
          <w:tcPr>
            <w:tcW w:w="140" w:type="dxa"/>
            <w:vAlign w:val="bottom"/>
            <w:tcBorders>
              <w:top w:val="single" w:sz="8" w:color="EAF7FA"/>
            </w:tcBorders>
            <w:shd w:val="clear" w:color="auto" w:fill="EAF7FA"/>
          </w:tcPr>
          <w:p>
            <w:pPr>
              <w:spacing w:after="0"/>
              <w:rPr>
                <w:sz w:val="5"/>
                <w:szCs w:val="5"/>
                <w:color w:val="auto"/>
              </w:rPr>
            </w:pPr>
          </w:p>
        </w:tc>
        <w:tc>
          <w:tcPr>
            <w:tcW w:w="2100" w:type="dxa"/>
            <w:vAlign w:val="bottom"/>
            <w:tcBorders>
              <w:top w:val="single" w:sz="8" w:color="EAF7FA"/>
            </w:tcBorders>
            <w:vMerge w:val="continue"/>
            <w:shd w:val="clear" w:color="auto" w:fill="EAF7FA"/>
          </w:tcPr>
          <w:p>
            <w:pPr>
              <w:spacing w:after="0"/>
              <w:rPr>
                <w:sz w:val="5"/>
                <w:szCs w:val="5"/>
                <w:color w:val="auto"/>
              </w:rPr>
            </w:pPr>
          </w:p>
        </w:tc>
        <w:tc>
          <w:tcPr>
            <w:tcW w:w="300" w:type="dxa"/>
            <w:vAlign w:val="bottom"/>
            <w:tcBorders>
              <w:top w:val="single" w:sz="8" w:color="EAF7FA"/>
            </w:tcBorders>
            <w:vMerge w:val="continue"/>
            <w:shd w:val="clear" w:color="auto" w:fill="EAF7FA"/>
          </w:tcPr>
          <w:p>
            <w:pPr>
              <w:spacing w:after="0"/>
              <w:rPr>
                <w:sz w:val="5"/>
                <w:szCs w:val="5"/>
                <w:color w:val="auto"/>
              </w:rPr>
            </w:pPr>
          </w:p>
        </w:tc>
        <w:tc>
          <w:tcPr>
            <w:tcW w:w="4680" w:type="dxa"/>
            <w:vAlign w:val="bottom"/>
            <w:tcBorders>
              <w:top w:val="single" w:sz="8" w:color="EAF7FA"/>
            </w:tcBorders>
            <w:vMerge w:val="continue"/>
            <w:shd w:val="clear" w:color="auto" w:fill="EAF7FA"/>
          </w:tcPr>
          <w:p>
            <w:pPr>
              <w:spacing w:after="0"/>
              <w:rPr>
                <w:sz w:val="5"/>
                <w:szCs w:val="5"/>
                <w:color w:val="auto"/>
              </w:rPr>
            </w:pPr>
          </w:p>
        </w:tc>
        <w:tc>
          <w:tcPr>
            <w:tcW w:w="24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6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EAF7FA"/>
          </w:tcPr>
          <w:p>
            <w:pPr>
              <w:spacing w:after="0"/>
              <w:rPr>
                <w:sz w:val="17"/>
                <w:szCs w:val="17"/>
                <w:color w:val="auto"/>
              </w:rPr>
            </w:pPr>
          </w:p>
        </w:tc>
        <w:tc>
          <w:tcPr>
            <w:tcW w:w="1000" w:type="dxa"/>
            <w:vAlign w:val="bottom"/>
            <w:shd w:val="clear" w:color="auto" w:fill="EAF7FA"/>
          </w:tcPr>
          <w:p>
            <w:pPr>
              <w:spacing w:after="0"/>
              <w:rPr>
                <w:sz w:val="17"/>
                <w:szCs w:val="17"/>
                <w:color w:val="auto"/>
              </w:rPr>
            </w:pPr>
          </w:p>
        </w:tc>
        <w:tc>
          <w:tcPr>
            <w:tcW w:w="160" w:type="dxa"/>
            <w:vAlign w:val="bottom"/>
            <w:tcBorders>
              <w:right w:val="single" w:sz="8" w:color="0B3C61"/>
            </w:tcBorders>
            <w:shd w:val="clear" w:color="auto" w:fill="EAF7FA"/>
          </w:tcPr>
          <w:p>
            <w:pPr>
              <w:spacing w:after="0"/>
              <w:rPr>
                <w:sz w:val="17"/>
                <w:szCs w:val="17"/>
                <w:color w:val="auto"/>
              </w:rPr>
            </w:pPr>
          </w:p>
        </w:tc>
        <w:tc>
          <w:tcPr>
            <w:tcW w:w="140" w:type="dxa"/>
            <w:vAlign w:val="bottom"/>
            <w:shd w:val="clear" w:color="auto" w:fill="EAF7FA"/>
          </w:tcPr>
          <w:p>
            <w:pPr>
              <w:spacing w:after="0"/>
              <w:rPr>
                <w:sz w:val="17"/>
                <w:szCs w:val="17"/>
                <w:color w:val="auto"/>
              </w:rPr>
            </w:pPr>
          </w:p>
        </w:tc>
        <w:tc>
          <w:tcPr>
            <w:tcW w:w="2100" w:type="dxa"/>
            <w:vAlign w:val="bottom"/>
            <w:shd w:val="clear" w:color="auto" w:fill="EAF7FA"/>
          </w:tcPr>
          <w:p>
            <w:pPr>
              <w:spacing w:after="0"/>
              <w:rPr>
                <w:sz w:val="20"/>
                <w:szCs w:val="20"/>
                <w:color w:val="auto"/>
              </w:rPr>
            </w:pPr>
            <w:r>
              <w:rPr>
                <w:rFonts w:ascii="Arial" w:cs="Arial" w:eastAsia="Arial" w:hAnsi="Arial"/>
                <w:sz w:val="14"/>
                <w:szCs w:val="14"/>
                <w:b w:val="1"/>
                <w:bCs w:val="1"/>
                <w:color w:val="54565B"/>
              </w:rPr>
              <w:t>CEOs and President.</w:t>
            </w:r>
          </w:p>
        </w:tc>
        <w:tc>
          <w:tcPr>
            <w:tcW w:w="300" w:type="dxa"/>
            <w:vAlign w:val="bottom"/>
            <w:shd w:val="clear" w:color="auto" w:fill="EAF7FA"/>
          </w:tcPr>
          <w:p>
            <w:pPr>
              <w:spacing w:after="0"/>
              <w:rPr>
                <w:sz w:val="17"/>
                <w:szCs w:val="17"/>
                <w:color w:val="auto"/>
              </w:rPr>
            </w:pPr>
          </w:p>
        </w:tc>
        <w:tc>
          <w:tcPr>
            <w:tcW w:w="4680" w:type="dxa"/>
            <w:vAlign w:val="bottom"/>
            <w:shd w:val="clear" w:color="auto" w:fill="EAF7FA"/>
          </w:tcPr>
          <w:p>
            <w:pPr>
              <w:spacing w:after="0"/>
              <w:rPr>
                <w:sz w:val="17"/>
                <w:szCs w:val="17"/>
                <w:color w:val="auto"/>
              </w:rPr>
            </w:pPr>
          </w:p>
        </w:tc>
        <w:tc>
          <w:tcPr>
            <w:tcW w:w="240" w:type="dxa"/>
            <w:vAlign w:val="bottom"/>
            <w:shd w:val="clear" w:color="auto" w:fill="EAF7FA"/>
          </w:tcPr>
          <w:p>
            <w:pPr>
              <w:spacing w:after="0"/>
              <w:rPr>
                <w:sz w:val="17"/>
                <w:szCs w:val="17"/>
                <w:color w:val="auto"/>
              </w:rPr>
            </w:pPr>
          </w:p>
        </w:tc>
        <w:tc>
          <w:tcPr>
            <w:tcW w:w="160" w:type="dxa"/>
            <w:vAlign w:val="bottom"/>
            <w:shd w:val="clear" w:color="auto" w:fill="EAF7FA"/>
          </w:tcPr>
          <w:p>
            <w:pPr>
              <w:spacing w:after="0"/>
              <w:rPr>
                <w:sz w:val="17"/>
                <w:szCs w:val="17"/>
                <w:color w:val="auto"/>
              </w:rPr>
            </w:pPr>
          </w:p>
        </w:tc>
        <w:tc>
          <w:tcPr>
            <w:tcW w:w="60" w:type="dxa"/>
            <w:vAlign w:val="bottom"/>
            <w:shd w:val="clear" w:color="auto" w:fill="EAF7FA"/>
          </w:tcPr>
          <w:p>
            <w:pPr>
              <w:spacing w:after="0"/>
              <w:rPr>
                <w:sz w:val="17"/>
                <w:szCs w:val="17"/>
                <w:color w:val="auto"/>
              </w:rPr>
            </w:pPr>
          </w:p>
        </w:tc>
        <w:tc>
          <w:tcPr>
            <w:tcW w:w="80" w:type="dxa"/>
            <w:vAlign w:val="bottom"/>
            <w:shd w:val="clear" w:color="auto" w:fill="EAF7FA"/>
          </w:tcPr>
          <w:p>
            <w:pPr>
              <w:spacing w:after="0"/>
              <w:rPr>
                <w:sz w:val="17"/>
                <w:szCs w:val="17"/>
                <w:color w:val="auto"/>
              </w:rPr>
            </w:pPr>
          </w:p>
        </w:tc>
        <w:tc>
          <w:tcPr>
            <w:tcW w:w="80" w:type="dxa"/>
            <w:vAlign w:val="bottom"/>
            <w:shd w:val="clear" w:color="auto" w:fill="EAF7FA"/>
          </w:tcPr>
          <w:p>
            <w:pPr>
              <w:spacing w:after="0"/>
              <w:rPr>
                <w:sz w:val="17"/>
                <w:szCs w:val="17"/>
                <w:color w:val="auto"/>
              </w:rPr>
            </w:pPr>
          </w:p>
        </w:tc>
        <w:tc>
          <w:tcPr>
            <w:tcW w:w="80" w:type="dxa"/>
            <w:vAlign w:val="bottom"/>
            <w:shd w:val="clear" w:color="auto" w:fill="EAF7FA"/>
          </w:tcPr>
          <w:p>
            <w:pPr>
              <w:spacing w:after="0"/>
              <w:rPr>
                <w:sz w:val="17"/>
                <w:szCs w:val="17"/>
                <w:color w:val="auto"/>
              </w:rPr>
            </w:pPr>
          </w:p>
        </w:tc>
        <w:tc>
          <w:tcPr>
            <w:tcW w:w="160" w:type="dxa"/>
            <w:vAlign w:val="bottom"/>
            <w:shd w:val="clear" w:color="auto" w:fill="EAF7FA"/>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60" w:type="dxa"/>
            <w:vAlign w:val="bottom"/>
            <w:shd w:val="clear" w:color="auto" w:fill="EAF7FA"/>
          </w:tcPr>
          <w:p>
            <w:pPr>
              <w:spacing w:after="0"/>
              <w:rPr>
                <w:sz w:val="24"/>
                <w:szCs w:val="24"/>
                <w:color w:val="auto"/>
              </w:rPr>
            </w:pPr>
          </w:p>
        </w:tc>
        <w:tc>
          <w:tcPr>
            <w:tcW w:w="1000" w:type="dxa"/>
            <w:vAlign w:val="bottom"/>
            <w:shd w:val="clear" w:color="auto" w:fill="EAF7FA"/>
          </w:tcPr>
          <w:p>
            <w:pPr>
              <w:spacing w:after="0"/>
              <w:rPr>
                <w:sz w:val="24"/>
                <w:szCs w:val="24"/>
                <w:color w:val="auto"/>
              </w:rPr>
            </w:pPr>
          </w:p>
        </w:tc>
        <w:tc>
          <w:tcPr>
            <w:tcW w:w="160" w:type="dxa"/>
            <w:vAlign w:val="bottom"/>
            <w:tcBorders>
              <w:right w:val="single" w:sz="8" w:color="0B3C61"/>
            </w:tcBorders>
            <w:shd w:val="clear" w:color="auto" w:fill="EAF7FA"/>
          </w:tcPr>
          <w:p>
            <w:pPr>
              <w:spacing w:after="0"/>
              <w:rPr>
                <w:sz w:val="24"/>
                <w:szCs w:val="24"/>
                <w:color w:val="auto"/>
              </w:rPr>
            </w:pPr>
          </w:p>
        </w:tc>
        <w:tc>
          <w:tcPr>
            <w:tcW w:w="140" w:type="dxa"/>
            <w:vAlign w:val="bottom"/>
            <w:shd w:val="clear" w:color="auto" w:fill="EAF7FA"/>
          </w:tcPr>
          <w:p>
            <w:pPr>
              <w:spacing w:after="0"/>
              <w:rPr>
                <w:sz w:val="24"/>
                <w:szCs w:val="24"/>
                <w:color w:val="auto"/>
              </w:rPr>
            </w:pPr>
          </w:p>
        </w:tc>
        <w:tc>
          <w:tcPr>
            <w:tcW w:w="2100" w:type="dxa"/>
            <w:vAlign w:val="bottom"/>
            <w:shd w:val="clear" w:color="auto" w:fill="EAF7FA"/>
          </w:tcPr>
          <w:p>
            <w:pPr>
              <w:spacing w:after="0"/>
              <w:rPr>
                <w:sz w:val="24"/>
                <w:szCs w:val="24"/>
                <w:color w:val="auto"/>
              </w:rPr>
            </w:pPr>
          </w:p>
        </w:tc>
        <w:tc>
          <w:tcPr>
            <w:tcW w:w="300" w:type="dxa"/>
            <w:vAlign w:val="bottom"/>
            <w:shd w:val="clear" w:color="auto" w:fill="EAF7FA"/>
          </w:tcPr>
          <w:p>
            <w:pPr>
              <w:ind w:left="160"/>
              <w:spacing w:after="0"/>
              <w:rPr>
                <w:sz w:val="20"/>
                <w:szCs w:val="20"/>
                <w:color w:val="auto"/>
              </w:rPr>
            </w:pPr>
            <w:r>
              <w:rPr>
                <w:rFonts w:ascii="Arial" w:cs="Arial" w:eastAsia="Arial" w:hAnsi="Arial"/>
                <w:sz w:val="12"/>
                <w:szCs w:val="12"/>
                <w:color w:val="54565B"/>
                <w:w w:val="73"/>
              </w:rPr>
              <w:t>• </w:t>
            </w:r>
          </w:p>
        </w:tc>
        <w:tc>
          <w:tcPr>
            <w:tcW w:w="4680" w:type="dxa"/>
            <w:vAlign w:val="bottom"/>
            <w:shd w:val="clear" w:color="auto" w:fill="EAF7FA"/>
          </w:tcPr>
          <w:p>
            <w:pPr>
              <w:ind w:left="60"/>
              <w:spacing w:after="0"/>
              <w:rPr>
                <w:sz w:val="20"/>
                <w:szCs w:val="20"/>
                <w:color w:val="auto"/>
              </w:rPr>
            </w:pPr>
            <w:r>
              <w:rPr>
                <w:rFonts w:ascii="Arial" w:cs="Arial" w:eastAsia="Arial" w:hAnsi="Arial"/>
                <w:sz w:val="14"/>
                <w:szCs w:val="14"/>
                <w:color w:val="54565B"/>
              </w:rPr>
              <w:t>Ensures that the NEOs have a significant continuing interest in long-</w:t>
            </w:r>
          </w:p>
        </w:tc>
        <w:tc>
          <w:tcPr>
            <w:tcW w:w="240" w:type="dxa"/>
            <w:vAlign w:val="bottom"/>
            <w:shd w:val="clear" w:color="auto" w:fill="EAF7FA"/>
          </w:tcPr>
          <w:p>
            <w:pPr>
              <w:spacing w:after="0"/>
              <w:rPr>
                <w:sz w:val="24"/>
                <w:szCs w:val="24"/>
                <w:color w:val="auto"/>
              </w:rPr>
            </w:pPr>
          </w:p>
        </w:tc>
        <w:tc>
          <w:tcPr>
            <w:tcW w:w="160" w:type="dxa"/>
            <w:vAlign w:val="bottom"/>
            <w:shd w:val="clear" w:color="auto" w:fill="EAF7FA"/>
          </w:tcPr>
          <w:p>
            <w:pPr>
              <w:spacing w:after="0"/>
              <w:rPr>
                <w:sz w:val="24"/>
                <w:szCs w:val="24"/>
                <w:color w:val="auto"/>
              </w:rPr>
            </w:pPr>
          </w:p>
        </w:tc>
        <w:tc>
          <w:tcPr>
            <w:tcW w:w="60" w:type="dxa"/>
            <w:vAlign w:val="bottom"/>
            <w:shd w:val="clear" w:color="auto" w:fill="EAF7FA"/>
          </w:tcPr>
          <w:p>
            <w:pPr>
              <w:spacing w:after="0"/>
              <w:rPr>
                <w:sz w:val="24"/>
                <w:szCs w:val="24"/>
                <w:color w:val="auto"/>
              </w:rPr>
            </w:pPr>
          </w:p>
        </w:tc>
        <w:tc>
          <w:tcPr>
            <w:tcW w:w="80" w:type="dxa"/>
            <w:vAlign w:val="bottom"/>
            <w:shd w:val="clear" w:color="auto" w:fill="EAF7FA"/>
          </w:tcPr>
          <w:p>
            <w:pPr>
              <w:spacing w:after="0"/>
              <w:rPr>
                <w:sz w:val="24"/>
                <w:szCs w:val="24"/>
                <w:color w:val="auto"/>
              </w:rPr>
            </w:pPr>
          </w:p>
        </w:tc>
        <w:tc>
          <w:tcPr>
            <w:tcW w:w="80" w:type="dxa"/>
            <w:vAlign w:val="bottom"/>
            <w:shd w:val="clear" w:color="auto" w:fill="EAF7FA"/>
          </w:tcPr>
          <w:p>
            <w:pPr>
              <w:spacing w:after="0"/>
              <w:rPr>
                <w:sz w:val="24"/>
                <w:szCs w:val="24"/>
                <w:color w:val="auto"/>
              </w:rPr>
            </w:pPr>
          </w:p>
        </w:tc>
        <w:tc>
          <w:tcPr>
            <w:tcW w:w="80" w:type="dxa"/>
            <w:vAlign w:val="bottom"/>
            <w:shd w:val="clear" w:color="auto" w:fill="EAF7FA"/>
          </w:tcPr>
          <w:p>
            <w:pPr>
              <w:spacing w:after="0"/>
              <w:rPr>
                <w:sz w:val="24"/>
                <w:szCs w:val="24"/>
                <w:color w:val="auto"/>
              </w:rPr>
            </w:pPr>
          </w:p>
        </w:tc>
        <w:tc>
          <w:tcPr>
            <w:tcW w:w="160" w:type="dxa"/>
            <w:vAlign w:val="bottom"/>
            <w:shd w:val="clear" w:color="auto" w:fill="EAF7FA"/>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0" w:type="dxa"/>
            <w:vAlign w:val="bottom"/>
            <w:shd w:val="clear" w:color="auto" w:fill="EAF7FA"/>
          </w:tcPr>
          <w:p>
            <w:pPr>
              <w:spacing w:after="0"/>
              <w:rPr>
                <w:sz w:val="14"/>
                <w:szCs w:val="14"/>
                <w:color w:val="auto"/>
              </w:rPr>
            </w:pPr>
          </w:p>
        </w:tc>
        <w:tc>
          <w:tcPr>
            <w:tcW w:w="1000" w:type="dxa"/>
            <w:vAlign w:val="bottom"/>
            <w:shd w:val="clear" w:color="auto" w:fill="EAF7FA"/>
          </w:tcPr>
          <w:p>
            <w:pPr>
              <w:spacing w:after="0"/>
              <w:rPr>
                <w:sz w:val="14"/>
                <w:szCs w:val="14"/>
                <w:color w:val="auto"/>
              </w:rPr>
            </w:pPr>
          </w:p>
        </w:tc>
        <w:tc>
          <w:tcPr>
            <w:tcW w:w="160" w:type="dxa"/>
            <w:vAlign w:val="bottom"/>
            <w:tcBorders>
              <w:right w:val="single" w:sz="8" w:color="0B3C61"/>
            </w:tcBorders>
            <w:shd w:val="clear" w:color="auto" w:fill="EAF7FA"/>
          </w:tcPr>
          <w:p>
            <w:pPr>
              <w:spacing w:after="0"/>
              <w:rPr>
                <w:sz w:val="14"/>
                <w:szCs w:val="14"/>
                <w:color w:val="auto"/>
              </w:rPr>
            </w:pPr>
          </w:p>
        </w:tc>
        <w:tc>
          <w:tcPr>
            <w:tcW w:w="140" w:type="dxa"/>
            <w:vAlign w:val="bottom"/>
            <w:shd w:val="clear" w:color="auto" w:fill="EAF7FA"/>
          </w:tcPr>
          <w:p>
            <w:pPr>
              <w:spacing w:after="0"/>
              <w:rPr>
                <w:sz w:val="14"/>
                <w:szCs w:val="14"/>
                <w:color w:val="auto"/>
              </w:rPr>
            </w:pPr>
          </w:p>
        </w:tc>
        <w:tc>
          <w:tcPr>
            <w:tcW w:w="2100" w:type="dxa"/>
            <w:vAlign w:val="bottom"/>
            <w:vMerge w:val="restart"/>
            <w:shd w:val="clear" w:color="auto" w:fill="EAF7FA"/>
          </w:tcPr>
          <w:p>
            <w:pPr>
              <w:spacing w:after="0"/>
              <w:rPr>
                <w:sz w:val="20"/>
                <w:szCs w:val="20"/>
                <w:color w:val="auto"/>
              </w:rPr>
            </w:pPr>
            <w:r>
              <w:rPr>
                <w:rFonts w:ascii="Arial" w:cs="Arial" w:eastAsia="Arial" w:hAnsi="Arial"/>
                <w:sz w:val="14"/>
                <w:szCs w:val="14"/>
                <w:b w:val="1"/>
                <w:bCs w:val="1"/>
                <w:color w:val="54565B"/>
              </w:rPr>
              <w:t>Long-term stock-based</w:t>
            </w:r>
          </w:p>
        </w:tc>
        <w:tc>
          <w:tcPr>
            <w:tcW w:w="300" w:type="dxa"/>
            <w:vAlign w:val="bottom"/>
            <w:shd w:val="clear" w:color="auto" w:fill="EAF7FA"/>
          </w:tcPr>
          <w:p>
            <w:pPr>
              <w:spacing w:after="0"/>
              <w:rPr>
                <w:sz w:val="14"/>
                <w:szCs w:val="14"/>
                <w:color w:val="auto"/>
              </w:rPr>
            </w:pPr>
          </w:p>
        </w:tc>
        <w:tc>
          <w:tcPr>
            <w:tcW w:w="4680" w:type="dxa"/>
            <w:vAlign w:val="bottom"/>
            <w:shd w:val="clear" w:color="auto" w:fill="EAF7FA"/>
          </w:tcPr>
          <w:p>
            <w:pPr>
              <w:ind w:left="60"/>
              <w:spacing w:after="0"/>
              <w:rPr>
                <w:sz w:val="20"/>
                <w:szCs w:val="20"/>
                <w:color w:val="auto"/>
              </w:rPr>
            </w:pPr>
            <w:r>
              <w:rPr>
                <w:rFonts w:ascii="Arial" w:cs="Arial" w:eastAsia="Arial" w:hAnsi="Arial"/>
                <w:sz w:val="14"/>
                <w:szCs w:val="14"/>
                <w:color w:val="54565B"/>
              </w:rPr>
              <w:t>term value creation for the Company.</w:t>
            </w:r>
          </w:p>
        </w:tc>
        <w:tc>
          <w:tcPr>
            <w:tcW w:w="240" w:type="dxa"/>
            <w:vAlign w:val="bottom"/>
            <w:shd w:val="clear" w:color="auto" w:fill="EAF7FA"/>
          </w:tcPr>
          <w:p>
            <w:pPr>
              <w:spacing w:after="0"/>
              <w:rPr>
                <w:sz w:val="14"/>
                <w:szCs w:val="14"/>
                <w:color w:val="auto"/>
              </w:rPr>
            </w:pPr>
          </w:p>
        </w:tc>
        <w:tc>
          <w:tcPr>
            <w:tcW w:w="160" w:type="dxa"/>
            <w:vAlign w:val="bottom"/>
            <w:shd w:val="clear" w:color="auto" w:fill="EAF7FA"/>
          </w:tcPr>
          <w:p>
            <w:pPr>
              <w:spacing w:after="0"/>
              <w:rPr>
                <w:sz w:val="14"/>
                <w:szCs w:val="14"/>
                <w:color w:val="auto"/>
              </w:rPr>
            </w:pPr>
          </w:p>
        </w:tc>
        <w:tc>
          <w:tcPr>
            <w:tcW w:w="60" w:type="dxa"/>
            <w:vAlign w:val="bottom"/>
            <w:shd w:val="clear" w:color="auto" w:fill="EAF7FA"/>
          </w:tcPr>
          <w:p>
            <w:pPr>
              <w:spacing w:after="0"/>
              <w:rPr>
                <w:sz w:val="14"/>
                <w:szCs w:val="14"/>
                <w:color w:val="auto"/>
              </w:rPr>
            </w:pPr>
          </w:p>
        </w:tc>
        <w:tc>
          <w:tcPr>
            <w:tcW w:w="80" w:type="dxa"/>
            <w:vAlign w:val="bottom"/>
            <w:shd w:val="clear" w:color="auto" w:fill="EAF7FA"/>
          </w:tcPr>
          <w:p>
            <w:pPr>
              <w:spacing w:after="0"/>
              <w:rPr>
                <w:sz w:val="14"/>
                <w:szCs w:val="14"/>
                <w:color w:val="auto"/>
              </w:rPr>
            </w:pPr>
          </w:p>
        </w:tc>
        <w:tc>
          <w:tcPr>
            <w:tcW w:w="80" w:type="dxa"/>
            <w:vAlign w:val="bottom"/>
            <w:shd w:val="clear" w:color="auto" w:fill="EAF7FA"/>
          </w:tcPr>
          <w:p>
            <w:pPr>
              <w:spacing w:after="0"/>
              <w:rPr>
                <w:sz w:val="14"/>
                <w:szCs w:val="14"/>
                <w:color w:val="auto"/>
              </w:rPr>
            </w:pPr>
          </w:p>
        </w:tc>
        <w:tc>
          <w:tcPr>
            <w:tcW w:w="80" w:type="dxa"/>
            <w:vAlign w:val="bottom"/>
            <w:shd w:val="clear" w:color="auto" w:fill="EAF7FA"/>
          </w:tcPr>
          <w:p>
            <w:pPr>
              <w:spacing w:after="0"/>
              <w:rPr>
                <w:sz w:val="14"/>
                <w:szCs w:val="14"/>
                <w:color w:val="auto"/>
              </w:rPr>
            </w:pPr>
          </w:p>
        </w:tc>
        <w:tc>
          <w:tcPr>
            <w:tcW w:w="160" w:type="dxa"/>
            <w:vAlign w:val="bottom"/>
            <w:shd w:val="clear" w:color="auto" w:fill="EAF7FA"/>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60" w:type="dxa"/>
            <w:vAlign w:val="bottom"/>
            <w:shd w:val="clear" w:color="auto" w:fill="EAF7FA"/>
          </w:tcPr>
          <w:p>
            <w:pPr>
              <w:spacing w:after="0"/>
              <w:rPr>
                <w:sz w:val="7"/>
                <w:szCs w:val="7"/>
                <w:color w:val="auto"/>
              </w:rPr>
            </w:pPr>
          </w:p>
        </w:tc>
        <w:tc>
          <w:tcPr>
            <w:tcW w:w="1000" w:type="dxa"/>
            <w:vAlign w:val="bottom"/>
            <w:shd w:val="clear" w:color="auto" w:fill="EAF7FA"/>
          </w:tcPr>
          <w:p>
            <w:pPr>
              <w:spacing w:after="0"/>
              <w:rPr>
                <w:sz w:val="7"/>
                <w:szCs w:val="7"/>
                <w:color w:val="auto"/>
              </w:rPr>
            </w:pPr>
          </w:p>
        </w:tc>
        <w:tc>
          <w:tcPr>
            <w:tcW w:w="160" w:type="dxa"/>
            <w:vAlign w:val="bottom"/>
            <w:tcBorders>
              <w:right w:val="single" w:sz="8" w:color="0B3C61"/>
            </w:tcBorders>
            <w:shd w:val="clear" w:color="auto" w:fill="EAF7FA"/>
          </w:tcPr>
          <w:p>
            <w:pPr>
              <w:spacing w:after="0"/>
              <w:rPr>
                <w:sz w:val="7"/>
                <w:szCs w:val="7"/>
                <w:color w:val="auto"/>
              </w:rPr>
            </w:pPr>
          </w:p>
        </w:tc>
        <w:tc>
          <w:tcPr>
            <w:tcW w:w="140" w:type="dxa"/>
            <w:vAlign w:val="bottom"/>
            <w:shd w:val="clear" w:color="auto" w:fill="EAF7FA"/>
          </w:tcPr>
          <w:p>
            <w:pPr>
              <w:spacing w:after="0"/>
              <w:rPr>
                <w:sz w:val="7"/>
                <w:szCs w:val="7"/>
                <w:color w:val="auto"/>
              </w:rPr>
            </w:pPr>
          </w:p>
        </w:tc>
        <w:tc>
          <w:tcPr>
            <w:tcW w:w="2100" w:type="dxa"/>
            <w:vAlign w:val="bottom"/>
            <w:vMerge w:val="continue"/>
            <w:shd w:val="clear" w:color="auto" w:fill="EAF7FA"/>
          </w:tcPr>
          <w:p>
            <w:pPr>
              <w:spacing w:after="0"/>
              <w:rPr>
                <w:sz w:val="7"/>
                <w:szCs w:val="7"/>
                <w:color w:val="auto"/>
              </w:rPr>
            </w:pPr>
          </w:p>
        </w:tc>
        <w:tc>
          <w:tcPr>
            <w:tcW w:w="300" w:type="dxa"/>
            <w:vAlign w:val="bottom"/>
            <w:vMerge w:val="restart"/>
            <w:shd w:val="clear" w:color="auto" w:fill="EAF7FA"/>
          </w:tcPr>
          <w:p>
            <w:pPr>
              <w:ind w:left="160"/>
              <w:spacing w:after="0"/>
              <w:rPr>
                <w:sz w:val="20"/>
                <w:szCs w:val="20"/>
                <w:color w:val="auto"/>
              </w:rPr>
            </w:pPr>
            <w:r>
              <w:rPr>
                <w:rFonts w:ascii="Arial" w:cs="Arial" w:eastAsia="Arial" w:hAnsi="Arial"/>
                <w:sz w:val="12"/>
                <w:szCs w:val="12"/>
                <w:color w:val="54565B"/>
                <w:w w:val="73"/>
              </w:rPr>
              <w:t>• </w:t>
            </w:r>
          </w:p>
        </w:tc>
        <w:tc>
          <w:tcPr>
            <w:tcW w:w="4680" w:type="dxa"/>
            <w:vAlign w:val="bottom"/>
            <w:vMerge w:val="restart"/>
            <w:shd w:val="clear" w:color="auto" w:fill="EAF7FA"/>
          </w:tcPr>
          <w:p>
            <w:pPr>
              <w:ind w:left="60"/>
              <w:spacing w:after="0"/>
              <w:rPr>
                <w:sz w:val="20"/>
                <w:szCs w:val="20"/>
                <w:color w:val="auto"/>
              </w:rPr>
            </w:pPr>
            <w:r>
              <w:rPr>
                <w:rFonts w:ascii="Arial" w:cs="Arial" w:eastAsia="Arial" w:hAnsi="Arial"/>
                <w:sz w:val="14"/>
                <w:szCs w:val="14"/>
                <w:color w:val="54565B"/>
              </w:rPr>
              <w:t>Aligns the interests of the NEOs with Company shareholders.</w:t>
            </w:r>
          </w:p>
        </w:tc>
        <w:tc>
          <w:tcPr>
            <w:tcW w:w="240" w:type="dxa"/>
            <w:vAlign w:val="bottom"/>
            <w:shd w:val="clear" w:color="auto" w:fill="EAF7FA"/>
          </w:tcPr>
          <w:p>
            <w:pPr>
              <w:spacing w:after="0"/>
              <w:rPr>
                <w:sz w:val="7"/>
                <w:szCs w:val="7"/>
                <w:color w:val="auto"/>
              </w:rPr>
            </w:pPr>
          </w:p>
        </w:tc>
        <w:tc>
          <w:tcPr>
            <w:tcW w:w="160" w:type="dxa"/>
            <w:vAlign w:val="bottom"/>
            <w:shd w:val="clear" w:color="auto" w:fill="EAF7FA"/>
          </w:tcPr>
          <w:p>
            <w:pPr>
              <w:spacing w:after="0"/>
              <w:rPr>
                <w:sz w:val="7"/>
                <w:szCs w:val="7"/>
                <w:color w:val="auto"/>
              </w:rPr>
            </w:pPr>
          </w:p>
        </w:tc>
        <w:tc>
          <w:tcPr>
            <w:tcW w:w="60" w:type="dxa"/>
            <w:vAlign w:val="bottom"/>
            <w:shd w:val="clear" w:color="auto" w:fill="EAF7FA"/>
          </w:tcPr>
          <w:p>
            <w:pPr>
              <w:spacing w:after="0"/>
              <w:rPr>
                <w:sz w:val="7"/>
                <w:szCs w:val="7"/>
                <w:color w:val="auto"/>
              </w:rPr>
            </w:pPr>
          </w:p>
        </w:tc>
        <w:tc>
          <w:tcPr>
            <w:tcW w:w="80" w:type="dxa"/>
            <w:vAlign w:val="bottom"/>
            <w:shd w:val="clear" w:color="auto" w:fill="EAF7FA"/>
          </w:tcPr>
          <w:p>
            <w:pPr>
              <w:spacing w:after="0"/>
              <w:rPr>
                <w:sz w:val="7"/>
                <w:szCs w:val="7"/>
                <w:color w:val="auto"/>
              </w:rPr>
            </w:pPr>
          </w:p>
        </w:tc>
        <w:tc>
          <w:tcPr>
            <w:tcW w:w="80" w:type="dxa"/>
            <w:vAlign w:val="bottom"/>
            <w:shd w:val="clear" w:color="auto" w:fill="EAF7FA"/>
          </w:tcPr>
          <w:p>
            <w:pPr>
              <w:spacing w:after="0"/>
              <w:rPr>
                <w:sz w:val="7"/>
                <w:szCs w:val="7"/>
                <w:color w:val="auto"/>
              </w:rPr>
            </w:pPr>
          </w:p>
        </w:tc>
        <w:tc>
          <w:tcPr>
            <w:tcW w:w="80" w:type="dxa"/>
            <w:vAlign w:val="bottom"/>
            <w:shd w:val="clear" w:color="auto" w:fill="EAF7FA"/>
          </w:tcPr>
          <w:p>
            <w:pPr>
              <w:spacing w:after="0"/>
              <w:rPr>
                <w:sz w:val="7"/>
                <w:szCs w:val="7"/>
                <w:color w:val="auto"/>
              </w:rPr>
            </w:pPr>
          </w:p>
        </w:tc>
        <w:tc>
          <w:tcPr>
            <w:tcW w:w="160" w:type="dxa"/>
            <w:vAlign w:val="bottom"/>
            <w:shd w:val="clear" w:color="auto" w:fill="EAF7FA"/>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 w:type="dxa"/>
            <w:vAlign w:val="bottom"/>
            <w:shd w:val="clear" w:color="auto" w:fill="EAF7FA"/>
          </w:tcPr>
          <w:p>
            <w:pPr>
              <w:spacing w:after="0"/>
              <w:rPr>
                <w:sz w:val="7"/>
                <w:szCs w:val="7"/>
                <w:color w:val="auto"/>
              </w:rPr>
            </w:pPr>
          </w:p>
        </w:tc>
        <w:tc>
          <w:tcPr>
            <w:tcW w:w="1000" w:type="dxa"/>
            <w:vAlign w:val="bottom"/>
            <w:shd w:val="clear" w:color="auto" w:fill="EAF7FA"/>
          </w:tcPr>
          <w:p>
            <w:pPr>
              <w:spacing w:after="0"/>
              <w:rPr>
                <w:sz w:val="7"/>
                <w:szCs w:val="7"/>
                <w:color w:val="auto"/>
              </w:rPr>
            </w:pPr>
          </w:p>
        </w:tc>
        <w:tc>
          <w:tcPr>
            <w:tcW w:w="160" w:type="dxa"/>
            <w:vAlign w:val="bottom"/>
            <w:tcBorders>
              <w:right w:val="single" w:sz="8" w:color="0B3C61"/>
            </w:tcBorders>
            <w:shd w:val="clear" w:color="auto" w:fill="EAF7FA"/>
          </w:tcPr>
          <w:p>
            <w:pPr>
              <w:spacing w:after="0"/>
              <w:rPr>
                <w:sz w:val="7"/>
                <w:szCs w:val="7"/>
                <w:color w:val="auto"/>
              </w:rPr>
            </w:pPr>
          </w:p>
        </w:tc>
        <w:tc>
          <w:tcPr>
            <w:tcW w:w="140" w:type="dxa"/>
            <w:vAlign w:val="bottom"/>
            <w:shd w:val="clear" w:color="auto" w:fill="EAF7FA"/>
          </w:tcPr>
          <w:p>
            <w:pPr>
              <w:spacing w:after="0"/>
              <w:rPr>
                <w:sz w:val="7"/>
                <w:szCs w:val="7"/>
                <w:color w:val="auto"/>
              </w:rPr>
            </w:pPr>
          </w:p>
        </w:tc>
        <w:tc>
          <w:tcPr>
            <w:tcW w:w="2100" w:type="dxa"/>
            <w:vAlign w:val="bottom"/>
            <w:vMerge w:val="restart"/>
            <w:shd w:val="clear" w:color="auto" w:fill="EAF7FA"/>
          </w:tcPr>
          <w:p>
            <w:pPr>
              <w:spacing w:after="0"/>
              <w:rPr>
                <w:sz w:val="20"/>
                <w:szCs w:val="20"/>
                <w:color w:val="auto"/>
              </w:rPr>
            </w:pPr>
            <w:r>
              <w:rPr>
                <w:rFonts w:ascii="Arial" w:cs="Arial" w:eastAsia="Arial" w:hAnsi="Arial"/>
                <w:sz w:val="14"/>
                <w:szCs w:val="14"/>
                <w:b w:val="1"/>
                <w:bCs w:val="1"/>
                <w:color w:val="54565B"/>
              </w:rPr>
              <w:t xml:space="preserve">incentive awards </w:t>
            </w:r>
            <w:r>
              <w:rPr>
                <w:rFonts w:ascii="Arial" w:cs="Arial" w:eastAsia="Arial" w:hAnsi="Arial"/>
                <w:sz w:val="14"/>
                <w:szCs w:val="14"/>
                <w:color w:val="54565B"/>
              </w:rPr>
              <w:t>through</w:t>
            </w:r>
          </w:p>
        </w:tc>
        <w:tc>
          <w:tcPr>
            <w:tcW w:w="300" w:type="dxa"/>
            <w:vAlign w:val="bottom"/>
            <w:vMerge w:val="continue"/>
            <w:shd w:val="clear" w:color="auto" w:fill="EAF7FA"/>
          </w:tcPr>
          <w:p>
            <w:pPr>
              <w:spacing w:after="0"/>
              <w:rPr>
                <w:sz w:val="7"/>
                <w:szCs w:val="7"/>
                <w:color w:val="auto"/>
              </w:rPr>
            </w:pPr>
          </w:p>
        </w:tc>
        <w:tc>
          <w:tcPr>
            <w:tcW w:w="4680" w:type="dxa"/>
            <w:vAlign w:val="bottom"/>
            <w:vMerge w:val="continue"/>
            <w:shd w:val="clear" w:color="auto" w:fill="EAF7FA"/>
          </w:tcPr>
          <w:p>
            <w:pPr>
              <w:spacing w:after="0"/>
              <w:rPr>
                <w:sz w:val="7"/>
                <w:szCs w:val="7"/>
                <w:color w:val="auto"/>
              </w:rPr>
            </w:pPr>
          </w:p>
        </w:tc>
        <w:tc>
          <w:tcPr>
            <w:tcW w:w="240" w:type="dxa"/>
            <w:vAlign w:val="bottom"/>
            <w:shd w:val="clear" w:color="auto" w:fill="EAF7FA"/>
          </w:tcPr>
          <w:p>
            <w:pPr>
              <w:spacing w:after="0"/>
              <w:rPr>
                <w:sz w:val="7"/>
                <w:szCs w:val="7"/>
                <w:color w:val="auto"/>
              </w:rPr>
            </w:pPr>
          </w:p>
        </w:tc>
        <w:tc>
          <w:tcPr>
            <w:tcW w:w="160" w:type="dxa"/>
            <w:vAlign w:val="bottom"/>
            <w:shd w:val="clear" w:color="auto" w:fill="EAF7FA"/>
          </w:tcPr>
          <w:p>
            <w:pPr>
              <w:spacing w:after="0"/>
              <w:rPr>
                <w:sz w:val="7"/>
                <w:szCs w:val="7"/>
                <w:color w:val="auto"/>
              </w:rPr>
            </w:pPr>
          </w:p>
        </w:tc>
        <w:tc>
          <w:tcPr>
            <w:tcW w:w="60" w:type="dxa"/>
            <w:vAlign w:val="bottom"/>
            <w:shd w:val="clear" w:color="auto" w:fill="EAF7FA"/>
          </w:tcPr>
          <w:p>
            <w:pPr>
              <w:spacing w:after="0"/>
              <w:rPr>
                <w:sz w:val="7"/>
                <w:szCs w:val="7"/>
                <w:color w:val="auto"/>
              </w:rPr>
            </w:pPr>
          </w:p>
        </w:tc>
        <w:tc>
          <w:tcPr>
            <w:tcW w:w="80" w:type="dxa"/>
            <w:vAlign w:val="bottom"/>
            <w:shd w:val="clear" w:color="auto" w:fill="EAF7FA"/>
          </w:tcPr>
          <w:p>
            <w:pPr>
              <w:spacing w:after="0"/>
              <w:rPr>
                <w:sz w:val="7"/>
                <w:szCs w:val="7"/>
                <w:color w:val="auto"/>
              </w:rPr>
            </w:pPr>
          </w:p>
        </w:tc>
        <w:tc>
          <w:tcPr>
            <w:tcW w:w="80" w:type="dxa"/>
            <w:vAlign w:val="bottom"/>
            <w:shd w:val="clear" w:color="auto" w:fill="EAF7FA"/>
          </w:tcPr>
          <w:p>
            <w:pPr>
              <w:spacing w:after="0"/>
              <w:rPr>
                <w:sz w:val="7"/>
                <w:szCs w:val="7"/>
                <w:color w:val="auto"/>
              </w:rPr>
            </w:pPr>
          </w:p>
        </w:tc>
        <w:tc>
          <w:tcPr>
            <w:tcW w:w="80" w:type="dxa"/>
            <w:vAlign w:val="bottom"/>
            <w:shd w:val="clear" w:color="auto" w:fill="EAF7FA"/>
          </w:tcPr>
          <w:p>
            <w:pPr>
              <w:spacing w:after="0"/>
              <w:rPr>
                <w:sz w:val="7"/>
                <w:szCs w:val="7"/>
                <w:color w:val="auto"/>
              </w:rPr>
            </w:pPr>
          </w:p>
        </w:tc>
        <w:tc>
          <w:tcPr>
            <w:tcW w:w="160" w:type="dxa"/>
            <w:vAlign w:val="bottom"/>
            <w:shd w:val="clear" w:color="auto" w:fill="EAF7FA"/>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 w:type="dxa"/>
            <w:vAlign w:val="bottom"/>
            <w:shd w:val="clear" w:color="auto" w:fill="EAF7FA"/>
          </w:tcPr>
          <w:p>
            <w:pPr>
              <w:spacing w:after="0"/>
              <w:rPr>
                <w:sz w:val="7"/>
                <w:szCs w:val="7"/>
                <w:color w:val="auto"/>
              </w:rPr>
            </w:pPr>
          </w:p>
        </w:tc>
        <w:tc>
          <w:tcPr>
            <w:tcW w:w="1000" w:type="dxa"/>
            <w:vAlign w:val="bottom"/>
            <w:shd w:val="clear" w:color="auto" w:fill="EAF7FA"/>
          </w:tcPr>
          <w:p>
            <w:pPr>
              <w:spacing w:after="0"/>
              <w:rPr>
                <w:sz w:val="7"/>
                <w:szCs w:val="7"/>
                <w:color w:val="auto"/>
              </w:rPr>
            </w:pPr>
          </w:p>
        </w:tc>
        <w:tc>
          <w:tcPr>
            <w:tcW w:w="160" w:type="dxa"/>
            <w:vAlign w:val="bottom"/>
            <w:tcBorders>
              <w:right w:val="single" w:sz="8" w:color="0B3C61"/>
            </w:tcBorders>
            <w:shd w:val="clear" w:color="auto" w:fill="EAF7FA"/>
          </w:tcPr>
          <w:p>
            <w:pPr>
              <w:spacing w:after="0"/>
              <w:rPr>
                <w:sz w:val="7"/>
                <w:szCs w:val="7"/>
                <w:color w:val="auto"/>
              </w:rPr>
            </w:pPr>
          </w:p>
        </w:tc>
        <w:tc>
          <w:tcPr>
            <w:tcW w:w="140" w:type="dxa"/>
            <w:vAlign w:val="bottom"/>
            <w:shd w:val="clear" w:color="auto" w:fill="EAF7FA"/>
          </w:tcPr>
          <w:p>
            <w:pPr>
              <w:spacing w:after="0"/>
              <w:rPr>
                <w:sz w:val="7"/>
                <w:szCs w:val="7"/>
                <w:color w:val="auto"/>
              </w:rPr>
            </w:pPr>
          </w:p>
        </w:tc>
        <w:tc>
          <w:tcPr>
            <w:tcW w:w="2100" w:type="dxa"/>
            <w:vAlign w:val="bottom"/>
            <w:vMerge w:val="continue"/>
            <w:shd w:val="clear" w:color="auto" w:fill="EAF7FA"/>
          </w:tcPr>
          <w:p>
            <w:pPr>
              <w:spacing w:after="0"/>
              <w:rPr>
                <w:sz w:val="7"/>
                <w:szCs w:val="7"/>
                <w:color w:val="auto"/>
              </w:rPr>
            </w:pPr>
          </w:p>
        </w:tc>
        <w:tc>
          <w:tcPr>
            <w:tcW w:w="300" w:type="dxa"/>
            <w:vAlign w:val="bottom"/>
            <w:vMerge w:val="restart"/>
            <w:shd w:val="clear" w:color="auto" w:fill="EAF7FA"/>
          </w:tcPr>
          <w:p>
            <w:pPr>
              <w:ind w:left="160"/>
              <w:spacing w:after="0"/>
              <w:rPr>
                <w:sz w:val="20"/>
                <w:szCs w:val="20"/>
                <w:color w:val="auto"/>
              </w:rPr>
            </w:pPr>
            <w:r>
              <w:rPr>
                <w:rFonts w:ascii="Arial" w:cs="Arial" w:eastAsia="Arial" w:hAnsi="Arial"/>
                <w:sz w:val="12"/>
                <w:szCs w:val="12"/>
                <w:color w:val="54565B"/>
                <w:w w:val="73"/>
              </w:rPr>
              <w:t>• </w:t>
            </w:r>
          </w:p>
        </w:tc>
        <w:tc>
          <w:tcPr>
            <w:tcW w:w="4680" w:type="dxa"/>
            <w:vAlign w:val="bottom"/>
            <w:vMerge w:val="restart"/>
            <w:shd w:val="clear" w:color="auto" w:fill="EAF7FA"/>
          </w:tcPr>
          <w:p>
            <w:pPr>
              <w:ind w:left="60"/>
              <w:spacing w:after="0" w:line="158" w:lineRule="exact"/>
              <w:rPr>
                <w:sz w:val="20"/>
                <w:szCs w:val="20"/>
                <w:color w:val="auto"/>
              </w:rPr>
            </w:pPr>
            <w:r>
              <w:rPr>
                <w:rFonts w:ascii="Arial" w:cs="Arial" w:eastAsia="Arial" w:hAnsi="Arial"/>
                <w:sz w:val="14"/>
                <w:szCs w:val="14"/>
                <w:color w:val="54565B"/>
              </w:rPr>
              <w:t>Encourages decisions and rewards performance that contributes to</w:t>
            </w:r>
          </w:p>
        </w:tc>
        <w:tc>
          <w:tcPr>
            <w:tcW w:w="700" w:type="dxa"/>
            <w:vAlign w:val="bottom"/>
            <w:gridSpan w:val="6"/>
            <w:vMerge w:val="restart"/>
            <w:shd w:val="clear" w:color="auto" w:fill="EAF7FA"/>
          </w:tcPr>
          <w:p>
            <w:pPr>
              <w:jc w:val="center"/>
              <w:ind w:left="88"/>
              <w:spacing w:after="0" w:line="158" w:lineRule="exact"/>
              <w:rPr>
                <w:sz w:val="20"/>
                <w:szCs w:val="20"/>
                <w:color w:val="auto"/>
              </w:rPr>
            </w:pPr>
            <w:r>
              <w:rPr>
                <w:rFonts w:ascii="Arial" w:cs="Arial" w:eastAsia="Arial" w:hAnsi="Arial"/>
                <w:sz w:val="14"/>
                <w:szCs w:val="14"/>
                <w:color w:val="54565B"/>
              </w:rPr>
              <w:t xml:space="preserve">Page </w:t>
            </w:r>
            <w:r>
              <w:rPr>
                <w:rFonts w:ascii="Arial" w:cs="Arial" w:eastAsia="Arial" w:hAnsi="Arial"/>
                <w:sz w:val="14"/>
                <w:szCs w:val="14"/>
                <w:color w:val="0000EE"/>
              </w:rPr>
              <w:t>52</w:t>
            </w:r>
          </w:p>
        </w:tc>
        <w:tc>
          <w:tcPr>
            <w:tcW w:w="160" w:type="dxa"/>
            <w:vAlign w:val="bottom"/>
            <w:shd w:val="clear" w:color="auto" w:fill="EAF7FA"/>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160" w:type="dxa"/>
            <w:vAlign w:val="bottom"/>
            <w:shd w:val="clear" w:color="auto" w:fill="EAF7FA"/>
          </w:tcPr>
          <w:p>
            <w:pPr>
              <w:spacing w:after="0"/>
              <w:rPr>
                <w:sz w:val="6"/>
                <w:szCs w:val="6"/>
                <w:color w:val="auto"/>
              </w:rPr>
            </w:pPr>
          </w:p>
        </w:tc>
        <w:tc>
          <w:tcPr>
            <w:tcW w:w="1000" w:type="dxa"/>
            <w:vAlign w:val="bottom"/>
            <w:shd w:val="clear" w:color="auto" w:fill="EAF7FA"/>
          </w:tcPr>
          <w:p>
            <w:pPr>
              <w:spacing w:after="0"/>
              <w:rPr>
                <w:sz w:val="6"/>
                <w:szCs w:val="6"/>
                <w:color w:val="auto"/>
              </w:rPr>
            </w:pPr>
          </w:p>
        </w:tc>
        <w:tc>
          <w:tcPr>
            <w:tcW w:w="160" w:type="dxa"/>
            <w:vAlign w:val="bottom"/>
            <w:tcBorders>
              <w:right w:val="single" w:sz="8" w:color="0B3C61"/>
            </w:tcBorders>
            <w:shd w:val="clear" w:color="auto" w:fill="EAF7FA"/>
          </w:tcPr>
          <w:p>
            <w:pPr>
              <w:spacing w:after="0"/>
              <w:rPr>
                <w:sz w:val="6"/>
                <w:szCs w:val="6"/>
                <w:color w:val="auto"/>
              </w:rPr>
            </w:pPr>
          </w:p>
        </w:tc>
        <w:tc>
          <w:tcPr>
            <w:tcW w:w="140" w:type="dxa"/>
            <w:vAlign w:val="bottom"/>
            <w:shd w:val="clear" w:color="auto" w:fill="EAF7FA"/>
          </w:tcPr>
          <w:p>
            <w:pPr>
              <w:spacing w:after="0"/>
              <w:rPr>
                <w:sz w:val="6"/>
                <w:szCs w:val="6"/>
                <w:color w:val="auto"/>
              </w:rPr>
            </w:pPr>
          </w:p>
        </w:tc>
        <w:tc>
          <w:tcPr>
            <w:tcW w:w="2100" w:type="dxa"/>
            <w:vAlign w:val="bottom"/>
            <w:vMerge w:val="restart"/>
            <w:shd w:val="clear" w:color="auto" w:fill="EAF7FA"/>
          </w:tcPr>
          <w:p>
            <w:pPr>
              <w:spacing w:after="0"/>
              <w:rPr>
                <w:sz w:val="20"/>
                <w:szCs w:val="20"/>
                <w:color w:val="auto"/>
              </w:rPr>
            </w:pPr>
            <w:r>
              <w:rPr>
                <w:rFonts w:ascii="Arial" w:cs="Arial" w:eastAsia="Arial" w:hAnsi="Arial"/>
                <w:sz w:val="14"/>
                <w:szCs w:val="14"/>
                <w:color w:val="54565B"/>
              </w:rPr>
              <w:t>annual restricted share grants</w:t>
            </w:r>
          </w:p>
        </w:tc>
        <w:tc>
          <w:tcPr>
            <w:tcW w:w="300" w:type="dxa"/>
            <w:vAlign w:val="bottom"/>
            <w:vMerge w:val="continue"/>
            <w:shd w:val="clear" w:color="auto" w:fill="EAF7FA"/>
          </w:tcPr>
          <w:p>
            <w:pPr>
              <w:spacing w:after="0"/>
              <w:rPr>
                <w:sz w:val="6"/>
                <w:szCs w:val="6"/>
                <w:color w:val="auto"/>
              </w:rPr>
            </w:pPr>
          </w:p>
        </w:tc>
        <w:tc>
          <w:tcPr>
            <w:tcW w:w="4680" w:type="dxa"/>
            <w:vAlign w:val="bottom"/>
            <w:vMerge w:val="continue"/>
            <w:shd w:val="clear" w:color="auto" w:fill="EAF7FA"/>
          </w:tcPr>
          <w:p>
            <w:pPr>
              <w:spacing w:after="0"/>
              <w:rPr>
                <w:sz w:val="6"/>
                <w:szCs w:val="6"/>
                <w:color w:val="auto"/>
              </w:rPr>
            </w:pPr>
          </w:p>
        </w:tc>
        <w:tc>
          <w:tcPr>
            <w:tcW w:w="700" w:type="dxa"/>
            <w:vAlign w:val="bottom"/>
            <w:gridSpan w:val="6"/>
            <w:vMerge w:val="continue"/>
            <w:shd w:val="clear" w:color="auto" w:fill="EAF7FA"/>
          </w:tcPr>
          <w:p>
            <w:pPr>
              <w:spacing w:after="0"/>
              <w:rPr>
                <w:sz w:val="6"/>
                <w:szCs w:val="6"/>
                <w:color w:val="auto"/>
              </w:rPr>
            </w:pPr>
          </w:p>
        </w:tc>
        <w:tc>
          <w:tcPr>
            <w:tcW w:w="160" w:type="dxa"/>
            <w:vAlign w:val="bottom"/>
            <w:shd w:val="clear" w:color="auto" w:fill="EAF7FA"/>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60" w:type="dxa"/>
            <w:vAlign w:val="bottom"/>
            <w:tcBorders>
              <w:top w:val="single" w:sz="8" w:color="EAF7FA"/>
            </w:tcBorders>
            <w:shd w:val="clear" w:color="auto" w:fill="EAF7FA"/>
          </w:tcPr>
          <w:p>
            <w:pPr>
              <w:spacing w:after="0"/>
              <w:rPr>
                <w:sz w:val="5"/>
                <w:szCs w:val="5"/>
                <w:color w:val="auto"/>
              </w:rPr>
            </w:pPr>
          </w:p>
        </w:tc>
        <w:tc>
          <w:tcPr>
            <w:tcW w:w="100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right w:val="single" w:sz="8" w:color="0B3C61"/>
            </w:tcBorders>
            <w:shd w:val="clear" w:color="auto" w:fill="EAF7FA"/>
          </w:tcPr>
          <w:p>
            <w:pPr>
              <w:spacing w:after="0"/>
              <w:rPr>
                <w:sz w:val="5"/>
                <w:szCs w:val="5"/>
                <w:color w:val="auto"/>
              </w:rPr>
            </w:pPr>
          </w:p>
        </w:tc>
        <w:tc>
          <w:tcPr>
            <w:tcW w:w="140" w:type="dxa"/>
            <w:vAlign w:val="bottom"/>
            <w:tcBorders>
              <w:top w:val="single" w:sz="8" w:color="EAF7FA"/>
            </w:tcBorders>
            <w:shd w:val="clear" w:color="auto" w:fill="EAF7FA"/>
          </w:tcPr>
          <w:p>
            <w:pPr>
              <w:spacing w:after="0"/>
              <w:rPr>
                <w:sz w:val="5"/>
                <w:szCs w:val="5"/>
                <w:color w:val="auto"/>
              </w:rPr>
            </w:pPr>
          </w:p>
        </w:tc>
        <w:tc>
          <w:tcPr>
            <w:tcW w:w="2100" w:type="dxa"/>
            <w:vAlign w:val="bottom"/>
            <w:tcBorders>
              <w:top w:val="single" w:sz="8" w:color="EAF7FA"/>
            </w:tcBorders>
            <w:vMerge w:val="continue"/>
            <w:shd w:val="clear" w:color="auto" w:fill="EAF7FA"/>
          </w:tcPr>
          <w:p>
            <w:pPr>
              <w:spacing w:after="0"/>
              <w:rPr>
                <w:sz w:val="5"/>
                <w:szCs w:val="5"/>
                <w:color w:val="auto"/>
              </w:rPr>
            </w:pPr>
          </w:p>
        </w:tc>
        <w:tc>
          <w:tcPr>
            <w:tcW w:w="300" w:type="dxa"/>
            <w:vAlign w:val="bottom"/>
            <w:tcBorders>
              <w:top w:val="single" w:sz="8" w:color="EAF7FA"/>
            </w:tcBorders>
            <w:shd w:val="clear" w:color="auto" w:fill="EAF7FA"/>
          </w:tcPr>
          <w:p>
            <w:pPr>
              <w:spacing w:after="0"/>
              <w:rPr>
                <w:sz w:val="5"/>
                <w:szCs w:val="5"/>
                <w:color w:val="auto"/>
              </w:rPr>
            </w:pPr>
          </w:p>
        </w:tc>
        <w:tc>
          <w:tcPr>
            <w:tcW w:w="4680" w:type="dxa"/>
            <w:vAlign w:val="bottom"/>
            <w:tcBorders>
              <w:top w:val="single" w:sz="8" w:color="EAF7FA"/>
            </w:tcBorders>
            <w:vMerge w:val="restart"/>
            <w:shd w:val="clear" w:color="auto" w:fill="EAF7FA"/>
          </w:tcPr>
          <w:p>
            <w:pPr>
              <w:ind w:left="60"/>
              <w:spacing w:after="0" w:line="147" w:lineRule="exact"/>
              <w:rPr>
                <w:sz w:val="20"/>
                <w:szCs w:val="20"/>
                <w:color w:val="auto"/>
              </w:rPr>
            </w:pPr>
            <w:r>
              <w:rPr>
                <w:rFonts w:ascii="Arial" w:cs="Arial" w:eastAsia="Arial" w:hAnsi="Arial"/>
                <w:sz w:val="14"/>
                <w:szCs w:val="14"/>
                <w:color w:val="54565B"/>
              </w:rPr>
              <w:t>long-term Company success.</w:t>
            </w:r>
          </w:p>
        </w:tc>
        <w:tc>
          <w:tcPr>
            <w:tcW w:w="24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6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EAF7FA"/>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8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0" w:type="dxa"/>
            <w:vAlign w:val="bottom"/>
            <w:shd w:val="clear" w:color="auto" w:fill="EAF7FA"/>
          </w:tcPr>
          <w:p>
            <w:pPr>
              <w:spacing w:after="0"/>
              <w:rPr>
                <w:sz w:val="7"/>
                <w:szCs w:val="7"/>
                <w:color w:val="auto"/>
              </w:rPr>
            </w:pPr>
          </w:p>
        </w:tc>
        <w:tc>
          <w:tcPr>
            <w:tcW w:w="1000" w:type="dxa"/>
            <w:vAlign w:val="bottom"/>
            <w:shd w:val="clear" w:color="auto" w:fill="EAF7FA"/>
          </w:tcPr>
          <w:p>
            <w:pPr>
              <w:spacing w:after="0"/>
              <w:rPr>
                <w:sz w:val="7"/>
                <w:szCs w:val="7"/>
                <w:color w:val="auto"/>
              </w:rPr>
            </w:pPr>
          </w:p>
        </w:tc>
        <w:tc>
          <w:tcPr>
            <w:tcW w:w="160" w:type="dxa"/>
            <w:vAlign w:val="bottom"/>
            <w:tcBorders>
              <w:right w:val="single" w:sz="8" w:color="0B3C61"/>
            </w:tcBorders>
            <w:shd w:val="clear" w:color="auto" w:fill="EAF7FA"/>
          </w:tcPr>
          <w:p>
            <w:pPr>
              <w:spacing w:after="0"/>
              <w:rPr>
                <w:sz w:val="7"/>
                <w:szCs w:val="7"/>
                <w:color w:val="auto"/>
              </w:rPr>
            </w:pPr>
          </w:p>
        </w:tc>
        <w:tc>
          <w:tcPr>
            <w:tcW w:w="140" w:type="dxa"/>
            <w:vAlign w:val="bottom"/>
            <w:shd w:val="clear" w:color="auto" w:fill="EAF7FA"/>
          </w:tcPr>
          <w:p>
            <w:pPr>
              <w:spacing w:after="0"/>
              <w:rPr>
                <w:sz w:val="7"/>
                <w:szCs w:val="7"/>
                <w:color w:val="auto"/>
              </w:rPr>
            </w:pPr>
          </w:p>
        </w:tc>
        <w:tc>
          <w:tcPr>
            <w:tcW w:w="2100" w:type="dxa"/>
            <w:vAlign w:val="bottom"/>
            <w:vMerge w:val="restart"/>
            <w:shd w:val="clear" w:color="auto" w:fill="EAF7FA"/>
          </w:tcPr>
          <w:p>
            <w:pPr>
              <w:spacing w:after="0"/>
              <w:rPr>
                <w:sz w:val="20"/>
                <w:szCs w:val="20"/>
                <w:color w:val="auto"/>
              </w:rPr>
            </w:pPr>
            <w:r>
              <w:rPr>
                <w:rFonts w:ascii="Arial" w:cs="Arial" w:eastAsia="Arial" w:hAnsi="Arial"/>
                <w:sz w:val="14"/>
                <w:szCs w:val="14"/>
                <w:color w:val="54565B"/>
              </w:rPr>
              <w:t>with four-year cliff vest.</w:t>
            </w:r>
          </w:p>
        </w:tc>
        <w:tc>
          <w:tcPr>
            <w:tcW w:w="300" w:type="dxa"/>
            <w:vAlign w:val="bottom"/>
            <w:shd w:val="clear" w:color="auto" w:fill="EAF7FA"/>
          </w:tcPr>
          <w:p>
            <w:pPr>
              <w:spacing w:after="0"/>
              <w:rPr>
                <w:sz w:val="7"/>
                <w:szCs w:val="7"/>
                <w:color w:val="auto"/>
              </w:rPr>
            </w:pPr>
          </w:p>
        </w:tc>
        <w:tc>
          <w:tcPr>
            <w:tcW w:w="4680" w:type="dxa"/>
            <w:vAlign w:val="bottom"/>
            <w:vMerge w:val="continue"/>
            <w:shd w:val="clear" w:color="auto" w:fill="EAF7FA"/>
          </w:tcPr>
          <w:p>
            <w:pPr>
              <w:spacing w:after="0"/>
              <w:rPr>
                <w:sz w:val="7"/>
                <w:szCs w:val="7"/>
                <w:color w:val="auto"/>
              </w:rPr>
            </w:pPr>
          </w:p>
        </w:tc>
        <w:tc>
          <w:tcPr>
            <w:tcW w:w="240" w:type="dxa"/>
            <w:vAlign w:val="bottom"/>
            <w:shd w:val="clear" w:color="auto" w:fill="EAF7FA"/>
          </w:tcPr>
          <w:p>
            <w:pPr>
              <w:spacing w:after="0"/>
              <w:rPr>
                <w:sz w:val="7"/>
                <w:szCs w:val="7"/>
                <w:color w:val="auto"/>
              </w:rPr>
            </w:pPr>
          </w:p>
        </w:tc>
        <w:tc>
          <w:tcPr>
            <w:tcW w:w="160" w:type="dxa"/>
            <w:vAlign w:val="bottom"/>
            <w:shd w:val="clear" w:color="auto" w:fill="EAF7FA"/>
          </w:tcPr>
          <w:p>
            <w:pPr>
              <w:spacing w:after="0"/>
              <w:rPr>
                <w:sz w:val="7"/>
                <w:szCs w:val="7"/>
                <w:color w:val="auto"/>
              </w:rPr>
            </w:pPr>
          </w:p>
        </w:tc>
        <w:tc>
          <w:tcPr>
            <w:tcW w:w="60" w:type="dxa"/>
            <w:vAlign w:val="bottom"/>
            <w:shd w:val="clear" w:color="auto" w:fill="EAF7FA"/>
          </w:tcPr>
          <w:p>
            <w:pPr>
              <w:spacing w:after="0"/>
              <w:rPr>
                <w:sz w:val="7"/>
                <w:szCs w:val="7"/>
                <w:color w:val="auto"/>
              </w:rPr>
            </w:pPr>
          </w:p>
        </w:tc>
        <w:tc>
          <w:tcPr>
            <w:tcW w:w="80" w:type="dxa"/>
            <w:vAlign w:val="bottom"/>
            <w:shd w:val="clear" w:color="auto" w:fill="EAF7FA"/>
          </w:tcPr>
          <w:p>
            <w:pPr>
              <w:spacing w:after="0"/>
              <w:rPr>
                <w:sz w:val="7"/>
                <w:szCs w:val="7"/>
                <w:color w:val="auto"/>
              </w:rPr>
            </w:pPr>
          </w:p>
        </w:tc>
        <w:tc>
          <w:tcPr>
            <w:tcW w:w="80" w:type="dxa"/>
            <w:vAlign w:val="bottom"/>
            <w:shd w:val="clear" w:color="auto" w:fill="EAF7FA"/>
          </w:tcPr>
          <w:p>
            <w:pPr>
              <w:spacing w:after="0"/>
              <w:rPr>
                <w:sz w:val="7"/>
                <w:szCs w:val="7"/>
                <w:color w:val="auto"/>
              </w:rPr>
            </w:pPr>
          </w:p>
        </w:tc>
        <w:tc>
          <w:tcPr>
            <w:tcW w:w="80" w:type="dxa"/>
            <w:vAlign w:val="bottom"/>
            <w:shd w:val="clear" w:color="auto" w:fill="EAF7FA"/>
          </w:tcPr>
          <w:p>
            <w:pPr>
              <w:spacing w:after="0"/>
              <w:rPr>
                <w:sz w:val="7"/>
                <w:szCs w:val="7"/>
                <w:color w:val="auto"/>
              </w:rPr>
            </w:pPr>
          </w:p>
        </w:tc>
        <w:tc>
          <w:tcPr>
            <w:tcW w:w="160" w:type="dxa"/>
            <w:vAlign w:val="bottom"/>
            <w:shd w:val="clear" w:color="auto" w:fill="EAF7FA"/>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60" w:type="dxa"/>
            <w:vAlign w:val="bottom"/>
            <w:shd w:val="clear" w:color="auto" w:fill="EAF7FA"/>
          </w:tcPr>
          <w:p>
            <w:pPr>
              <w:spacing w:after="0"/>
              <w:rPr>
                <w:sz w:val="9"/>
                <w:szCs w:val="9"/>
                <w:color w:val="auto"/>
              </w:rPr>
            </w:pPr>
          </w:p>
        </w:tc>
        <w:tc>
          <w:tcPr>
            <w:tcW w:w="1000" w:type="dxa"/>
            <w:vAlign w:val="bottom"/>
            <w:shd w:val="clear" w:color="auto" w:fill="EAF7FA"/>
          </w:tcPr>
          <w:p>
            <w:pPr>
              <w:spacing w:after="0"/>
              <w:rPr>
                <w:sz w:val="9"/>
                <w:szCs w:val="9"/>
                <w:color w:val="auto"/>
              </w:rPr>
            </w:pPr>
          </w:p>
        </w:tc>
        <w:tc>
          <w:tcPr>
            <w:tcW w:w="160" w:type="dxa"/>
            <w:vAlign w:val="bottom"/>
            <w:tcBorders>
              <w:right w:val="single" w:sz="8" w:color="0B3C61"/>
            </w:tcBorders>
            <w:shd w:val="clear" w:color="auto" w:fill="EAF7FA"/>
          </w:tcPr>
          <w:p>
            <w:pPr>
              <w:spacing w:after="0"/>
              <w:rPr>
                <w:sz w:val="9"/>
                <w:szCs w:val="9"/>
                <w:color w:val="auto"/>
              </w:rPr>
            </w:pPr>
          </w:p>
        </w:tc>
        <w:tc>
          <w:tcPr>
            <w:tcW w:w="140" w:type="dxa"/>
            <w:vAlign w:val="bottom"/>
            <w:shd w:val="clear" w:color="auto" w:fill="EAF7FA"/>
          </w:tcPr>
          <w:p>
            <w:pPr>
              <w:spacing w:after="0"/>
              <w:rPr>
                <w:sz w:val="9"/>
                <w:szCs w:val="9"/>
                <w:color w:val="auto"/>
              </w:rPr>
            </w:pPr>
          </w:p>
        </w:tc>
        <w:tc>
          <w:tcPr>
            <w:tcW w:w="2100" w:type="dxa"/>
            <w:vAlign w:val="bottom"/>
            <w:vMerge w:val="continue"/>
            <w:shd w:val="clear" w:color="auto" w:fill="EAF7FA"/>
          </w:tcPr>
          <w:p>
            <w:pPr>
              <w:spacing w:after="0"/>
              <w:rPr>
                <w:sz w:val="9"/>
                <w:szCs w:val="9"/>
                <w:color w:val="auto"/>
              </w:rPr>
            </w:pPr>
          </w:p>
        </w:tc>
        <w:tc>
          <w:tcPr>
            <w:tcW w:w="300" w:type="dxa"/>
            <w:vAlign w:val="bottom"/>
            <w:vMerge w:val="restart"/>
            <w:shd w:val="clear" w:color="auto" w:fill="EAF7FA"/>
          </w:tcPr>
          <w:p>
            <w:pPr>
              <w:ind w:left="160"/>
              <w:spacing w:after="0"/>
              <w:rPr>
                <w:sz w:val="20"/>
                <w:szCs w:val="20"/>
                <w:color w:val="auto"/>
              </w:rPr>
            </w:pPr>
            <w:r>
              <w:rPr>
                <w:rFonts w:ascii="Arial" w:cs="Arial" w:eastAsia="Arial" w:hAnsi="Arial"/>
                <w:sz w:val="12"/>
                <w:szCs w:val="12"/>
                <w:color w:val="54565B"/>
                <w:w w:val="73"/>
              </w:rPr>
              <w:t>• </w:t>
            </w:r>
          </w:p>
        </w:tc>
        <w:tc>
          <w:tcPr>
            <w:tcW w:w="4680" w:type="dxa"/>
            <w:vAlign w:val="bottom"/>
            <w:vMerge w:val="restart"/>
            <w:shd w:val="clear" w:color="auto" w:fill="EAF7FA"/>
          </w:tcPr>
          <w:p>
            <w:pPr>
              <w:ind w:left="60"/>
              <w:spacing w:after="0"/>
              <w:rPr>
                <w:sz w:val="20"/>
                <w:szCs w:val="20"/>
                <w:color w:val="auto"/>
              </w:rPr>
            </w:pPr>
            <w:r>
              <w:rPr>
                <w:rFonts w:ascii="Arial" w:cs="Arial" w:eastAsia="Arial" w:hAnsi="Arial"/>
                <w:sz w:val="14"/>
                <w:szCs w:val="14"/>
                <w:color w:val="54565B"/>
              </w:rPr>
              <w:t>Encourages executive retention through four-year cliff vesting.</w:t>
            </w:r>
          </w:p>
        </w:tc>
        <w:tc>
          <w:tcPr>
            <w:tcW w:w="240" w:type="dxa"/>
            <w:vAlign w:val="bottom"/>
            <w:shd w:val="clear" w:color="auto" w:fill="EAF7FA"/>
          </w:tcPr>
          <w:p>
            <w:pPr>
              <w:spacing w:after="0"/>
              <w:rPr>
                <w:sz w:val="9"/>
                <w:szCs w:val="9"/>
                <w:color w:val="auto"/>
              </w:rPr>
            </w:pPr>
          </w:p>
        </w:tc>
        <w:tc>
          <w:tcPr>
            <w:tcW w:w="160" w:type="dxa"/>
            <w:vAlign w:val="bottom"/>
            <w:shd w:val="clear" w:color="auto" w:fill="EAF7FA"/>
          </w:tcPr>
          <w:p>
            <w:pPr>
              <w:spacing w:after="0"/>
              <w:rPr>
                <w:sz w:val="9"/>
                <w:szCs w:val="9"/>
                <w:color w:val="auto"/>
              </w:rPr>
            </w:pPr>
          </w:p>
        </w:tc>
        <w:tc>
          <w:tcPr>
            <w:tcW w:w="60" w:type="dxa"/>
            <w:vAlign w:val="bottom"/>
            <w:shd w:val="clear" w:color="auto" w:fill="EAF7FA"/>
          </w:tcPr>
          <w:p>
            <w:pPr>
              <w:spacing w:after="0"/>
              <w:rPr>
                <w:sz w:val="9"/>
                <w:szCs w:val="9"/>
                <w:color w:val="auto"/>
              </w:rPr>
            </w:pPr>
          </w:p>
        </w:tc>
        <w:tc>
          <w:tcPr>
            <w:tcW w:w="80" w:type="dxa"/>
            <w:vAlign w:val="bottom"/>
            <w:shd w:val="clear" w:color="auto" w:fill="EAF7FA"/>
          </w:tcPr>
          <w:p>
            <w:pPr>
              <w:spacing w:after="0"/>
              <w:rPr>
                <w:sz w:val="9"/>
                <w:szCs w:val="9"/>
                <w:color w:val="auto"/>
              </w:rPr>
            </w:pPr>
          </w:p>
        </w:tc>
        <w:tc>
          <w:tcPr>
            <w:tcW w:w="80" w:type="dxa"/>
            <w:vAlign w:val="bottom"/>
            <w:shd w:val="clear" w:color="auto" w:fill="EAF7FA"/>
          </w:tcPr>
          <w:p>
            <w:pPr>
              <w:spacing w:after="0"/>
              <w:rPr>
                <w:sz w:val="9"/>
                <w:szCs w:val="9"/>
                <w:color w:val="auto"/>
              </w:rPr>
            </w:pPr>
          </w:p>
        </w:tc>
        <w:tc>
          <w:tcPr>
            <w:tcW w:w="80" w:type="dxa"/>
            <w:vAlign w:val="bottom"/>
            <w:shd w:val="clear" w:color="auto" w:fill="EAF7FA"/>
          </w:tcPr>
          <w:p>
            <w:pPr>
              <w:spacing w:after="0"/>
              <w:rPr>
                <w:sz w:val="9"/>
                <w:szCs w:val="9"/>
                <w:color w:val="auto"/>
              </w:rPr>
            </w:pPr>
          </w:p>
        </w:tc>
        <w:tc>
          <w:tcPr>
            <w:tcW w:w="160" w:type="dxa"/>
            <w:vAlign w:val="bottom"/>
            <w:shd w:val="clear" w:color="auto" w:fill="EAF7FA"/>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60" w:type="dxa"/>
            <w:vAlign w:val="bottom"/>
            <w:shd w:val="clear" w:color="auto" w:fill="EAF7FA"/>
          </w:tcPr>
          <w:p>
            <w:pPr>
              <w:spacing w:after="0"/>
              <w:rPr>
                <w:sz w:val="4"/>
                <w:szCs w:val="4"/>
                <w:color w:val="auto"/>
              </w:rPr>
            </w:pPr>
          </w:p>
        </w:tc>
        <w:tc>
          <w:tcPr>
            <w:tcW w:w="1000" w:type="dxa"/>
            <w:vAlign w:val="bottom"/>
            <w:shd w:val="clear" w:color="auto" w:fill="EAF7FA"/>
          </w:tcPr>
          <w:p>
            <w:pPr>
              <w:spacing w:after="0"/>
              <w:rPr>
                <w:sz w:val="4"/>
                <w:szCs w:val="4"/>
                <w:color w:val="auto"/>
              </w:rPr>
            </w:pPr>
          </w:p>
        </w:tc>
        <w:tc>
          <w:tcPr>
            <w:tcW w:w="160" w:type="dxa"/>
            <w:vAlign w:val="bottom"/>
            <w:tcBorders>
              <w:right w:val="single" w:sz="8" w:color="0B3C61"/>
            </w:tcBorders>
            <w:shd w:val="clear" w:color="auto" w:fill="EAF7FA"/>
          </w:tcPr>
          <w:p>
            <w:pPr>
              <w:spacing w:after="0"/>
              <w:rPr>
                <w:sz w:val="4"/>
                <w:szCs w:val="4"/>
                <w:color w:val="auto"/>
              </w:rPr>
            </w:pPr>
          </w:p>
        </w:tc>
        <w:tc>
          <w:tcPr>
            <w:tcW w:w="140" w:type="dxa"/>
            <w:vAlign w:val="bottom"/>
            <w:shd w:val="clear" w:color="auto" w:fill="EAF7FA"/>
          </w:tcPr>
          <w:p>
            <w:pPr>
              <w:spacing w:after="0"/>
              <w:rPr>
                <w:sz w:val="4"/>
                <w:szCs w:val="4"/>
                <w:color w:val="auto"/>
              </w:rPr>
            </w:pPr>
          </w:p>
        </w:tc>
        <w:tc>
          <w:tcPr>
            <w:tcW w:w="2100" w:type="dxa"/>
            <w:vAlign w:val="bottom"/>
            <w:shd w:val="clear" w:color="auto" w:fill="EAF7FA"/>
          </w:tcPr>
          <w:p>
            <w:pPr>
              <w:spacing w:after="0"/>
              <w:rPr>
                <w:sz w:val="4"/>
                <w:szCs w:val="4"/>
                <w:color w:val="auto"/>
              </w:rPr>
            </w:pPr>
          </w:p>
        </w:tc>
        <w:tc>
          <w:tcPr>
            <w:tcW w:w="300" w:type="dxa"/>
            <w:vAlign w:val="bottom"/>
            <w:vMerge w:val="continue"/>
            <w:shd w:val="clear" w:color="auto" w:fill="EAF7FA"/>
          </w:tcPr>
          <w:p>
            <w:pPr>
              <w:spacing w:after="0"/>
              <w:rPr>
                <w:sz w:val="4"/>
                <w:szCs w:val="4"/>
                <w:color w:val="auto"/>
              </w:rPr>
            </w:pPr>
          </w:p>
        </w:tc>
        <w:tc>
          <w:tcPr>
            <w:tcW w:w="4680" w:type="dxa"/>
            <w:vAlign w:val="bottom"/>
            <w:vMerge w:val="continue"/>
            <w:shd w:val="clear" w:color="auto" w:fill="EAF7FA"/>
          </w:tcPr>
          <w:p>
            <w:pPr>
              <w:spacing w:after="0"/>
              <w:rPr>
                <w:sz w:val="4"/>
                <w:szCs w:val="4"/>
                <w:color w:val="auto"/>
              </w:rPr>
            </w:pPr>
          </w:p>
        </w:tc>
        <w:tc>
          <w:tcPr>
            <w:tcW w:w="240" w:type="dxa"/>
            <w:vAlign w:val="bottom"/>
            <w:shd w:val="clear" w:color="auto" w:fill="EAF7FA"/>
          </w:tcPr>
          <w:p>
            <w:pPr>
              <w:spacing w:after="0"/>
              <w:rPr>
                <w:sz w:val="4"/>
                <w:szCs w:val="4"/>
                <w:color w:val="auto"/>
              </w:rPr>
            </w:pPr>
          </w:p>
        </w:tc>
        <w:tc>
          <w:tcPr>
            <w:tcW w:w="160" w:type="dxa"/>
            <w:vAlign w:val="bottom"/>
            <w:shd w:val="clear" w:color="auto" w:fill="EAF7FA"/>
          </w:tcPr>
          <w:p>
            <w:pPr>
              <w:spacing w:after="0"/>
              <w:rPr>
                <w:sz w:val="4"/>
                <w:szCs w:val="4"/>
                <w:color w:val="auto"/>
              </w:rPr>
            </w:pPr>
          </w:p>
        </w:tc>
        <w:tc>
          <w:tcPr>
            <w:tcW w:w="60" w:type="dxa"/>
            <w:vAlign w:val="bottom"/>
            <w:shd w:val="clear" w:color="auto" w:fill="EAF7FA"/>
          </w:tcPr>
          <w:p>
            <w:pPr>
              <w:spacing w:after="0"/>
              <w:rPr>
                <w:sz w:val="4"/>
                <w:szCs w:val="4"/>
                <w:color w:val="auto"/>
              </w:rPr>
            </w:pPr>
          </w:p>
        </w:tc>
        <w:tc>
          <w:tcPr>
            <w:tcW w:w="80" w:type="dxa"/>
            <w:vAlign w:val="bottom"/>
            <w:shd w:val="clear" w:color="auto" w:fill="EAF7FA"/>
          </w:tcPr>
          <w:p>
            <w:pPr>
              <w:spacing w:after="0"/>
              <w:rPr>
                <w:sz w:val="4"/>
                <w:szCs w:val="4"/>
                <w:color w:val="auto"/>
              </w:rPr>
            </w:pPr>
          </w:p>
        </w:tc>
        <w:tc>
          <w:tcPr>
            <w:tcW w:w="80" w:type="dxa"/>
            <w:vAlign w:val="bottom"/>
            <w:shd w:val="clear" w:color="auto" w:fill="EAF7FA"/>
          </w:tcPr>
          <w:p>
            <w:pPr>
              <w:spacing w:after="0"/>
              <w:rPr>
                <w:sz w:val="4"/>
                <w:szCs w:val="4"/>
                <w:color w:val="auto"/>
              </w:rPr>
            </w:pPr>
          </w:p>
        </w:tc>
        <w:tc>
          <w:tcPr>
            <w:tcW w:w="80" w:type="dxa"/>
            <w:vAlign w:val="bottom"/>
            <w:shd w:val="clear" w:color="auto" w:fill="EAF7FA"/>
          </w:tcPr>
          <w:p>
            <w:pPr>
              <w:spacing w:after="0"/>
              <w:rPr>
                <w:sz w:val="4"/>
                <w:szCs w:val="4"/>
                <w:color w:val="auto"/>
              </w:rPr>
            </w:pPr>
          </w:p>
        </w:tc>
        <w:tc>
          <w:tcPr>
            <w:tcW w:w="160" w:type="dxa"/>
            <w:vAlign w:val="bottom"/>
            <w:shd w:val="clear" w:color="auto" w:fill="EAF7FA"/>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60" w:type="dxa"/>
            <w:vAlign w:val="bottom"/>
            <w:shd w:val="clear" w:color="auto" w:fill="EAF7FA"/>
          </w:tcPr>
          <w:p>
            <w:pPr>
              <w:spacing w:after="0"/>
              <w:rPr>
                <w:sz w:val="17"/>
                <w:szCs w:val="17"/>
                <w:color w:val="auto"/>
              </w:rPr>
            </w:pPr>
          </w:p>
        </w:tc>
        <w:tc>
          <w:tcPr>
            <w:tcW w:w="1000" w:type="dxa"/>
            <w:vAlign w:val="bottom"/>
            <w:shd w:val="clear" w:color="auto" w:fill="EAF7FA"/>
          </w:tcPr>
          <w:p>
            <w:pPr>
              <w:spacing w:after="0"/>
              <w:rPr>
                <w:sz w:val="17"/>
                <w:szCs w:val="17"/>
                <w:color w:val="auto"/>
              </w:rPr>
            </w:pPr>
          </w:p>
        </w:tc>
        <w:tc>
          <w:tcPr>
            <w:tcW w:w="160" w:type="dxa"/>
            <w:vAlign w:val="bottom"/>
            <w:tcBorders>
              <w:right w:val="single" w:sz="8" w:color="0B3C61"/>
            </w:tcBorders>
            <w:shd w:val="clear" w:color="auto" w:fill="EAF7FA"/>
          </w:tcPr>
          <w:p>
            <w:pPr>
              <w:spacing w:after="0"/>
              <w:rPr>
                <w:sz w:val="17"/>
                <w:szCs w:val="17"/>
                <w:color w:val="auto"/>
              </w:rPr>
            </w:pPr>
          </w:p>
        </w:tc>
        <w:tc>
          <w:tcPr>
            <w:tcW w:w="140" w:type="dxa"/>
            <w:vAlign w:val="bottom"/>
            <w:shd w:val="clear" w:color="auto" w:fill="EAF7FA"/>
          </w:tcPr>
          <w:p>
            <w:pPr>
              <w:spacing w:after="0"/>
              <w:rPr>
                <w:sz w:val="17"/>
                <w:szCs w:val="17"/>
                <w:color w:val="auto"/>
              </w:rPr>
            </w:pPr>
          </w:p>
        </w:tc>
        <w:tc>
          <w:tcPr>
            <w:tcW w:w="2100" w:type="dxa"/>
            <w:vAlign w:val="bottom"/>
            <w:shd w:val="clear" w:color="auto" w:fill="EAF7FA"/>
          </w:tcPr>
          <w:p>
            <w:pPr>
              <w:spacing w:after="0"/>
              <w:rPr>
                <w:sz w:val="17"/>
                <w:szCs w:val="17"/>
                <w:color w:val="auto"/>
              </w:rPr>
            </w:pPr>
          </w:p>
        </w:tc>
        <w:tc>
          <w:tcPr>
            <w:tcW w:w="300" w:type="dxa"/>
            <w:vAlign w:val="bottom"/>
            <w:shd w:val="clear" w:color="auto" w:fill="EAF7FA"/>
          </w:tcPr>
          <w:p>
            <w:pPr>
              <w:ind w:left="160"/>
              <w:spacing w:after="0"/>
              <w:rPr>
                <w:sz w:val="20"/>
                <w:szCs w:val="20"/>
                <w:color w:val="auto"/>
              </w:rPr>
            </w:pPr>
            <w:r>
              <w:rPr>
                <w:rFonts w:ascii="Arial" w:cs="Arial" w:eastAsia="Arial" w:hAnsi="Arial"/>
                <w:sz w:val="12"/>
                <w:szCs w:val="12"/>
                <w:color w:val="54565B"/>
                <w:w w:val="73"/>
              </w:rPr>
              <w:t>• </w:t>
            </w:r>
          </w:p>
        </w:tc>
        <w:tc>
          <w:tcPr>
            <w:tcW w:w="4680" w:type="dxa"/>
            <w:vAlign w:val="bottom"/>
            <w:shd w:val="clear" w:color="auto" w:fill="EAF7FA"/>
          </w:tcPr>
          <w:p>
            <w:pPr>
              <w:ind w:left="60"/>
              <w:spacing w:after="0"/>
              <w:rPr>
                <w:sz w:val="20"/>
                <w:szCs w:val="20"/>
                <w:color w:val="auto"/>
              </w:rPr>
            </w:pPr>
            <w:r>
              <w:rPr>
                <w:rFonts w:ascii="Arial" w:cs="Arial" w:eastAsia="Arial" w:hAnsi="Arial"/>
                <w:sz w:val="14"/>
                <w:szCs w:val="14"/>
                <w:color w:val="54565B"/>
              </w:rPr>
              <w:t>Discourages excessive risk taking.</w:t>
            </w:r>
          </w:p>
        </w:tc>
        <w:tc>
          <w:tcPr>
            <w:tcW w:w="240" w:type="dxa"/>
            <w:vAlign w:val="bottom"/>
            <w:shd w:val="clear" w:color="auto" w:fill="EAF7FA"/>
          </w:tcPr>
          <w:p>
            <w:pPr>
              <w:spacing w:after="0"/>
              <w:rPr>
                <w:sz w:val="17"/>
                <w:szCs w:val="17"/>
                <w:color w:val="auto"/>
              </w:rPr>
            </w:pPr>
          </w:p>
        </w:tc>
        <w:tc>
          <w:tcPr>
            <w:tcW w:w="160" w:type="dxa"/>
            <w:vAlign w:val="bottom"/>
            <w:shd w:val="clear" w:color="auto" w:fill="EAF7FA"/>
          </w:tcPr>
          <w:p>
            <w:pPr>
              <w:spacing w:after="0"/>
              <w:rPr>
                <w:sz w:val="17"/>
                <w:szCs w:val="17"/>
                <w:color w:val="auto"/>
              </w:rPr>
            </w:pPr>
          </w:p>
        </w:tc>
        <w:tc>
          <w:tcPr>
            <w:tcW w:w="60" w:type="dxa"/>
            <w:vAlign w:val="bottom"/>
            <w:shd w:val="clear" w:color="auto" w:fill="EAF7FA"/>
          </w:tcPr>
          <w:p>
            <w:pPr>
              <w:spacing w:after="0"/>
              <w:rPr>
                <w:sz w:val="17"/>
                <w:szCs w:val="17"/>
                <w:color w:val="auto"/>
              </w:rPr>
            </w:pPr>
          </w:p>
        </w:tc>
        <w:tc>
          <w:tcPr>
            <w:tcW w:w="80" w:type="dxa"/>
            <w:vAlign w:val="bottom"/>
            <w:shd w:val="clear" w:color="auto" w:fill="EAF7FA"/>
          </w:tcPr>
          <w:p>
            <w:pPr>
              <w:spacing w:after="0"/>
              <w:rPr>
                <w:sz w:val="17"/>
                <w:szCs w:val="17"/>
                <w:color w:val="auto"/>
              </w:rPr>
            </w:pPr>
          </w:p>
        </w:tc>
        <w:tc>
          <w:tcPr>
            <w:tcW w:w="80" w:type="dxa"/>
            <w:vAlign w:val="bottom"/>
            <w:shd w:val="clear" w:color="auto" w:fill="EAF7FA"/>
          </w:tcPr>
          <w:p>
            <w:pPr>
              <w:spacing w:after="0"/>
              <w:rPr>
                <w:sz w:val="17"/>
                <w:szCs w:val="17"/>
                <w:color w:val="auto"/>
              </w:rPr>
            </w:pPr>
          </w:p>
        </w:tc>
        <w:tc>
          <w:tcPr>
            <w:tcW w:w="80" w:type="dxa"/>
            <w:vAlign w:val="bottom"/>
            <w:shd w:val="clear" w:color="auto" w:fill="EAF7FA"/>
          </w:tcPr>
          <w:p>
            <w:pPr>
              <w:spacing w:after="0"/>
              <w:rPr>
                <w:sz w:val="17"/>
                <w:szCs w:val="17"/>
                <w:color w:val="auto"/>
              </w:rPr>
            </w:pPr>
          </w:p>
        </w:tc>
        <w:tc>
          <w:tcPr>
            <w:tcW w:w="160" w:type="dxa"/>
            <w:vAlign w:val="bottom"/>
            <w:shd w:val="clear" w:color="auto" w:fill="EAF7FA"/>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137160</wp:posOffset>
            </wp:positionV>
            <wp:extent cx="8890" cy="9601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96012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54565B"/>
        </w:rPr>
        <w:t xml:space="preserve">Perquisites </w:t>
      </w:r>
      <w:r>
        <w:rPr>
          <w:rFonts w:ascii="Arial" w:cs="Arial" w:eastAsia="Arial" w:hAnsi="Arial"/>
          <w:sz w:val="14"/>
          <w:szCs w:val="14"/>
          <w:color w:val="54565B"/>
        </w:rPr>
        <w:t>including health</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4"/>
          <w:szCs w:val="14"/>
          <w:color w:val="54565B"/>
        </w:rPr>
        <w:t>care; life, disability, auto and</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4"/>
          <w:szCs w:val="14"/>
          <w:color w:val="54565B"/>
        </w:rPr>
        <w:t>home insurance; executive</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4"/>
          <w:szCs w:val="14"/>
          <w:color w:val="54565B"/>
        </w:rPr>
        <w:t>security; aircraft usage;</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4"/>
          <w:szCs w:val="14"/>
          <w:color w:val="54565B"/>
        </w:rPr>
        <w:t>entertainment; and</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4"/>
          <w:szCs w:val="14"/>
          <w:color w:val="54565B"/>
        </w:rPr>
        <w:t>administrative services.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200" w:right="1100" w:hanging="199"/>
        <w:spacing w:after="0" w:line="251" w:lineRule="auto"/>
        <w:tabs>
          <w:tab w:leader="none" w:pos="180" w:val="left"/>
        </w:tabs>
        <w:rPr>
          <w:sz w:val="20"/>
          <w:szCs w:val="20"/>
          <w:color w:val="auto"/>
        </w:rPr>
      </w:pPr>
      <w:r>
        <w:rPr>
          <w:rFonts w:ascii="Arial" w:cs="Arial" w:eastAsia="Arial" w:hAnsi="Arial"/>
          <w:sz w:val="14"/>
          <w:szCs w:val="14"/>
          <w:color w:val="54565B"/>
        </w:rPr>
        <w:t>• </w:t>
        <w:tab/>
        <w:t>Provides competitive compensation elements designed to attract and retain executive talent.</w:t>
      </w:r>
    </w:p>
    <w:p>
      <w:pPr>
        <w:spacing w:after="0" w:line="1" w:lineRule="exact"/>
        <w:rPr>
          <w:sz w:val="20"/>
          <w:szCs w:val="20"/>
          <w:color w:val="auto"/>
        </w:rPr>
      </w:pPr>
    </w:p>
    <w:p>
      <w:pPr>
        <w:ind w:left="200" w:right="1080" w:hanging="199"/>
        <w:spacing w:after="0" w:line="241" w:lineRule="auto"/>
        <w:tabs>
          <w:tab w:leader="none" w:pos="180" w:val="left"/>
        </w:tabs>
        <w:rPr>
          <w:sz w:val="20"/>
          <w:szCs w:val="20"/>
          <w:color w:val="auto"/>
        </w:rPr>
      </w:pPr>
      <w:r>
        <w:rPr>
          <w:rFonts w:ascii="Arial" w:cs="Arial" w:eastAsia="Arial" w:hAnsi="Arial"/>
          <w:sz w:val="14"/>
          <w:szCs w:val="14"/>
          <w:color w:val="54565B"/>
        </w:rPr>
        <w:t>• </w:t>
        <w:tab/>
        <w:t>Viewed as a component of total compensation where diminishing or eliminating any perquisites would require a corresponding increase in</w:t>
      </w:r>
    </w:p>
    <w:p>
      <w:pPr>
        <w:spacing w:after="0" w:line="1" w:lineRule="exact"/>
        <w:rPr>
          <w:sz w:val="20"/>
          <w:szCs w:val="20"/>
          <w:color w:val="auto"/>
        </w:rPr>
      </w:pPr>
    </w:p>
    <w:p>
      <w:pPr>
        <w:ind w:right="160" w:firstLine="195"/>
        <w:spacing w:after="0" w:line="241" w:lineRule="auto"/>
        <w:rPr>
          <w:sz w:val="20"/>
          <w:szCs w:val="20"/>
          <w:color w:val="auto"/>
        </w:rPr>
      </w:pPr>
      <w:r>
        <w:rPr>
          <w:rFonts w:ascii="Arial" w:cs="Arial" w:eastAsia="Arial" w:hAnsi="Arial"/>
          <w:sz w:val="14"/>
          <w:szCs w:val="14"/>
          <w:color w:val="54565B"/>
        </w:rPr>
        <w:t xml:space="preserve">other compensation components. Page </w:t>
      </w:r>
      <w:r>
        <w:rPr>
          <w:rFonts w:ascii="Arial" w:cs="Arial" w:eastAsia="Arial" w:hAnsi="Arial"/>
          <w:sz w:val="14"/>
          <w:szCs w:val="14"/>
          <w:u w:val="single" w:color="auto"/>
          <w:color w:val="0000EE"/>
        </w:rPr>
        <w:t>52</w:t>
      </w:r>
      <w:r>
        <w:rPr>
          <w:rFonts w:ascii="Arial" w:cs="Arial" w:eastAsia="Arial" w:hAnsi="Arial"/>
          <w:sz w:val="14"/>
          <w:szCs w:val="14"/>
          <w:color w:val="54565B"/>
        </w:rPr>
        <w:t xml:space="preserve"> •  Personal use of Company aircraft is encouraged for the Co-CEOs for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54565B"/>
        </w:rPr>
        <w:t>security and personal safety and to enhance productivity.</w:t>
      </w:r>
    </w:p>
    <w:p>
      <w:pPr>
        <w:spacing w:after="0" w:line="1" w:lineRule="exact"/>
        <w:rPr>
          <w:sz w:val="20"/>
          <w:szCs w:val="20"/>
          <w:color w:val="auto"/>
        </w:rPr>
      </w:pPr>
    </w:p>
    <w:p>
      <w:pPr>
        <w:ind w:left="200" w:right="1440" w:hanging="199"/>
        <w:spacing w:after="0" w:line="264" w:lineRule="auto"/>
        <w:tabs>
          <w:tab w:leader="none" w:pos="180" w:val="left"/>
        </w:tabs>
        <w:rPr>
          <w:sz w:val="20"/>
          <w:szCs w:val="20"/>
          <w:color w:val="auto"/>
        </w:rPr>
      </w:pPr>
      <w:r>
        <w:rPr>
          <w:rFonts w:ascii="Arial" w:cs="Arial" w:eastAsia="Arial" w:hAnsi="Arial"/>
          <w:sz w:val="14"/>
          <w:szCs w:val="14"/>
          <w:color w:val="54565B"/>
        </w:rPr>
        <w:t>• </w:t>
        <w:tab/>
        <w:t>Executive security services to ensure the personal safety of key leaders.</w:t>
      </w:r>
    </w:p>
    <w:p>
      <w:pPr>
        <w:spacing w:after="0" w:line="60" w:lineRule="exact"/>
        <w:rPr>
          <w:sz w:val="20"/>
          <w:szCs w:val="20"/>
          <w:color w:val="auto"/>
        </w:rPr>
      </w:pPr>
    </w:p>
    <w:p>
      <w:pPr>
        <w:sectPr>
          <w:pgSz w:w="11900" w:h="16838" w:orient="portrait"/>
          <w:cols w:equalWidth="0" w:num="2">
            <w:col w:w="3260" w:space="460"/>
            <w:col w:w="5680"/>
          </w:cols>
          <w:pgMar w:left="1240" w:top="114" w:right="1259" w:bottom="1440" w:gutter="0" w:footer="0" w:header="0"/>
          <w:type w:val="continuous"/>
        </w:sectPr>
      </w:pPr>
    </w:p>
    <w:tbl>
      <w:tblPr>
        <w:tblLayout w:type="fixed"/>
        <w:tblInd w:w="0" w:type="dxa"/>
        <w:tblCellMar>
          <w:top w:w="0" w:type="dxa"/>
          <w:left w:w="0" w:type="dxa"/>
          <w:bottom w:w="0" w:type="dxa"/>
          <w:right w:w="0" w:type="dxa"/>
        </w:tblCellMar>
      </w:tblPr>
      <w:tr>
        <w:trPr>
          <w:trHeight w:val="68"/>
        </w:trPr>
        <w:tc>
          <w:tcPr>
            <w:tcW w:w="1320" w:type="dxa"/>
            <w:vAlign w:val="bottom"/>
            <w:tcBorders>
              <w:right w:val="single" w:sz="8" w:color="EAF7FA"/>
            </w:tcBorders>
            <w:shd w:val="clear" w:color="auto" w:fill="EAF7FA"/>
          </w:tcPr>
          <w:p>
            <w:pPr>
              <w:spacing w:after="0"/>
              <w:rPr>
                <w:sz w:val="5"/>
                <w:szCs w:val="5"/>
                <w:color w:val="auto"/>
              </w:rPr>
            </w:pPr>
          </w:p>
        </w:tc>
        <w:tc>
          <w:tcPr>
            <w:tcW w:w="2200" w:type="dxa"/>
            <w:vAlign w:val="bottom"/>
            <w:vMerge w:val="restart"/>
            <w:shd w:val="clear" w:color="auto" w:fill="EAF7FA"/>
          </w:tcPr>
          <w:p>
            <w:pPr>
              <w:ind w:left="140"/>
              <w:spacing w:after="0"/>
              <w:rPr>
                <w:sz w:val="20"/>
                <w:szCs w:val="20"/>
                <w:color w:val="auto"/>
              </w:rPr>
            </w:pPr>
            <w:r>
              <w:rPr>
                <w:rFonts w:ascii="Arial" w:cs="Arial" w:eastAsia="Arial" w:hAnsi="Arial"/>
                <w:sz w:val="14"/>
                <w:szCs w:val="14"/>
                <w:b w:val="1"/>
                <w:bCs w:val="1"/>
                <w:color w:val="54565B"/>
              </w:rPr>
              <w:t>Deferred compensation</w:t>
            </w:r>
          </w:p>
        </w:tc>
        <w:tc>
          <w:tcPr>
            <w:tcW w:w="340" w:type="dxa"/>
            <w:vAlign w:val="bottom"/>
            <w:vMerge w:val="restart"/>
            <w:shd w:val="clear" w:color="auto" w:fill="EAF7FA"/>
          </w:tcPr>
          <w:p>
            <w:pPr>
              <w:ind w:left="200"/>
              <w:spacing w:after="0"/>
              <w:rPr>
                <w:sz w:val="20"/>
                <w:szCs w:val="20"/>
                <w:color w:val="auto"/>
              </w:rPr>
            </w:pPr>
            <w:r>
              <w:rPr>
                <w:rFonts w:ascii="Arial" w:cs="Arial" w:eastAsia="Arial" w:hAnsi="Arial"/>
                <w:sz w:val="12"/>
                <w:szCs w:val="12"/>
                <w:color w:val="54565B"/>
                <w:w w:val="73"/>
              </w:rPr>
              <w:t>• </w:t>
            </w:r>
          </w:p>
        </w:tc>
        <w:tc>
          <w:tcPr>
            <w:tcW w:w="4680" w:type="dxa"/>
            <w:vAlign w:val="bottom"/>
            <w:vMerge w:val="restart"/>
            <w:shd w:val="clear" w:color="auto" w:fill="EAF7FA"/>
          </w:tcPr>
          <w:p>
            <w:pPr>
              <w:ind w:left="60"/>
              <w:spacing w:after="0"/>
              <w:rPr>
                <w:sz w:val="20"/>
                <w:szCs w:val="20"/>
                <w:color w:val="auto"/>
              </w:rPr>
            </w:pPr>
            <w:r>
              <w:rPr>
                <w:rFonts w:ascii="Arial" w:cs="Arial" w:eastAsia="Arial" w:hAnsi="Arial"/>
                <w:sz w:val="14"/>
                <w:szCs w:val="14"/>
                <w:color w:val="54565B"/>
              </w:rPr>
              <w:t>Permits NEOs to defer receipt of up to 80% of their base salary and/or</w:t>
            </w:r>
          </w:p>
        </w:tc>
        <w:tc>
          <w:tcPr>
            <w:tcW w:w="540" w:type="dxa"/>
            <w:vAlign w:val="bottom"/>
            <w:shd w:val="clear" w:color="auto" w:fill="EAF7FA"/>
          </w:tcPr>
          <w:p>
            <w:pPr>
              <w:spacing w:after="0"/>
              <w:rPr>
                <w:sz w:val="5"/>
                <w:szCs w:val="5"/>
                <w:color w:val="auto"/>
              </w:rPr>
            </w:pPr>
          </w:p>
        </w:tc>
        <w:tc>
          <w:tcPr>
            <w:tcW w:w="160" w:type="dxa"/>
            <w:vAlign w:val="bottom"/>
            <w:shd w:val="clear" w:color="auto" w:fill="EAF7FA"/>
          </w:tcPr>
          <w:p>
            <w:pPr>
              <w:spacing w:after="0"/>
              <w:rPr>
                <w:sz w:val="5"/>
                <w:szCs w:val="5"/>
                <w:color w:val="auto"/>
              </w:rPr>
            </w:pPr>
          </w:p>
        </w:tc>
        <w:tc>
          <w:tcPr>
            <w:tcW w:w="160" w:type="dxa"/>
            <w:vAlign w:val="bottom"/>
            <w:shd w:val="clear" w:color="auto" w:fill="EAF7FA"/>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320" w:type="dxa"/>
            <w:vAlign w:val="bottom"/>
            <w:tcBorders>
              <w:right w:val="single" w:sz="8" w:color="0B3C61"/>
            </w:tcBorders>
            <w:shd w:val="clear" w:color="auto" w:fill="EAF7FA"/>
          </w:tcPr>
          <w:p>
            <w:pPr>
              <w:spacing w:after="0"/>
              <w:rPr>
                <w:sz w:val="15"/>
                <w:szCs w:val="15"/>
                <w:color w:val="auto"/>
              </w:rPr>
            </w:pPr>
          </w:p>
        </w:tc>
        <w:tc>
          <w:tcPr>
            <w:tcW w:w="2200" w:type="dxa"/>
            <w:vAlign w:val="bottom"/>
            <w:vMerge w:val="continue"/>
            <w:shd w:val="clear" w:color="auto" w:fill="EAF7FA"/>
          </w:tcPr>
          <w:p>
            <w:pPr>
              <w:spacing w:after="0"/>
              <w:rPr>
                <w:sz w:val="15"/>
                <w:szCs w:val="15"/>
                <w:color w:val="auto"/>
              </w:rPr>
            </w:pPr>
          </w:p>
        </w:tc>
        <w:tc>
          <w:tcPr>
            <w:tcW w:w="340" w:type="dxa"/>
            <w:vAlign w:val="bottom"/>
            <w:vMerge w:val="continue"/>
            <w:shd w:val="clear" w:color="auto" w:fill="EAF7FA"/>
          </w:tcPr>
          <w:p>
            <w:pPr>
              <w:spacing w:after="0"/>
              <w:rPr>
                <w:sz w:val="15"/>
                <w:szCs w:val="15"/>
                <w:color w:val="auto"/>
              </w:rPr>
            </w:pPr>
          </w:p>
        </w:tc>
        <w:tc>
          <w:tcPr>
            <w:tcW w:w="4680" w:type="dxa"/>
            <w:vAlign w:val="bottom"/>
            <w:vMerge w:val="continue"/>
            <w:shd w:val="clear" w:color="auto" w:fill="EAF7FA"/>
          </w:tcPr>
          <w:p>
            <w:pPr>
              <w:spacing w:after="0"/>
              <w:rPr>
                <w:sz w:val="15"/>
                <w:szCs w:val="15"/>
                <w:color w:val="auto"/>
              </w:rPr>
            </w:pPr>
          </w:p>
        </w:tc>
        <w:tc>
          <w:tcPr>
            <w:tcW w:w="540" w:type="dxa"/>
            <w:vAlign w:val="bottom"/>
            <w:shd w:val="clear" w:color="auto" w:fill="EAF7FA"/>
          </w:tcPr>
          <w:p>
            <w:pPr>
              <w:spacing w:after="0"/>
              <w:rPr>
                <w:sz w:val="15"/>
                <w:szCs w:val="15"/>
                <w:color w:val="auto"/>
              </w:rPr>
            </w:pPr>
          </w:p>
        </w:tc>
        <w:tc>
          <w:tcPr>
            <w:tcW w:w="160" w:type="dxa"/>
            <w:vAlign w:val="bottom"/>
            <w:shd w:val="clear" w:color="auto" w:fill="EAF7FA"/>
          </w:tcPr>
          <w:p>
            <w:pPr>
              <w:spacing w:after="0"/>
              <w:rPr>
                <w:sz w:val="15"/>
                <w:szCs w:val="15"/>
                <w:color w:val="auto"/>
              </w:rPr>
            </w:pPr>
          </w:p>
        </w:tc>
        <w:tc>
          <w:tcPr>
            <w:tcW w:w="160" w:type="dxa"/>
            <w:vAlign w:val="bottom"/>
            <w:shd w:val="clear" w:color="auto" w:fill="EAF7F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20" w:type="dxa"/>
            <w:vAlign w:val="bottom"/>
            <w:tcBorders>
              <w:right w:val="single" w:sz="8" w:color="0B3C61"/>
            </w:tcBorders>
            <w:shd w:val="clear" w:color="auto" w:fill="EAF7FA"/>
          </w:tcPr>
          <w:p>
            <w:pPr>
              <w:spacing w:after="0"/>
              <w:rPr>
                <w:sz w:val="14"/>
                <w:szCs w:val="14"/>
                <w:color w:val="auto"/>
              </w:rPr>
            </w:pPr>
          </w:p>
        </w:tc>
        <w:tc>
          <w:tcPr>
            <w:tcW w:w="2200" w:type="dxa"/>
            <w:vAlign w:val="bottom"/>
            <w:shd w:val="clear" w:color="auto" w:fill="EAF7FA"/>
          </w:tcPr>
          <w:p>
            <w:pPr>
              <w:ind w:left="140"/>
              <w:spacing w:after="0"/>
              <w:rPr>
                <w:sz w:val="20"/>
                <w:szCs w:val="20"/>
                <w:color w:val="auto"/>
              </w:rPr>
            </w:pPr>
            <w:r>
              <w:rPr>
                <w:rFonts w:ascii="Arial" w:cs="Arial" w:eastAsia="Arial" w:hAnsi="Arial"/>
                <w:sz w:val="14"/>
                <w:szCs w:val="14"/>
                <w:color w:val="54565B"/>
              </w:rPr>
              <w:t>elections, which are voluntary</w:t>
            </w:r>
          </w:p>
        </w:tc>
        <w:tc>
          <w:tcPr>
            <w:tcW w:w="340" w:type="dxa"/>
            <w:vAlign w:val="bottom"/>
            <w:shd w:val="clear" w:color="auto" w:fill="EAF7FA"/>
          </w:tcPr>
          <w:p>
            <w:pPr>
              <w:spacing w:after="0"/>
              <w:rPr>
                <w:sz w:val="14"/>
                <w:szCs w:val="14"/>
                <w:color w:val="auto"/>
              </w:rPr>
            </w:pPr>
          </w:p>
        </w:tc>
        <w:tc>
          <w:tcPr>
            <w:tcW w:w="4680" w:type="dxa"/>
            <w:vAlign w:val="bottom"/>
            <w:shd w:val="clear" w:color="auto" w:fill="EAF7FA"/>
          </w:tcPr>
          <w:p>
            <w:pPr>
              <w:ind w:left="60"/>
              <w:spacing w:after="0"/>
              <w:rPr>
                <w:sz w:val="20"/>
                <w:szCs w:val="20"/>
                <w:color w:val="auto"/>
              </w:rPr>
            </w:pPr>
            <w:r>
              <w:rPr>
                <w:rFonts w:ascii="Arial" w:cs="Arial" w:eastAsia="Arial" w:hAnsi="Arial"/>
                <w:sz w:val="14"/>
                <w:szCs w:val="14"/>
                <w:color w:val="54565B"/>
              </w:rPr>
              <w:t>annual cash incentive awards.</w:t>
            </w:r>
          </w:p>
        </w:tc>
        <w:tc>
          <w:tcPr>
            <w:tcW w:w="540" w:type="dxa"/>
            <w:vAlign w:val="bottom"/>
            <w:shd w:val="clear" w:color="auto" w:fill="EAF7FA"/>
          </w:tcPr>
          <w:p>
            <w:pPr>
              <w:spacing w:after="0"/>
              <w:rPr>
                <w:sz w:val="14"/>
                <w:szCs w:val="14"/>
                <w:color w:val="auto"/>
              </w:rPr>
            </w:pPr>
          </w:p>
        </w:tc>
        <w:tc>
          <w:tcPr>
            <w:tcW w:w="160" w:type="dxa"/>
            <w:vAlign w:val="bottom"/>
            <w:shd w:val="clear" w:color="auto" w:fill="EAF7FA"/>
          </w:tcPr>
          <w:p>
            <w:pPr>
              <w:spacing w:after="0"/>
              <w:rPr>
                <w:sz w:val="14"/>
                <w:szCs w:val="14"/>
                <w:color w:val="auto"/>
              </w:rPr>
            </w:pPr>
          </w:p>
        </w:tc>
        <w:tc>
          <w:tcPr>
            <w:tcW w:w="160" w:type="dxa"/>
            <w:vAlign w:val="bottom"/>
            <w:shd w:val="clear" w:color="auto" w:fill="EAF7F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Borders>
              <w:right w:val="single" w:sz="8" w:color="0B3C61"/>
            </w:tcBorders>
            <w:shd w:val="clear" w:color="auto" w:fill="EAF7FA"/>
          </w:tcPr>
          <w:p>
            <w:pPr>
              <w:spacing w:after="0"/>
              <w:rPr>
                <w:sz w:val="14"/>
                <w:szCs w:val="14"/>
                <w:color w:val="auto"/>
              </w:rPr>
            </w:pPr>
          </w:p>
        </w:tc>
        <w:tc>
          <w:tcPr>
            <w:tcW w:w="2200" w:type="dxa"/>
            <w:vAlign w:val="bottom"/>
            <w:shd w:val="clear" w:color="auto" w:fill="EAF7FA"/>
          </w:tcPr>
          <w:p>
            <w:pPr>
              <w:ind w:left="140"/>
              <w:spacing w:after="0"/>
              <w:rPr>
                <w:sz w:val="20"/>
                <w:szCs w:val="20"/>
                <w:color w:val="auto"/>
              </w:rPr>
            </w:pPr>
            <w:r>
              <w:rPr>
                <w:rFonts w:ascii="Arial" w:cs="Arial" w:eastAsia="Arial" w:hAnsi="Arial"/>
                <w:sz w:val="14"/>
                <w:szCs w:val="14"/>
                <w:color w:val="54565B"/>
              </w:rPr>
              <w:t>and permit deferral of base</w:t>
            </w:r>
          </w:p>
        </w:tc>
        <w:tc>
          <w:tcPr>
            <w:tcW w:w="340" w:type="dxa"/>
            <w:vAlign w:val="bottom"/>
            <w:shd w:val="clear" w:color="auto" w:fill="EAF7FA"/>
          </w:tcPr>
          <w:p>
            <w:pPr>
              <w:ind w:left="200"/>
              <w:spacing w:after="0"/>
              <w:rPr>
                <w:sz w:val="20"/>
                <w:szCs w:val="20"/>
                <w:color w:val="auto"/>
              </w:rPr>
            </w:pPr>
            <w:r>
              <w:rPr>
                <w:rFonts w:ascii="Arial" w:cs="Arial" w:eastAsia="Arial" w:hAnsi="Arial"/>
                <w:sz w:val="12"/>
                <w:szCs w:val="12"/>
                <w:color w:val="54565B"/>
                <w:w w:val="73"/>
              </w:rPr>
              <w:t>• </w:t>
            </w:r>
          </w:p>
        </w:tc>
        <w:tc>
          <w:tcPr>
            <w:tcW w:w="4680" w:type="dxa"/>
            <w:vAlign w:val="bottom"/>
            <w:shd w:val="clear" w:color="auto" w:fill="EAF7FA"/>
          </w:tcPr>
          <w:p>
            <w:pPr>
              <w:ind w:left="60"/>
              <w:spacing w:after="0"/>
              <w:rPr>
                <w:sz w:val="20"/>
                <w:szCs w:val="20"/>
                <w:color w:val="auto"/>
              </w:rPr>
            </w:pPr>
            <w:r>
              <w:rPr>
                <w:rFonts w:ascii="Arial" w:cs="Arial" w:eastAsia="Arial" w:hAnsi="Arial"/>
                <w:sz w:val="14"/>
                <w:szCs w:val="14"/>
                <w:color w:val="54565B"/>
              </w:rPr>
              <w:t>Provides a retention feature through reasonable return potential.</w:t>
            </w:r>
          </w:p>
        </w:tc>
        <w:tc>
          <w:tcPr>
            <w:tcW w:w="540" w:type="dxa"/>
            <w:vAlign w:val="bottom"/>
            <w:shd w:val="clear" w:color="auto" w:fill="EAF7FA"/>
          </w:tcPr>
          <w:p>
            <w:pPr>
              <w:spacing w:after="0"/>
              <w:rPr>
                <w:sz w:val="14"/>
                <w:szCs w:val="14"/>
                <w:color w:val="auto"/>
              </w:rPr>
            </w:pPr>
          </w:p>
        </w:tc>
        <w:tc>
          <w:tcPr>
            <w:tcW w:w="160" w:type="dxa"/>
            <w:vAlign w:val="bottom"/>
            <w:shd w:val="clear" w:color="auto" w:fill="EAF7FA"/>
          </w:tcPr>
          <w:p>
            <w:pPr>
              <w:spacing w:after="0"/>
              <w:rPr>
                <w:sz w:val="14"/>
                <w:szCs w:val="14"/>
                <w:color w:val="auto"/>
              </w:rPr>
            </w:pPr>
          </w:p>
        </w:tc>
        <w:tc>
          <w:tcPr>
            <w:tcW w:w="160" w:type="dxa"/>
            <w:vAlign w:val="bottom"/>
            <w:shd w:val="clear" w:color="auto" w:fill="EAF7F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Borders>
              <w:right w:val="single" w:sz="8" w:color="0B3C61"/>
            </w:tcBorders>
            <w:shd w:val="clear" w:color="auto" w:fill="EAF7FA"/>
          </w:tcPr>
          <w:p>
            <w:pPr>
              <w:spacing w:after="0"/>
              <w:rPr>
                <w:sz w:val="14"/>
                <w:szCs w:val="14"/>
                <w:color w:val="auto"/>
              </w:rPr>
            </w:pPr>
          </w:p>
        </w:tc>
        <w:tc>
          <w:tcPr>
            <w:tcW w:w="2200" w:type="dxa"/>
            <w:vAlign w:val="bottom"/>
            <w:shd w:val="clear" w:color="auto" w:fill="EAF7FA"/>
          </w:tcPr>
          <w:p>
            <w:pPr>
              <w:ind w:left="140"/>
              <w:spacing w:after="0"/>
              <w:rPr>
                <w:sz w:val="20"/>
                <w:szCs w:val="20"/>
                <w:color w:val="auto"/>
              </w:rPr>
            </w:pPr>
            <w:r>
              <w:rPr>
                <w:rFonts w:ascii="Arial" w:cs="Arial" w:eastAsia="Arial" w:hAnsi="Arial"/>
                <w:sz w:val="14"/>
                <w:szCs w:val="14"/>
                <w:color w:val="54565B"/>
              </w:rPr>
              <w:t>salary or cash incentive</w:t>
            </w:r>
          </w:p>
        </w:tc>
        <w:tc>
          <w:tcPr>
            <w:tcW w:w="340" w:type="dxa"/>
            <w:vAlign w:val="bottom"/>
            <w:shd w:val="clear" w:color="auto" w:fill="EAF7FA"/>
          </w:tcPr>
          <w:p>
            <w:pPr>
              <w:ind w:left="200"/>
              <w:spacing w:after="0"/>
              <w:rPr>
                <w:sz w:val="20"/>
                <w:szCs w:val="20"/>
                <w:color w:val="auto"/>
              </w:rPr>
            </w:pPr>
            <w:r>
              <w:rPr>
                <w:rFonts w:ascii="Arial" w:cs="Arial" w:eastAsia="Arial" w:hAnsi="Arial"/>
                <w:sz w:val="12"/>
                <w:szCs w:val="12"/>
                <w:color w:val="54565B"/>
                <w:w w:val="73"/>
              </w:rPr>
              <w:t>• </w:t>
            </w:r>
          </w:p>
        </w:tc>
        <w:tc>
          <w:tcPr>
            <w:tcW w:w="4680" w:type="dxa"/>
            <w:vAlign w:val="bottom"/>
            <w:shd w:val="clear" w:color="auto" w:fill="EAF7FA"/>
          </w:tcPr>
          <w:p>
            <w:pPr>
              <w:ind w:left="60"/>
              <w:spacing w:after="0"/>
              <w:rPr>
                <w:sz w:val="20"/>
                <w:szCs w:val="20"/>
                <w:color w:val="auto"/>
              </w:rPr>
            </w:pPr>
            <w:r>
              <w:rPr>
                <w:rFonts w:ascii="Arial" w:cs="Arial" w:eastAsia="Arial" w:hAnsi="Arial"/>
                <w:sz w:val="14"/>
                <w:szCs w:val="14"/>
                <w:color w:val="54565B"/>
              </w:rPr>
              <w:t>Provides an attractive tax planning opportunity designed to attract and</w:t>
            </w:r>
          </w:p>
        </w:tc>
        <w:tc>
          <w:tcPr>
            <w:tcW w:w="860" w:type="dxa"/>
            <w:vAlign w:val="bottom"/>
            <w:gridSpan w:val="3"/>
            <w:vMerge w:val="restart"/>
            <w:shd w:val="clear" w:color="auto" w:fill="EAF7FA"/>
          </w:tcPr>
          <w:p>
            <w:pPr>
              <w:ind w:left="160"/>
              <w:spacing w:after="0"/>
              <w:rPr>
                <w:sz w:val="20"/>
                <w:szCs w:val="20"/>
                <w:color w:val="auto"/>
              </w:rPr>
            </w:pPr>
            <w:r>
              <w:rPr>
                <w:rFonts w:ascii="Arial" w:cs="Arial" w:eastAsia="Arial" w:hAnsi="Arial"/>
                <w:sz w:val="14"/>
                <w:szCs w:val="14"/>
                <w:color w:val="54565B"/>
              </w:rPr>
              <w:t xml:space="preserve">Page </w:t>
            </w:r>
            <w:r>
              <w:rPr>
                <w:rFonts w:ascii="Arial" w:cs="Arial" w:eastAsia="Arial" w:hAnsi="Arial"/>
                <w:sz w:val="14"/>
                <w:szCs w:val="14"/>
                <w:color w:val="0000EE"/>
              </w:rPr>
              <w:t>53</w:t>
            </w:r>
          </w:p>
        </w:tc>
        <w:tc>
          <w:tcPr>
            <w:tcW w:w="0" w:type="dxa"/>
            <w:vAlign w:val="bottom"/>
          </w:tcPr>
          <w:p>
            <w:pPr>
              <w:spacing w:after="0"/>
              <w:rPr>
                <w:sz w:val="1"/>
                <w:szCs w:val="1"/>
                <w:color w:val="auto"/>
              </w:rPr>
            </w:pPr>
          </w:p>
        </w:tc>
      </w:tr>
      <w:tr>
        <w:trPr>
          <w:trHeight w:val="77"/>
        </w:trPr>
        <w:tc>
          <w:tcPr>
            <w:tcW w:w="1320" w:type="dxa"/>
            <w:vAlign w:val="bottom"/>
            <w:tcBorders>
              <w:right w:val="single" w:sz="8" w:color="0B3C61"/>
            </w:tcBorders>
            <w:shd w:val="clear" w:color="auto" w:fill="EAF7FA"/>
          </w:tcPr>
          <w:p>
            <w:pPr>
              <w:spacing w:after="0"/>
              <w:rPr>
                <w:sz w:val="6"/>
                <w:szCs w:val="6"/>
                <w:color w:val="auto"/>
              </w:rPr>
            </w:pPr>
          </w:p>
        </w:tc>
        <w:tc>
          <w:tcPr>
            <w:tcW w:w="2200" w:type="dxa"/>
            <w:vAlign w:val="bottom"/>
            <w:vMerge w:val="restart"/>
            <w:shd w:val="clear" w:color="auto" w:fill="EAF7FA"/>
          </w:tcPr>
          <w:p>
            <w:pPr>
              <w:ind w:left="140"/>
              <w:spacing w:after="0"/>
              <w:rPr>
                <w:sz w:val="20"/>
                <w:szCs w:val="20"/>
                <w:color w:val="auto"/>
              </w:rPr>
            </w:pPr>
            <w:r>
              <w:rPr>
                <w:rFonts w:ascii="Arial" w:cs="Arial" w:eastAsia="Arial" w:hAnsi="Arial"/>
                <w:sz w:val="14"/>
                <w:szCs w:val="14"/>
                <w:color w:val="54565B"/>
              </w:rPr>
              <w:t>awards into our common</w:t>
            </w:r>
          </w:p>
        </w:tc>
        <w:tc>
          <w:tcPr>
            <w:tcW w:w="340" w:type="dxa"/>
            <w:vAlign w:val="bottom"/>
            <w:shd w:val="clear" w:color="auto" w:fill="EAF7FA"/>
          </w:tcPr>
          <w:p>
            <w:pPr>
              <w:spacing w:after="0"/>
              <w:rPr>
                <w:sz w:val="6"/>
                <w:szCs w:val="6"/>
                <w:color w:val="auto"/>
              </w:rPr>
            </w:pPr>
          </w:p>
        </w:tc>
        <w:tc>
          <w:tcPr>
            <w:tcW w:w="4680" w:type="dxa"/>
            <w:vAlign w:val="bottom"/>
            <w:vMerge w:val="restart"/>
            <w:shd w:val="clear" w:color="auto" w:fill="EAF7FA"/>
          </w:tcPr>
          <w:p>
            <w:pPr>
              <w:ind w:left="60"/>
              <w:spacing w:after="0"/>
              <w:rPr>
                <w:sz w:val="20"/>
                <w:szCs w:val="20"/>
                <w:color w:val="auto"/>
              </w:rPr>
            </w:pPr>
            <w:r>
              <w:rPr>
                <w:rFonts w:ascii="Arial" w:cs="Arial" w:eastAsia="Arial" w:hAnsi="Arial"/>
                <w:sz w:val="14"/>
                <w:szCs w:val="14"/>
                <w:color w:val="54565B"/>
              </w:rPr>
              <w:t>retain executives.</w:t>
            </w:r>
          </w:p>
        </w:tc>
        <w:tc>
          <w:tcPr>
            <w:tcW w:w="860" w:type="dxa"/>
            <w:vAlign w:val="bottom"/>
            <w:gridSpan w:val="3"/>
            <w:vMerge w:val="continue"/>
            <w:shd w:val="clear" w:color="auto" w:fill="EAF7FA"/>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320" w:type="dxa"/>
            <w:vAlign w:val="bottom"/>
            <w:tcBorders>
              <w:top w:val="single" w:sz="8" w:color="EAF7FA"/>
              <w:right w:val="single" w:sz="8" w:color="0B3C61"/>
            </w:tcBorders>
            <w:shd w:val="clear" w:color="auto" w:fill="EAF7FA"/>
          </w:tcPr>
          <w:p>
            <w:pPr>
              <w:spacing w:after="0"/>
              <w:rPr>
                <w:sz w:val="5"/>
                <w:szCs w:val="5"/>
                <w:color w:val="auto"/>
              </w:rPr>
            </w:pPr>
          </w:p>
        </w:tc>
        <w:tc>
          <w:tcPr>
            <w:tcW w:w="2200" w:type="dxa"/>
            <w:vAlign w:val="bottom"/>
            <w:tcBorders>
              <w:top w:val="single" w:sz="8" w:color="EAF7FA"/>
            </w:tcBorders>
            <w:vMerge w:val="continue"/>
            <w:shd w:val="clear" w:color="auto" w:fill="EAF7FA"/>
          </w:tcPr>
          <w:p>
            <w:pPr>
              <w:spacing w:after="0"/>
              <w:rPr>
                <w:sz w:val="5"/>
                <w:szCs w:val="5"/>
                <w:color w:val="auto"/>
              </w:rPr>
            </w:pPr>
          </w:p>
        </w:tc>
        <w:tc>
          <w:tcPr>
            <w:tcW w:w="340" w:type="dxa"/>
            <w:vAlign w:val="bottom"/>
            <w:tcBorders>
              <w:top w:val="single" w:sz="8" w:color="EAF7FA"/>
            </w:tcBorders>
            <w:shd w:val="clear" w:color="auto" w:fill="EAF7FA"/>
          </w:tcPr>
          <w:p>
            <w:pPr>
              <w:spacing w:after="0"/>
              <w:rPr>
                <w:sz w:val="5"/>
                <w:szCs w:val="5"/>
                <w:color w:val="auto"/>
              </w:rPr>
            </w:pPr>
          </w:p>
        </w:tc>
        <w:tc>
          <w:tcPr>
            <w:tcW w:w="4680" w:type="dxa"/>
            <w:vAlign w:val="bottom"/>
            <w:tcBorders>
              <w:top w:val="single" w:sz="8" w:color="EAF7FA"/>
            </w:tcBorders>
            <w:vMerge w:val="continue"/>
            <w:shd w:val="clear" w:color="auto" w:fill="EAF7FA"/>
          </w:tcPr>
          <w:p>
            <w:pPr>
              <w:spacing w:after="0"/>
              <w:rPr>
                <w:sz w:val="5"/>
                <w:szCs w:val="5"/>
                <w:color w:val="auto"/>
              </w:rPr>
            </w:pPr>
          </w:p>
        </w:tc>
        <w:tc>
          <w:tcPr>
            <w:tcW w:w="540" w:type="dxa"/>
            <w:vAlign w:val="bottom"/>
            <w:tcBorders>
              <w:top w:val="single" w:sz="8" w:color="EAF7FA"/>
            </w:tcBorders>
            <w:shd w:val="clear" w:color="auto" w:fill="EAF7FA"/>
          </w:tcPr>
          <w:p>
            <w:pPr>
              <w:spacing w:after="0"/>
              <w:rPr>
                <w:sz w:val="5"/>
                <w:szCs w:val="5"/>
                <w:color w:val="auto"/>
              </w:rPr>
            </w:pPr>
          </w:p>
        </w:tc>
        <w:tc>
          <w:tcPr>
            <w:tcW w:w="160" w:type="dxa"/>
            <w:vAlign w:val="bottom"/>
            <w:tcBorders>
              <w:top w:val="single" w:sz="8" w:color="0000EE"/>
            </w:tcBorders>
            <w:shd w:val="clear" w:color="auto" w:fill="EAF7FA"/>
          </w:tcPr>
          <w:p>
            <w:pPr>
              <w:spacing w:after="0"/>
              <w:rPr>
                <w:sz w:val="5"/>
                <w:szCs w:val="5"/>
                <w:color w:val="auto"/>
              </w:rPr>
            </w:pPr>
          </w:p>
        </w:tc>
        <w:tc>
          <w:tcPr>
            <w:tcW w:w="160" w:type="dxa"/>
            <w:vAlign w:val="bottom"/>
            <w:tcBorders>
              <w:top w:val="single" w:sz="8" w:color="EAF7FA"/>
            </w:tcBorders>
            <w:shd w:val="clear" w:color="auto" w:fill="EAF7FA"/>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320" w:type="dxa"/>
            <w:vAlign w:val="bottom"/>
            <w:tcBorders>
              <w:right w:val="single" w:sz="8" w:color="0B3C61"/>
            </w:tcBorders>
            <w:shd w:val="clear" w:color="auto" w:fill="EAF7FA"/>
          </w:tcPr>
          <w:p>
            <w:pPr>
              <w:spacing w:after="0"/>
              <w:rPr>
                <w:sz w:val="14"/>
                <w:szCs w:val="14"/>
                <w:color w:val="auto"/>
              </w:rPr>
            </w:pPr>
          </w:p>
        </w:tc>
        <w:tc>
          <w:tcPr>
            <w:tcW w:w="2200" w:type="dxa"/>
            <w:vAlign w:val="bottom"/>
            <w:shd w:val="clear" w:color="auto" w:fill="EAF7FA"/>
          </w:tcPr>
          <w:p>
            <w:pPr>
              <w:ind w:left="140"/>
              <w:spacing w:after="0"/>
              <w:rPr>
                <w:sz w:val="20"/>
                <w:szCs w:val="20"/>
                <w:color w:val="auto"/>
              </w:rPr>
            </w:pPr>
            <w:r>
              <w:rPr>
                <w:rFonts w:ascii="Arial" w:cs="Arial" w:eastAsia="Arial" w:hAnsi="Arial"/>
                <w:sz w:val="14"/>
                <w:szCs w:val="14"/>
                <w:color w:val="54565B"/>
              </w:rPr>
              <w:t>shares and/or cash at an</w:t>
            </w:r>
          </w:p>
        </w:tc>
        <w:tc>
          <w:tcPr>
            <w:tcW w:w="340" w:type="dxa"/>
            <w:vAlign w:val="bottom"/>
            <w:shd w:val="clear" w:color="auto" w:fill="EAF7FA"/>
          </w:tcPr>
          <w:p>
            <w:pPr>
              <w:spacing w:after="0"/>
              <w:rPr>
                <w:sz w:val="14"/>
                <w:szCs w:val="14"/>
                <w:color w:val="auto"/>
              </w:rPr>
            </w:pPr>
          </w:p>
        </w:tc>
        <w:tc>
          <w:tcPr>
            <w:tcW w:w="4680" w:type="dxa"/>
            <w:vAlign w:val="bottom"/>
            <w:shd w:val="clear" w:color="auto" w:fill="EAF7FA"/>
          </w:tcPr>
          <w:p>
            <w:pPr>
              <w:spacing w:after="0"/>
              <w:rPr>
                <w:sz w:val="14"/>
                <w:szCs w:val="14"/>
                <w:color w:val="auto"/>
              </w:rPr>
            </w:pPr>
          </w:p>
        </w:tc>
        <w:tc>
          <w:tcPr>
            <w:tcW w:w="540" w:type="dxa"/>
            <w:vAlign w:val="bottom"/>
            <w:shd w:val="clear" w:color="auto" w:fill="EAF7FA"/>
          </w:tcPr>
          <w:p>
            <w:pPr>
              <w:spacing w:after="0"/>
              <w:rPr>
                <w:sz w:val="14"/>
                <w:szCs w:val="14"/>
                <w:color w:val="auto"/>
              </w:rPr>
            </w:pPr>
          </w:p>
        </w:tc>
        <w:tc>
          <w:tcPr>
            <w:tcW w:w="160" w:type="dxa"/>
            <w:vAlign w:val="bottom"/>
            <w:shd w:val="clear" w:color="auto" w:fill="EAF7FA"/>
          </w:tcPr>
          <w:p>
            <w:pPr>
              <w:spacing w:after="0"/>
              <w:rPr>
                <w:sz w:val="14"/>
                <w:szCs w:val="14"/>
                <w:color w:val="auto"/>
              </w:rPr>
            </w:pPr>
          </w:p>
        </w:tc>
        <w:tc>
          <w:tcPr>
            <w:tcW w:w="160" w:type="dxa"/>
            <w:vAlign w:val="bottom"/>
            <w:shd w:val="clear" w:color="auto" w:fill="EAF7F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Borders>
              <w:right w:val="single" w:sz="8" w:color="0B3C61"/>
            </w:tcBorders>
            <w:shd w:val="clear" w:color="auto" w:fill="EAF7FA"/>
          </w:tcPr>
          <w:p>
            <w:pPr>
              <w:spacing w:after="0"/>
              <w:rPr>
                <w:sz w:val="14"/>
                <w:szCs w:val="14"/>
                <w:color w:val="auto"/>
              </w:rPr>
            </w:pPr>
          </w:p>
        </w:tc>
        <w:tc>
          <w:tcPr>
            <w:tcW w:w="2200" w:type="dxa"/>
            <w:vAlign w:val="bottom"/>
            <w:shd w:val="clear" w:color="auto" w:fill="EAF7FA"/>
          </w:tcPr>
          <w:p>
            <w:pPr>
              <w:ind w:left="140"/>
              <w:spacing w:after="0"/>
              <w:rPr>
                <w:sz w:val="20"/>
                <w:szCs w:val="20"/>
                <w:color w:val="auto"/>
              </w:rPr>
            </w:pPr>
            <w:r>
              <w:rPr>
                <w:rFonts w:ascii="Arial" w:cs="Arial" w:eastAsia="Arial" w:hAnsi="Arial"/>
                <w:sz w:val="14"/>
                <w:szCs w:val="14"/>
                <w:color w:val="54565B"/>
              </w:rPr>
              <w:t>interest rate determined</w:t>
            </w:r>
          </w:p>
        </w:tc>
        <w:tc>
          <w:tcPr>
            <w:tcW w:w="340" w:type="dxa"/>
            <w:vAlign w:val="bottom"/>
            <w:shd w:val="clear" w:color="auto" w:fill="EAF7FA"/>
          </w:tcPr>
          <w:p>
            <w:pPr>
              <w:spacing w:after="0"/>
              <w:rPr>
                <w:sz w:val="14"/>
                <w:szCs w:val="14"/>
                <w:color w:val="auto"/>
              </w:rPr>
            </w:pPr>
          </w:p>
        </w:tc>
        <w:tc>
          <w:tcPr>
            <w:tcW w:w="4680" w:type="dxa"/>
            <w:vAlign w:val="bottom"/>
            <w:shd w:val="clear" w:color="auto" w:fill="EAF7FA"/>
          </w:tcPr>
          <w:p>
            <w:pPr>
              <w:spacing w:after="0"/>
              <w:rPr>
                <w:sz w:val="14"/>
                <w:szCs w:val="14"/>
                <w:color w:val="auto"/>
              </w:rPr>
            </w:pPr>
          </w:p>
        </w:tc>
        <w:tc>
          <w:tcPr>
            <w:tcW w:w="540" w:type="dxa"/>
            <w:vAlign w:val="bottom"/>
            <w:shd w:val="clear" w:color="auto" w:fill="EAF7FA"/>
          </w:tcPr>
          <w:p>
            <w:pPr>
              <w:spacing w:after="0"/>
              <w:rPr>
                <w:sz w:val="14"/>
                <w:szCs w:val="14"/>
                <w:color w:val="auto"/>
              </w:rPr>
            </w:pPr>
          </w:p>
        </w:tc>
        <w:tc>
          <w:tcPr>
            <w:tcW w:w="160" w:type="dxa"/>
            <w:vAlign w:val="bottom"/>
            <w:shd w:val="clear" w:color="auto" w:fill="EAF7FA"/>
          </w:tcPr>
          <w:p>
            <w:pPr>
              <w:spacing w:after="0"/>
              <w:rPr>
                <w:sz w:val="14"/>
                <w:szCs w:val="14"/>
                <w:color w:val="auto"/>
              </w:rPr>
            </w:pPr>
          </w:p>
        </w:tc>
        <w:tc>
          <w:tcPr>
            <w:tcW w:w="160" w:type="dxa"/>
            <w:vAlign w:val="bottom"/>
            <w:shd w:val="clear" w:color="auto" w:fill="EAF7FA"/>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320" w:type="dxa"/>
            <w:vAlign w:val="bottom"/>
            <w:tcBorders>
              <w:right w:val="single" w:sz="8" w:color="0B3C61"/>
            </w:tcBorders>
            <w:shd w:val="clear" w:color="auto" w:fill="EAF7FA"/>
          </w:tcPr>
          <w:p>
            <w:pPr>
              <w:spacing w:after="0"/>
              <w:rPr>
                <w:sz w:val="17"/>
                <w:szCs w:val="17"/>
                <w:color w:val="auto"/>
              </w:rPr>
            </w:pPr>
          </w:p>
        </w:tc>
        <w:tc>
          <w:tcPr>
            <w:tcW w:w="2200" w:type="dxa"/>
            <w:vAlign w:val="bottom"/>
            <w:shd w:val="clear" w:color="auto" w:fill="EAF7FA"/>
          </w:tcPr>
          <w:p>
            <w:pPr>
              <w:ind w:left="140"/>
              <w:spacing w:after="0"/>
              <w:rPr>
                <w:sz w:val="20"/>
                <w:szCs w:val="20"/>
                <w:color w:val="auto"/>
              </w:rPr>
            </w:pPr>
            <w:r>
              <w:rPr>
                <w:rFonts w:ascii="Arial" w:cs="Arial" w:eastAsia="Arial" w:hAnsi="Arial"/>
                <w:sz w:val="14"/>
                <w:szCs w:val="14"/>
                <w:color w:val="54565B"/>
              </w:rPr>
              <w:t>annually.</w:t>
            </w:r>
          </w:p>
        </w:tc>
        <w:tc>
          <w:tcPr>
            <w:tcW w:w="340" w:type="dxa"/>
            <w:vAlign w:val="bottom"/>
            <w:shd w:val="clear" w:color="auto" w:fill="EAF7FA"/>
          </w:tcPr>
          <w:p>
            <w:pPr>
              <w:spacing w:after="0"/>
              <w:rPr>
                <w:sz w:val="17"/>
                <w:szCs w:val="17"/>
                <w:color w:val="auto"/>
              </w:rPr>
            </w:pPr>
          </w:p>
        </w:tc>
        <w:tc>
          <w:tcPr>
            <w:tcW w:w="4680" w:type="dxa"/>
            <w:vAlign w:val="bottom"/>
            <w:shd w:val="clear" w:color="auto" w:fill="EAF7FA"/>
          </w:tcPr>
          <w:p>
            <w:pPr>
              <w:spacing w:after="0"/>
              <w:rPr>
                <w:sz w:val="17"/>
                <w:szCs w:val="17"/>
                <w:color w:val="auto"/>
              </w:rPr>
            </w:pPr>
          </w:p>
        </w:tc>
        <w:tc>
          <w:tcPr>
            <w:tcW w:w="540" w:type="dxa"/>
            <w:vAlign w:val="bottom"/>
            <w:shd w:val="clear" w:color="auto" w:fill="EAF7FA"/>
          </w:tcPr>
          <w:p>
            <w:pPr>
              <w:spacing w:after="0"/>
              <w:rPr>
                <w:sz w:val="17"/>
                <w:szCs w:val="17"/>
                <w:color w:val="auto"/>
              </w:rPr>
            </w:pPr>
          </w:p>
        </w:tc>
        <w:tc>
          <w:tcPr>
            <w:tcW w:w="160" w:type="dxa"/>
            <w:vAlign w:val="bottom"/>
            <w:shd w:val="clear" w:color="auto" w:fill="EAF7FA"/>
          </w:tcPr>
          <w:p>
            <w:pPr>
              <w:spacing w:after="0"/>
              <w:rPr>
                <w:sz w:val="17"/>
                <w:szCs w:val="17"/>
                <w:color w:val="auto"/>
              </w:rPr>
            </w:pPr>
          </w:p>
        </w:tc>
        <w:tc>
          <w:tcPr>
            <w:tcW w:w="160" w:type="dxa"/>
            <w:vAlign w:val="bottom"/>
            <w:shd w:val="clear" w:color="auto" w:fill="EAF7FA"/>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EAF7FA"/>
            </w:tcBorders>
            <w:shd w:val="clear" w:color="auto" w:fill="EAF7FA"/>
          </w:tcPr>
          <w:p>
            <w:pPr>
              <w:spacing w:after="0"/>
              <w:rPr>
                <w:sz w:val="5"/>
                <w:szCs w:val="5"/>
                <w:color w:val="auto"/>
              </w:rPr>
            </w:pPr>
          </w:p>
        </w:tc>
        <w:tc>
          <w:tcPr>
            <w:tcW w:w="2200" w:type="dxa"/>
            <w:vAlign w:val="bottom"/>
            <w:shd w:val="clear" w:color="auto" w:fill="EAF7FA"/>
          </w:tcPr>
          <w:p>
            <w:pPr>
              <w:spacing w:after="0"/>
              <w:rPr>
                <w:sz w:val="5"/>
                <w:szCs w:val="5"/>
                <w:color w:val="auto"/>
              </w:rPr>
            </w:pPr>
          </w:p>
        </w:tc>
        <w:tc>
          <w:tcPr>
            <w:tcW w:w="340" w:type="dxa"/>
            <w:vAlign w:val="bottom"/>
            <w:shd w:val="clear" w:color="auto" w:fill="EAF7FA"/>
          </w:tcPr>
          <w:p>
            <w:pPr>
              <w:spacing w:after="0"/>
              <w:rPr>
                <w:sz w:val="5"/>
                <w:szCs w:val="5"/>
                <w:color w:val="auto"/>
              </w:rPr>
            </w:pPr>
          </w:p>
        </w:tc>
        <w:tc>
          <w:tcPr>
            <w:tcW w:w="4680" w:type="dxa"/>
            <w:vAlign w:val="bottom"/>
            <w:shd w:val="clear" w:color="auto" w:fill="EAF7FA"/>
          </w:tcPr>
          <w:p>
            <w:pPr>
              <w:spacing w:after="0"/>
              <w:rPr>
                <w:sz w:val="5"/>
                <w:szCs w:val="5"/>
                <w:color w:val="auto"/>
              </w:rPr>
            </w:pPr>
          </w:p>
        </w:tc>
        <w:tc>
          <w:tcPr>
            <w:tcW w:w="540" w:type="dxa"/>
            <w:vAlign w:val="bottom"/>
            <w:shd w:val="clear" w:color="auto" w:fill="EAF7FA"/>
          </w:tcPr>
          <w:p>
            <w:pPr>
              <w:spacing w:after="0"/>
              <w:rPr>
                <w:sz w:val="5"/>
                <w:szCs w:val="5"/>
                <w:color w:val="auto"/>
              </w:rPr>
            </w:pPr>
          </w:p>
        </w:tc>
        <w:tc>
          <w:tcPr>
            <w:tcW w:w="160" w:type="dxa"/>
            <w:vAlign w:val="bottom"/>
            <w:shd w:val="clear" w:color="auto" w:fill="EAF7FA"/>
          </w:tcPr>
          <w:p>
            <w:pPr>
              <w:spacing w:after="0"/>
              <w:rPr>
                <w:sz w:val="5"/>
                <w:szCs w:val="5"/>
                <w:color w:val="auto"/>
              </w:rPr>
            </w:pPr>
          </w:p>
        </w:tc>
        <w:tc>
          <w:tcPr>
            <w:tcW w:w="160" w:type="dxa"/>
            <w:vAlign w:val="bottom"/>
            <w:shd w:val="clear" w:color="auto" w:fill="EAF7FA"/>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137160</wp:posOffset>
            </wp:positionV>
            <wp:extent cx="8890" cy="548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54864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p>
      <w:pPr>
        <w:spacing w:after="0" w:line="315" w:lineRule="exact"/>
        <w:rPr>
          <w:sz w:val="20"/>
          <w:szCs w:val="20"/>
          <w:color w:val="auto"/>
        </w:rPr>
      </w:pPr>
    </w:p>
    <w:p>
      <w:pPr>
        <w:ind w:left="1460"/>
        <w:spacing w:after="0" w:line="256" w:lineRule="auto"/>
        <w:rPr>
          <w:sz w:val="20"/>
          <w:szCs w:val="20"/>
          <w:color w:val="auto"/>
        </w:rPr>
      </w:pPr>
      <w:r>
        <w:rPr>
          <w:rFonts w:ascii="Arial" w:cs="Arial" w:eastAsia="Arial" w:hAnsi="Arial"/>
          <w:sz w:val="14"/>
          <w:szCs w:val="14"/>
          <w:b w:val="1"/>
          <w:bCs w:val="1"/>
          <w:color w:val="54565B"/>
        </w:rPr>
        <w:t xml:space="preserve">Competitive retirement benefits </w:t>
      </w:r>
      <w:r>
        <w:rPr>
          <w:rFonts w:ascii="Arial" w:cs="Arial" w:eastAsia="Arial" w:hAnsi="Arial"/>
          <w:sz w:val="14"/>
          <w:szCs w:val="14"/>
          <w:color w:val="54565B"/>
        </w:rPr>
        <w:t>are generally</w:t>
      </w:r>
      <w:r>
        <w:rPr>
          <w:rFonts w:ascii="Arial" w:cs="Arial" w:eastAsia="Arial" w:hAnsi="Arial"/>
          <w:sz w:val="14"/>
          <w:szCs w:val="14"/>
          <w:b w:val="1"/>
          <w:bCs w:val="1"/>
          <w:color w:val="54565B"/>
        </w:rPr>
        <w:t xml:space="preserve"> </w:t>
      </w:r>
      <w:r>
        <w:rPr>
          <w:rFonts w:ascii="Arial" w:cs="Arial" w:eastAsia="Arial" w:hAnsi="Arial"/>
          <w:sz w:val="14"/>
          <w:szCs w:val="14"/>
          <w:color w:val="54565B"/>
        </w:rPr>
        <w:t>comparable to those provided to all Company employees.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Arial" w:cs="Arial" w:eastAsia="Arial" w:hAnsi="Arial"/>
                <w:sz w:val="12"/>
                <w:szCs w:val="12"/>
                <w:color w:val="54565B"/>
                <w:w w:val="73"/>
              </w:rPr>
              <w:t>• </w:t>
            </w:r>
          </w:p>
        </w:tc>
        <w:tc>
          <w:tcPr>
            <w:tcW w:w="4680" w:type="dxa"/>
            <w:vAlign w:val="bottom"/>
          </w:tcPr>
          <w:p>
            <w:pPr>
              <w:ind w:left="60"/>
              <w:spacing w:after="0"/>
              <w:rPr>
                <w:sz w:val="20"/>
                <w:szCs w:val="20"/>
                <w:color w:val="auto"/>
              </w:rPr>
            </w:pPr>
            <w:r>
              <w:rPr>
                <w:rFonts w:ascii="Arial" w:cs="Arial" w:eastAsia="Arial" w:hAnsi="Arial"/>
                <w:sz w:val="14"/>
                <w:szCs w:val="14"/>
                <w:color w:val="54565B"/>
              </w:rPr>
              <w:t>Provides qualified retirement benefits through Company matching of a</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4680" w:type="dxa"/>
            <w:vAlign w:val="bottom"/>
          </w:tcPr>
          <w:p>
            <w:pPr>
              <w:ind w:left="60"/>
              <w:spacing w:after="0"/>
              <w:rPr>
                <w:sz w:val="20"/>
                <w:szCs w:val="20"/>
                <w:color w:val="auto"/>
              </w:rPr>
            </w:pPr>
            <w:r>
              <w:rPr>
                <w:rFonts w:ascii="Arial" w:cs="Arial" w:eastAsia="Arial" w:hAnsi="Arial"/>
                <w:sz w:val="14"/>
                <w:szCs w:val="14"/>
                <w:color w:val="54565B"/>
              </w:rPr>
              <w:t>percentage of contributions in a defined contribution plan.</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8"/>
        </w:trPr>
        <w:tc>
          <w:tcPr>
            <w:tcW w:w="140" w:type="dxa"/>
            <w:vAlign w:val="bottom"/>
          </w:tcPr>
          <w:p>
            <w:pPr>
              <w:spacing w:after="0"/>
              <w:rPr>
                <w:sz w:val="20"/>
                <w:szCs w:val="20"/>
                <w:color w:val="auto"/>
              </w:rPr>
            </w:pPr>
            <w:r>
              <w:rPr>
                <w:rFonts w:ascii="Arial" w:cs="Arial" w:eastAsia="Arial" w:hAnsi="Arial"/>
                <w:sz w:val="12"/>
                <w:szCs w:val="12"/>
                <w:color w:val="54565B"/>
                <w:w w:val="73"/>
              </w:rPr>
              <w:t>• </w:t>
            </w:r>
          </w:p>
        </w:tc>
        <w:tc>
          <w:tcPr>
            <w:tcW w:w="4680" w:type="dxa"/>
            <w:vAlign w:val="bottom"/>
          </w:tcPr>
          <w:p>
            <w:pPr>
              <w:ind w:left="60"/>
              <w:spacing w:after="0" w:line="158" w:lineRule="exact"/>
              <w:rPr>
                <w:sz w:val="20"/>
                <w:szCs w:val="20"/>
                <w:color w:val="auto"/>
              </w:rPr>
            </w:pPr>
            <w:r>
              <w:rPr>
                <w:rFonts w:ascii="Arial" w:cs="Arial" w:eastAsia="Arial" w:hAnsi="Arial"/>
                <w:sz w:val="14"/>
                <w:szCs w:val="14"/>
                <w:color w:val="54565B"/>
              </w:rPr>
              <w:t>Provides non-qualified contributions where tax law limits amounts.</w:t>
            </w:r>
          </w:p>
        </w:tc>
        <w:tc>
          <w:tcPr>
            <w:tcW w:w="700" w:type="dxa"/>
            <w:vAlign w:val="bottom"/>
            <w:gridSpan w:val="2"/>
          </w:tcPr>
          <w:p>
            <w:pPr>
              <w:ind w:left="160"/>
              <w:spacing w:after="0" w:line="158" w:lineRule="exact"/>
              <w:rPr>
                <w:sz w:val="20"/>
                <w:szCs w:val="20"/>
                <w:color w:val="auto"/>
              </w:rPr>
            </w:pPr>
            <w:r>
              <w:rPr>
                <w:rFonts w:ascii="Arial" w:cs="Arial" w:eastAsia="Arial" w:hAnsi="Arial"/>
                <w:sz w:val="14"/>
                <w:szCs w:val="14"/>
                <w:color w:val="54565B"/>
                <w:w w:val="99"/>
              </w:rPr>
              <w:t xml:space="preserve">Page </w:t>
            </w:r>
            <w:r>
              <w:rPr>
                <w:rFonts w:ascii="Arial" w:cs="Arial" w:eastAsia="Arial" w:hAnsi="Arial"/>
                <w:sz w:val="14"/>
                <w:szCs w:val="14"/>
                <w:color w:val="0000EE"/>
                <w:w w:val="99"/>
              </w:rPr>
              <w:t>53</w:t>
            </w:r>
          </w:p>
        </w:tc>
      </w:tr>
      <w:tr>
        <w:trPr>
          <w:trHeight w:val="146"/>
        </w:trPr>
        <w:tc>
          <w:tcPr>
            <w:tcW w:w="140" w:type="dxa"/>
            <w:vAlign w:val="bottom"/>
          </w:tcPr>
          <w:p>
            <w:pPr>
              <w:spacing w:after="0"/>
              <w:rPr>
                <w:sz w:val="20"/>
                <w:szCs w:val="20"/>
                <w:color w:val="auto"/>
              </w:rPr>
            </w:pPr>
            <w:r>
              <w:rPr>
                <w:rFonts w:ascii="Arial" w:cs="Arial" w:eastAsia="Arial" w:hAnsi="Arial"/>
                <w:sz w:val="12"/>
                <w:szCs w:val="12"/>
                <w:color w:val="54565B"/>
                <w:w w:val="73"/>
              </w:rPr>
              <w:t>• </w:t>
            </w:r>
          </w:p>
        </w:tc>
        <w:tc>
          <w:tcPr>
            <w:tcW w:w="4680" w:type="dxa"/>
            <w:vAlign w:val="bottom"/>
          </w:tcPr>
          <w:p>
            <w:pPr>
              <w:ind w:left="60"/>
              <w:spacing w:after="0" w:line="147" w:lineRule="exact"/>
              <w:rPr>
                <w:sz w:val="20"/>
                <w:szCs w:val="20"/>
                <w:color w:val="auto"/>
              </w:rPr>
            </w:pPr>
            <w:r>
              <w:rPr>
                <w:rFonts w:ascii="Arial" w:cs="Arial" w:eastAsia="Arial" w:hAnsi="Arial"/>
                <w:sz w:val="14"/>
                <w:szCs w:val="14"/>
                <w:color w:val="54565B"/>
              </w:rPr>
              <w:t>Attracts executive talent.</w:t>
            </w:r>
          </w:p>
        </w:tc>
        <w:tc>
          <w:tcPr>
            <w:tcW w:w="54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r>
      <w:tr>
        <w:trPr>
          <w:trHeight w:val="190"/>
        </w:trPr>
        <w:tc>
          <w:tcPr>
            <w:tcW w:w="140" w:type="dxa"/>
            <w:vAlign w:val="bottom"/>
          </w:tcPr>
          <w:p>
            <w:pPr>
              <w:spacing w:after="0"/>
              <w:rPr>
                <w:sz w:val="20"/>
                <w:szCs w:val="20"/>
                <w:color w:val="auto"/>
              </w:rPr>
            </w:pPr>
            <w:r>
              <w:rPr>
                <w:rFonts w:ascii="Arial" w:cs="Arial" w:eastAsia="Arial" w:hAnsi="Arial"/>
                <w:sz w:val="12"/>
                <w:szCs w:val="12"/>
                <w:color w:val="54565B"/>
                <w:w w:val="73"/>
              </w:rPr>
              <w:t>• </w:t>
            </w:r>
          </w:p>
        </w:tc>
        <w:tc>
          <w:tcPr>
            <w:tcW w:w="4680" w:type="dxa"/>
            <w:vAlign w:val="bottom"/>
          </w:tcPr>
          <w:p>
            <w:pPr>
              <w:ind w:left="60"/>
              <w:spacing w:after="0"/>
              <w:rPr>
                <w:sz w:val="20"/>
                <w:szCs w:val="20"/>
                <w:color w:val="auto"/>
              </w:rPr>
            </w:pPr>
            <w:r>
              <w:rPr>
                <w:rFonts w:ascii="Arial" w:cs="Arial" w:eastAsia="Arial" w:hAnsi="Arial"/>
                <w:sz w:val="14"/>
                <w:szCs w:val="14"/>
                <w:color w:val="54565B"/>
              </w:rPr>
              <w:t>Provides the opportunity to accrue a reasonable retirement benefit.</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193675</wp:posOffset>
            </wp:positionV>
            <wp:extent cx="59664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380"/>
            <w:col w:w="5680"/>
          </w:cols>
          <w:pgMar w:left="1240" w:top="114" w:right="125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EA1D2D"/>
        </w:rPr>
        <w:t xml:space="preserve">44   </w:t>
      </w:r>
      <w:r>
        <w:rPr>
          <w:rFonts w:ascii="Arial" w:cs="Arial" w:eastAsia="Arial" w:hAnsi="Arial"/>
          <w:sz w:val="12"/>
          <w:szCs w:val="12"/>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163830</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423545</wp:posOffset>
            </wp:positionV>
            <wp:extent cx="5966460" cy="4972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6460" cy="49720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240" w:type="dxa"/>
        <w:tblCellMar>
          <w:top w:w="0" w:type="dxa"/>
          <w:left w:w="0" w:type="dxa"/>
          <w:bottom w:w="0" w:type="dxa"/>
          <w:right w:w="0" w:type="dxa"/>
        </w:tblCellMar>
      </w:tblPr>
      <w:tr>
        <w:trPr>
          <w:trHeight w:val="197"/>
        </w:trPr>
        <w:tc>
          <w:tcPr>
            <w:tcW w:w="2440" w:type="dxa"/>
            <w:vAlign w:val="bottom"/>
          </w:tcPr>
          <w:p>
            <w:pPr>
              <w:spacing w:after="0"/>
              <w:rPr>
                <w:sz w:val="20"/>
                <w:szCs w:val="20"/>
                <w:color w:val="auto"/>
              </w:rPr>
            </w:pPr>
            <w:r>
              <w:rPr>
                <w:rFonts w:ascii="Arial" w:cs="Arial" w:eastAsia="Arial" w:hAnsi="Arial"/>
                <w:sz w:val="14"/>
                <w:szCs w:val="14"/>
                <w:color w:val="FFFFFF"/>
              </w:rPr>
              <w:t> </w:t>
            </w:r>
          </w:p>
        </w:tc>
        <w:tc>
          <w:tcPr>
            <w:tcW w:w="2440" w:type="dxa"/>
            <w:vAlign w:val="bottom"/>
          </w:tcPr>
          <w:p>
            <w:pPr>
              <w:ind w:left="2380"/>
              <w:spacing w:after="0"/>
              <w:rPr>
                <w:sz w:val="20"/>
                <w:szCs w:val="20"/>
                <w:color w:val="auto"/>
              </w:rPr>
            </w:pPr>
            <w:r>
              <w:rPr>
                <w:rFonts w:ascii="Arial" w:cs="Arial" w:eastAsia="Arial" w:hAnsi="Arial"/>
                <w:sz w:val="14"/>
                <w:szCs w:val="14"/>
                <w:color w:val="FFFFFF"/>
              </w:rPr>
              <w:t xml:space="preserve">  </w:t>
            </w:r>
          </w:p>
        </w:tc>
      </w:tr>
    </w:tbl>
    <w:p>
      <w:pPr>
        <w:ind w:left="1780"/>
        <w:spacing w:after="0"/>
        <w:rPr>
          <w:sz w:val="20"/>
          <w:szCs w:val="20"/>
          <w:color w:val="auto"/>
        </w:rPr>
      </w:pPr>
      <w:r>
        <w:rPr>
          <w:rFonts w:ascii="Arial" w:cs="Arial" w:eastAsia="Arial" w:hAnsi="Arial"/>
          <w:sz w:val="18"/>
          <w:szCs w:val="18"/>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48895</wp:posOffset>
            </wp:positionV>
            <wp:extent cx="128905"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clrChange>
                        <a:clrFrom>
                          <a:srgbClr val="000000"/>
                        </a:clrFrom>
                        <a:clrTo>
                          <a:srgbClr val="000000">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48895</wp:posOffset>
            </wp:positionV>
            <wp:extent cx="128905"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16" w:lineRule="exact"/>
        <w:rPr>
          <w:sz w:val="20"/>
          <w:szCs w:val="20"/>
          <w:color w:val="auto"/>
        </w:rPr>
      </w:pPr>
    </w:p>
    <w:p>
      <w:pPr>
        <w:ind w:left="680" w:right="720"/>
        <w:spacing w:after="0" w:line="263" w:lineRule="auto"/>
        <w:rPr>
          <w:sz w:val="20"/>
          <w:szCs w:val="20"/>
          <w:color w:val="auto"/>
        </w:rPr>
      </w:pPr>
      <w:r>
        <w:rPr>
          <w:rFonts w:ascii="Arial" w:cs="Arial" w:eastAsia="Arial" w:hAnsi="Arial"/>
          <w:sz w:val="14"/>
          <w:szCs w:val="14"/>
          <w:color w:val="54565B"/>
        </w:rPr>
        <w:t>Compensation heavily weighted toward variable “at risk,” performance-based annual and long-term pay aligned with Company financial and stock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-252730</wp:posOffset>
            </wp:positionV>
            <wp:extent cx="145415"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541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12700</wp:posOffset>
            </wp:positionV>
            <wp:extent cx="2914650" cy="3683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914650" cy="368300"/>
                    </a:xfrm>
                    <a:prstGeom prst="rect">
                      <a:avLst/>
                    </a:prstGeom>
                    <a:noFill/>
                  </pic:spPr>
                </pic:pic>
              </a:graphicData>
            </a:graphic>
          </wp:anchor>
        </w:drawing>
      </w:r>
    </w:p>
    <w:p>
      <w:pPr>
        <w:spacing w:after="0" w:line="31" w:lineRule="exact"/>
        <w:rPr>
          <w:sz w:val="20"/>
          <w:szCs w:val="20"/>
          <w:color w:val="auto"/>
        </w:rPr>
      </w:pPr>
    </w:p>
    <w:p>
      <w:pPr>
        <w:ind w:left="680" w:right="900"/>
        <w:spacing w:after="0" w:line="263" w:lineRule="auto"/>
        <w:rPr>
          <w:sz w:val="20"/>
          <w:szCs w:val="20"/>
          <w:color w:val="auto"/>
        </w:rPr>
      </w:pPr>
      <w:r>
        <w:rPr>
          <w:rFonts w:ascii="Arial" w:cs="Arial" w:eastAsia="Arial" w:hAnsi="Arial"/>
          <w:sz w:val="14"/>
          <w:szCs w:val="14"/>
          <w:color w:val="54565B"/>
        </w:rPr>
        <w:t>Significant portion of executive officer’s compensation package is based on the Company’s long-term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-260985</wp:posOffset>
            </wp:positionV>
            <wp:extent cx="12890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1" w:lineRule="exact"/>
        <w:rPr>
          <w:sz w:val="20"/>
          <w:szCs w:val="20"/>
          <w:color w:val="auto"/>
        </w:rPr>
      </w:pPr>
    </w:p>
    <w:p>
      <w:pPr>
        <w:ind w:left="680" w:right="1120"/>
        <w:spacing w:after="0" w:line="285" w:lineRule="auto"/>
        <w:rPr>
          <w:sz w:val="20"/>
          <w:szCs w:val="20"/>
          <w:color w:val="auto"/>
        </w:rPr>
      </w:pPr>
      <w:r>
        <w:rPr>
          <w:rFonts w:ascii="Arial" w:cs="Arial" w:eastAsia="Arial" w:hAnsi="Arial"/>
          <w:sz w:val="14"/>
          <w:szCs w:val="14"/>
          <w:color w:val="54565B"/>
        </w:rPr>
        <w:t>Double-trigger requirement for equity vesting upon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-201930</wp:posOffset>
            </wp:positionV>
            <wp:extent cx="145415"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541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wp:posOffset>
            </wp:positionV>
            <wp:extent cx="2914650" cy="2654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914650" cy="265430"/>
                    </a:xfrm>
                    <a:prstGeom prst="rect">
                      <a:avLst/>
                    </a:prstGeom>
                    <a:noFill/>
                  </pic:spPr>
                </pic:pic>
              </a:graphicData>
            </a:graphic>
          </wp:anchor>
        </w:drawing>
      </w:r>
    </w:p>
    <w:p>
      <w:pPr>
        <w:spacing w:after="0" w:line="16" w:lineRule="exact"/>
        <w:rPr>
          <w:sz w:val="20"/>
          <w:szCs w:val="20"/>
          <w:color w:val="auto"/>
        </w:rPr>
      </w:pPr>
    </w:p>
    <w:p>
      <w:pPr>
        <w:ind w:left="680" w:right="800"/>
        <w:spacing w:after="0" w:line="285" w:lineRule="auto"/>
        <w:rPr>
          <w:sz w:val="20"/>
          <w:szCs w:val="20"/>
          <w:color w:val="auto"/>
        </w:rPr>
      </w:pPr>
      <w:r>
        <w:rPr>
          <w:rFonts w:ascii="Arial" w:cs="Arial" w:eastAsia="Arial" w:hAnsi="Arial"/>
          <w:sz w:val="14"/>
          <w:szCs w:val="14"/>
          <w:color w:val="54565B"/>
        </w:rPr>
        <w:t>Four-year cliff vesting of equity awards with proportionate vesting upon a qualified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-167640</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 w:lineRule="exact"/>
        <w:rPr>
          <w:sz w:val="20"/>
          <w:szCs w:val="20"/>
          <w:color w:val="auto"/>
        </w:rPr>
      </w:pPr>
    </w:p>
    <w:p>
      <w:pPr>
        <w:ind w:left="680" w:right="1160"/>
        <w:spacing w:after="0" w:line="285" w:lineRule="auto"/>
        <w:rPr>
          <w:sz w:val="20"/>
          <w:szCs w:val="20"/>
          <w:color w:val="auto"/>
        </w:rPr>
      </w:pPr>
      <w:r>
        <w:rPr>
          <w:rFonts w:ascii="Arial" w:cs="Arial" w:eastAsia="Arial" w:hAnsi="Arial"/>
          <w:sz w:val="14"/>
          <w:szCs w:val="14"/>
          <w:color w:val="54565B"/>
        </w:rPr>
        <w:t>Periodic engagement of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-201930</wp:posOffset>
            </wp:positionV>
            <wp:extent cx="145415"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541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wp:posOffset>
            </wp:positionV>
            <wp:extent cx="2914650" cy="2654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914650" cy="265430"/>
                    </a:xfrm>
                    <a:prstGeom prst="rect">
                      <a:avLst/>
                    </a:prstGeom>
                    <a:noFill/>
                  </pic:spPr>
                </pic:pic>
              </a:graphicData>
            </a:graphic>
          </wp:anchor>
        </w:drawing>
      </w:r>
    </w:p>
    <w:p>
      <w:pPr>
        <w:spacing w:after="0" w:line="16" w:lineRule="exact"/>
        <w:rPr>
          <w:sz w:val="20"/>
          <w:szCs w:val="20"/>
          <w:color w:val="auto"/>
        </w:rPr>
      </w:pPr>
    </w:p>
    <w:p>
      <w:pPr>
        <w:ind w:left="680" w:right="840"/>
        <w:spacing w:after="0" w:line="285" w:lineRule="auto"/>
        <w:rPr>
          <w:sz w:val="20"/>
          <w:szCs w:val="20"/>
          <w:color w:val="auto"/>
        </w:rPr>
      </w:pPr>
      <w:r>
        <w:rPr>
          <w:rFonts w:ascii="Arial" w:cs="Arial" w:eastAsia="Arial" w:hAnsi="Arial"/>
          <w:sz w:val="14"/>
          <w:szCs w:val="14"/>
          <w:color w:val="54565B"/>
        </w:rPr>
        <w:t>Robust share ownership guidelines for executive officers and non-employee directors</w:t>
      </w:r>
    </w:p>
    <w:p>
      <w:pPr>
        <w:spacing w:after="0" w:line="36" w:lineRule="exact"/>
        <w:rPr>
          <w:sz w:val="20"/>
          <w:szCs w:val="20"/>
          <w:color w:val="auto"/>
        </w:rPr>
      </w:pPr>
    </w:p>
    <w:p>
      <w:pPr>
        <w:ind w:left="680" w:right="1140"/>
        <w:spacing w:after="0" w:line="285" w:lineRule="auto"/>
        <w:rPr>
          <w:sz w:val="20"/>
          <w:szCs w:val="20"/>
          <w:color w:val="auto"/>
        </w:rPr>
      </w:pPr>
      <w:r>
        <w:rPr>
          <w:rFonts w:ascii="Arial" w:cs="Arial" w:eastAsia="Arial" w:hAnsi="Arial"/>
          <w:sz w:val="14"/>
          <w:szCs w:val="14"/>
          <w:color w:val="54565B"/>
        </w:rPr>
        <w:t>Both annual and long-term incentive awards include absolute and relative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-201930</wp:posOffset>
            </wp:positionV>
            <wp:extent cx="145415"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541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wp:posOffset>
            </wp:positionV>
            <wp:extent cx="2914650" cy="3689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914650" cy="368935"/>
                    </a:xfrm>
                    <a:prstGeom prst="rect">
                      <a:avLst/>
                    </a:prstGeom>
                    <a:noFill/>
                  </pic:spPr>
                </pic:pic>
              </a:graphicData>
            </a:graphic>
          </wp:anchor>
        </w:drawing>
      </w:r>
    </w:p>
    <w:p>
      <w:pPr>
        <w:spacing w:after="0" w:line="16" w:lineRule="exact"/>
        <w:rPr>
          <w:sz w:val="20"/>
          <w:szCs w:val="20"/>
          <w:color w:val="auto"/>
        </w:rPr>
      </w:pPr>
    </w:p>
    <w:p>
      <w:pPr>
        <w:ind w:left="680" w:right="1000"/>
        <w:spacing w:after="0" w:line="263" w:lineRule="auto"/>
        <w:rPr>
          <w:sz w:val="20"/>
          <w:szCs w:val="20"/>
          <w:color w:val="auto"/>
        </w:rPr>
      </w:pPr>
      <w:r>
        <w:rPr>
          <w:rFonts w:ascii="Arial" w:cs="Arial" w:eastAsia="Arial" w:hAnsi="Arial"/>
          <w:sz w:val="14"/>
          <w:szCs w:val="14"/>
          <w:color w:val="54565B"/>
        </w:rPr>
        <w:t>Broad recoupment policy for performance awards that applies to senior management employees beyond executive officer group required by SEC/NYSE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29146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80"/>
        <w:spacing w:after="0"/>
        <w:rPr>
          <w:sz w:val="20"/>
          <w:szCs w:val="20"/>
          <w:color w:val="auto"/>
        </w:rPr>
      </w:pPr>
      <w:r>
        <w:rPr>
          <w:rFonts w:ascii="Arial" w:cs="Arial" w:eastAsia="Arial" w:hAnsi="Arial"/>
          <w:sz w:val="18"/>
          <w:szCs w:val="18"/>
          <w:color w:val="FFFFFF"/>
        </w:rPr>
        <w:t>What We Don't Do</w:t>
      </w:r>
    </w:p>
    <w:p>
      <w:pPr>
        <w:spacing w:after="0" w:line="154" w:lineRule="exact"/>
        <w:rPr>
          <w:sz w:val="20"/>
          <w:szCs w:val="20"/>
          <w:color w:val="auto"/>
        </w:rPr>
      </w:pPr>
    </w:p>
    <w:p>
      <w:pPr>
        <w:ind w:right="420"/>
        <w:spacing w:after="0" w:line="285" w:lineRule="auto"/>
        <w:rPr>
          <w:sz w:val="20"/>
          <w:szCs w:val="20"/>
          <w:color w:val="auto"/>
        </w:rPr>
      </w:pPr>
      <w:r>
        <w:rPr>
          <w:rFonts w:ascii="Arial" w:cs="Arial" w:eastAsia="Arial" w:hAnsi="Arial"/>
          <w:sz w:val="14"/>
          <w:szCs w:val="14"/>
          <w:color w:val="54565B"/>
        </w:rPr>
        <w:t>No guaranteed minimums for performance-based cash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3175</wp:posOffset>
            </wp:positionV>
            <wp:extent cx="2914650"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914650" cy="18859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54565B"/>
        </w:rPr>
        <w:t>No executive officer tax gross-ups for perquisites</w:t>
      </w:r>
    </w:p>
    <w:p>
      <w:pPr>
        <w:spacing w:after="0" w:line="136" w:lineRule="exact"/>
        <w:rPr>
          <w:sz w:val="20"/>
          <w:szCs w:val="20"/>
          <w:color w:val="auto"/>
        </w:rPr>
      </w:pPr>
    </w:p>
    <w:p>
      <w:pPr>
        <w:ind w:right="620"/>
        <w:spacing w:after="0" w:line="285" w:lineRule="auto"/>
        <w:rPr>
          <w:sz w:val="20"/>
          <w:szCs w:val="20"/>
          <w:color w:val="auto"/>
        </w:rPr>
      </w:pPr>
      <w:r>
        <w:rPr>
          <w:rFonts w:ascii="Arial" w:cs="Arial" w:eastAsia="Arial" w:hAnsi="Arial"/>
          <w:sz w:val="14"/>
          <w:szCs w:val="14"/>
          <w:color w:val="54565B"/>
        </w:rPr>
        <w:t>No individual employment agreements or change of control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3175</wp:posOffset>
            </wp:positionV>
            <wp:extent cx="2914650" cy="3683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914650" cy="368300"/>
                    </a:xfrm>
                    <a:prstGeom prst="rect">
                      <a:avLst/>
                    </a:prstGeom>
                    <a:noFill/>
                  </pic:spPr>
                </pic:pic>
              </a:graphicData>
            </a:graphic>
          </wp:anchor>
        </w:drawing>
      </w:r>
    </w:p>
    <w:p>
      <w:pPr>
        <w:spacing w:after="0" w:line="16"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54565B"/>
        </w:rPr>
        <w:t>No director or executive officer hedging and no pledging of common shares unless preapproved in limited circumstances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54565B"/>
        </w:rPr>
        <w:t>No plans that encourage excessive risk-taking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66675</wp:posOffset>
            </wp:positionV>
            <wp:extent cx="29146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2134" w:lineRule="exact"/>
        <w:rPr>
          <w:sz w:val="20"/>
          <w:szCs w:val="20"/>
          <w:color w:val="auto"/>
        </w:rPr>
      </w:pPr>
    </w:p>
    <w:p>
      <w:pPr>
        <w:sectPr>
          <w:pgSz w:w="11900" w:h="16838" w:orient="portrait"/>
          <w:cols w:equalWidth="0" w:num="2">
            <w:col w:w="5120" w:space="360"/>
            <w:col w:w="3920"/>
          </w:cols>
          <w:pgMar w:left="1240" w:top="114" w:right="125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0B3C61"/>
        </w:rPr>
        <w:t>2025 COMPENSATION DETERMINATIONS AND RESULTS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Overview of 2025 Compensation Determinations and Results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6"/>
          <w:szCs w:val="16"/>
          <w:color w:val="54565B"/>
        </w:rPr>
        <w:t>AFG annually holds an advisory vote on the compensation of its NEOs, commonly referred to as a Say-on-Pay vote. In 2025, our shareholders approved the compensation of our NEOs, with approximately 93% of votes cast in favor of our Say-on-Pay resolution. The Compensation Committee believes that the result of the advisory vote is valuable in assessing its compensation decisions and considers each year’s vote in its annual review and design of the Company’s executive compensation program.</w:t>
      </w:r>
    </w:p>
    <w:p>
      <w:pPr>
        <w:spacing w:after="0" w:line="56"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54565B"/>
        </w:rPr>
        <w:t>In 2024, the Company performed well overall, both on an absolute basis and relative to its industry peers, including core earnings per share of $10.75, a core return on equity of 19.3%, growth in book value per share, excluding accumulated other comprehensive income, plus dividends (“GBVPS”) of 19.6%, and the return of approximately $791 million to shareholders through regular and special dividends and share repurchases. AFG’s strong 2024 financial performance resulted in the NEOs earning Annual Bonus Plan awards modestly above their respective targets, ranging from 111-115% of those targets.</w:t>
      </w:r>
    </w:p>
    <w:p>
      <w:pPr>
        <w:spacing w:after="0" w:line="58"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54565B"/>
        </w:rPr>
        <w:t>The executive compensation program for 2025 was designed similarly to 2024 program. Despite certain signs of softening business conditions, the Compensation Committee remained consistent with its approach in adopting very challenging incentive plan goals. For the Annual Bonus Plan, the Committee used the same three components as 2024, given their ongoing criticality to the Company’s creation of long-term shareholder value: (1) Operating EPS, (2) core return on equity (“ROE”), and (3) relative GBVPS compared to the companies in the Compensation Peer Group. The Committee grounded the Annual Plan performance goals in the Company’s annual business plan while being mindful of the projected performance of the Company’s peers and anticipated property and casualty industry conditions. As such, the Committee set goals that would require strong business and financial performance to earn a target award and extraordinary performance—likely near or at the top of its Compensation Peer Group—to earn a maximum award.</w:t>
      </w:r>
    </w:p>
    <w:p>
      <w:pPr>
        <w:spacing w:after="0" w:line="5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54565B"/>
        </w:rPr>
        <w:t>In 2025, AFG continued to deliver a high level of financial and operational performance, including Operating EPS of $10.29, strong underwriting performance and P&amp;C investment income, annual ROE of 18.2%, and GBVPS of 17.2%. This performance enabled the</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0B3C61"/>
        </w:rPr>
        <w:t xml:space="preserve">2026 Proxy Statement | American Financial Group   </w:t>
      </w:r>
      <w:r>
        <w:rPr>
          <w:rFonts w:ascii="Arial" w:cs="Arial" w:eastAsia="Arial" w:hAnsi="Arial"/>
          <w:sz w:val="13"/>
          <w:szCs w:val="13"/>
          <w:b w:val="1"/>
          <w:bCs w:val="1"/>
          <w:color w:val="EA1D2D"/>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54565B"/>
        </w:rPr>
        <w:t>Company to return $707 million of capital to shareholders, comprised of $274 million of regular dividends, $334 million of special dividends and $99 million of share repurchases. As a result, under the Annual Bonus Plan the NEOs earned awards ranging from 99% to 108% of target, as Operating EPS fell below target level and ROE and relative GBVPS each exceeded target but did not reach the maximum level.</w:t>
      </w: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2025 Say-on-Pay Vote</w:t>
      </w:r>
    </w:p>
    <w:p>
      <w:pPr>
        <w:spacing w:after="0" w:line="99"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54565B"/>
        </w:rPr>
        <w:t>AFG annually holds an advisory vote on the compensation of its NEOs, commonly referred to as a Say-on-Pay vote. Our shareholders approved the compensation of our NEOs with approximately 93% of votes cast in 2025 in favor of our Say-on-Pay resolution. The Compensation Committee believes that the result of the advisory vote is valuable in assessing its compensation decisions and considers each year’s vote in its annual review of the Company’s executive compensation programs.</w:t>
      </w: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Compensation Committee Discussions with Co-CEOs</w:t>
      </w:r>
    </w:p>
    <w:p>
      <w:pPr>
        <w:spacing w:after="0" w:line="99"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54565B"/>
        </w:rPr>
        <w:t>Our Co-CEOs determine the compensation for the NEOs other than themselves, which is annually reviewed by the Compensation Committee. The Compensation Committee evaluates and makes recommendations to the Board and the Co-CEOs with respect to incentive compensation plans and equity-based plans.</w:t>
      </w:r>
    </w:p>
    <w:p>
      <w:pPr>
        <w:spacing w:after="0" w:line="36" w:lineRule="exact"/>
        <w:rPr>
          <w:sz w:val="20"/>
          <w:szCs w:val="20"/>
          <w:color w:val="auto"/>
        </w:rPr>
      </w:pPr>
    </w:p>
    <w:p>
      <w:pPr>
        <w:spacing w:after="0" w:line="251" w:lineRule="auto"/>
        <w:rPr>
          <w:sz w:val="20"/>
          <w:szCs w:val="20"/>
          <w:color w:val="auto"/>
        </w:rPr>
      </w:pPr>
      <w:r>
        <w:rPr>
          <w:rFonts w:ascii="Arial" w:cs="Arial" w:eastAsia="Arial" w:hAnsi="Arial"/>
          <w:sz w:val="16"/>
          <w:szCs w:val="16"/>
          <w:color w:val="54565B"/>
        </w:rPr>
        <w:t>The Co-CEOs meet with the Compensation Committee to discuss their assessment of the Company’s performance, their individual performance, current and potential future compensation levels, and the compensation practices of companies in the Compensation Peer Group. In those discussions, the Co-CEOs recommended that the Committee consider AFG’s business plan when establishing annual compensation objectives and targets. The Compensation Committee considers the annual business plan as part of its review and approval of corporate goals and objectives relevant to Co-CEO compensation, its evaluation of Co-CEO performance against those goals, and its determination of Co-CEO compensation levels. The Compensation Committee also recognizes that Mr. Berding, the Company’s President, closely collaborates with the Co-CEOs in executing AFG’s business plan and achieving its objectives. In recognition of this collaborative role, the compensation components applicable to Mr. Berding are identical to those of the Co-CEOs.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Base Salary</w:t>
      </w:r>
    </w:p>
    <w:p>
      <w:pPr>
        <w:spacing w:after="0" w:line="85"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54565B"/>
        </w:rPr>
        <w:t>The Company pays salaries designed to attract and retain superior leaders. After reviewing compiled data and materials as discussed above, the Compensation Committee determines annual base salaries for the Co-CEOs that are appropriate, in its subjective judgment, based on each Co-CEO’s responsibilities and performance and input from the Co-CEOs themselves. The Co-CEOs set salaries for the other NEOs, which are reviewed and approved by the Compensation Committee. The Co-CEOs believe that such salaries are appropriate in light of the levels of responsibility of such officers and their individual contributions to the Company’s success.</w:t>
      </w: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Annual Bonus Plan</w:t>
      </w:r>
    </w:p>
    <w:p>
      <w:pPr>
        <w:spacing w:after="0" w:line="85"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54565B"/>
        </w:rPr>
        <w:t>Under the Annual Bonus Plan, participants can earn annual performance-based cash awards based on AFG’s current year performance, as the Committee believes that the Company’s overall performance is substantially related to the performance of its executives.</w:t>
      </w:r>
    </w:p>
    <w:p>
      <w:pPr>
        <w:spacing w:after="0" w:line="5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54565B"/>
        </w:rPr>
        <w:t>The Committee conducted an in-depth evaluation of the Annual Bonus Plan in 2024 to better align annual incentive compensation with the achievement of operating results that the Committee believe are critical to long-term shareholder value. Specifically, the Committee structured annual incentive compensation designed to incentivize participants to produce outcomes aligned with the Company’s financial success and shareholder value creation; cover both specialty P&amp;C insurance performance and investment performance; be well-tailored and not incentivize improper risk-taking; and, ideally, include both absolute and relative measures comparing performance to peer companies. As part of its evaluation, which was assisted by Pay Governance, the Committee analyzed a wide variety of potential structures and metrics, benchmarked annual incentive plans of Compensation Peer Group companies and other insurance and non-insurance companies, reviewed incentive plan trends and prevailing practices generally for large public companies, and conducted discussions with the other independent directors, the Co-CEOs and other senior executives.</w:t>
      </w: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46 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54565B"/>
        </w:rPr>
        <w:t>As a result of this evaluation process, the Committee ultimately selected as metrics key financial measures that management utilizes internally and emphasizes externally in communications (e.g., earnings releases, earnings calls, securities filings and investor meetings) as critical drivers of its business performance and shareholder value creation. Those three metrics were also selected to measure performance under the 2025 Annual Plan:</w:t>
      </w:r>
    </w:p>
    <w:p>
      <w:pPr>
        <w:spacing w:after="0" w:line="70" w:lineRule="exact"/>
        <w:rPr>
          <w:sz w:val="20"/>
          <w:szCs w:val="20"/>
          <w:color w:val="auto"/>
        </w:rPr>
      </w:pPr>
    </w:p>
    <w:p>
      <w:pPr>
        <w:ind w:left="360" w:hanging="174"/>
        <w:spacing w:after="0"/>
        <w:tabs>
          <w:tab w:leader="none" w:pos="360" w:val="left"/>
        </w:tabs>
        <w:numPr>
          <w:ilvl w:val="0"/>
          <w:numId w:val="17"/>
        </w:numPr>
        <w:rPr>
          <w:rFonts w:ascii="Arial" w:cs="Arial" w:eastAsia="Arial" w:hAnsi="Arial"/>
          <w:sz w:val="16"/>
          <w:szCs w:val="16"/>
          <w:color w:val="54565B"/>
        </w:rPr>
      </w:pPr>
      <w:r>
        <w:rPr>
          <w:rFonts w:ascii="Arial" w:cs="Arial" w:eastAsia="Arial" w:hAnsi="Arial"/>
          <w:sz w:val="16"/>
          <w:szCs w:val="16"/>
          <w:color w:val="54565B"/>
        </w:rPr>
        <w:t>Operating EPS;</w:t>
      </w:r>
    </w:p>
    <w:p>
      <w:pPr>
        <w:spacing w:after="0" w:line="21" w:lineRule="exact"/>
        <w:rPr>
          <w:rFonts w:ascii="Arial" w:cs="Arial" w:eastAsia="Arial" w:hAnsi="Arial"/>
          <w:sz w:val="16"/>
          <w:szCs w:val="16"/>
          <w:color w:val="54565B"/>
        </w:rPr>
      </w:pPr>
    </w:p>
    <w:p>
      <w:pPr>
        <w:ind w:left="360" w:hanging="174"/>
        <w:spacing w:after="0"/>
        <w:tabs>
          <w:tab w:leader="none" w:pos="360" w:val="left"/>
        </w:tabs>
        <w:numPr>
          <w:ilvl w:val="0"/>
          <w:numId w:val="17"/>
        </w:numPr>
        <w:rPr>
          <w:rFonts w:ascii="Arial" w:cs="Arial" w:eastAsia="Arial" w:hAnsi="Arial"/>
          <w:sz w:val="16"/>
          <w:szCs w:val="16"/>
          <w:color w:val="54565B"/>
        </w:rPr>
      </w:pPr>
      <w:r>
        <w:rPr>
          <w:rFonts w:ascii="Arial" w:cs="Arial" w:eastAsia="Arial" w:hAnsi="Arial"/>
          <w:sz w:val="16"/>
          <w:szCs w:val="16"/>
          <w:color w:val="54565B"/>
        </w:rPr>
        <w:t>Annual return on equity (“Annual ROE”); and,</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17"/>
        </w:numPr>
        <w:rPr>
          <w:rFonts w:ascii="Arial" w:cs="Arial" w:eastAsia="Arial" w:hAnsi="Arial"/>
          <w:sz w:val="16"/>
          <w:szCs w:val="16"/>
          <w:color w:val="54565B"/>
        </w:rPr>
      </w:pPr>
      <w:r>
        <w:rPr>
          <w:rFonts w:ascii="Arial" w:cs="Arial" w:eastAsia="Arial" w:hAnsi="Arial"/>
          <w:sz w:val="16"/>
          <w:szCs w:val="16"/>
          <w:color w:val="54565B"/>
        </w:rPr>
        <w:t>Relative annual growth in book value per share (“GBVPS”).</w:t>
      </w:r>
    </w:p>
    <w:p>
      <w:pPr>
        <w:spacing w:after="0" w:line="7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54565B"/>
        </w:rPr>
        <w:t>The Compensation Committee also evaluated and discussed with Pay Governance the advantages and disadvantages of including two new metrics in the Annual Bonus Plan—Annual ROE and relative annual GBVPS—that were similar to, though different from, measures utilized in the Senior Executive LTIC (as defined below). Among the factors considered by the Committee were the difference in performance measurement periods (one year vs. three years); the different composition of peer companies for relative measurement of GBVPS performance (14 companies in the Compensation Peer Group and 23 companies in the Senior Executive LTIC comparison group at the time); the difference in relative weighting of the metrics between the two plans (three near-equally weighted metrics vs. two equally weighted metrics); target, maximum and threshold hurdle levels that are not aligned between the two plans; and the different participants in each plan (only the Co-CEOs and President are participants in the Senior Executive LTIC). The Committee also considered that the different performance measurement periods between the Annual Bonus Plan and the Senior Executive LTIC have the potential to create some constructive, natural tension when senior management is considering alternatives for key strategic and business initiatives, as certain decisions may positively impact metrics under one plan’s period while potentially creating offsetting results in the other plan period. Accordingly, notwithstanding some similarity, the Committee determined to include Annual ROE and relative annual GBVPS from among the many alternatives they considered because of the metrics’ criticality to AFG’s success and their heightened importance to investors.</w:t>
      </w:r>
    </w:p>
    <w:p>
      <w:pPr>
        <w:spacing w:after="0" w:line="6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54565B"/>
        </w:rPr>
        <w:t>All of the NEOs other than Mr. Thompson participate in the Annual Bonus Plan. Awards to the Co-CEOs and Mr. Berding under the 2025 Annual Bonus Plan were weighted as follows: Operating EPS: 34%; annual ROE: 33%; and relative annual GBVPS: 33%. These three metrics constituted 60% of the annual award (20% for each metric) for Messrs. Hertzman and Weiss, with the remaining 40% subjectively determined by the Co-CEOs based on individual performance. If earned, the Company pays cash awards under the Annual Bonus Plan in the first quarter for the prior year’s performance.</w:t>
      </w:r>
    </w:p>
    <w:p>
      <w:pPr>
        <w:spacing w:after="0" w:line="5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54565B"/>
        </w:rPr>
        <w:t>The Compensation Committee delineated levels of achievement under each Company performance component. For results below a defined threshold, no award would be earned for the relevant component. Hurdle levels were established to earn a threshold award, target award and maximum award. The Committee determined that exceeding the highest threshold under any component would reflect significant outperformance and merit payment of the maximum award amounts.</w:t>
      </w:r>
    </w:p>
    <w:p>
      <w:pPr>
        <w:spacing w:after="0" w:line="43"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54565B"/>
        </w:rPr>
        <w:t>The Compensation Committee established the 2025 performance metrics after reviewing the Company’s 2025 business plan prepared by management, as approved by the Co-CEOs and reviewed with the Board of Directors, as well as peers’ historical and projected financial performance and expectations for property and casualty industry business conditions and macroeconomic information. Results for each component are determined from the Company’s results reported consistent with past practice. The Annual Bonus Plan includes provisions for adjustments to performance thresholds in the event of a modification of the methodology of Company reporting for any measure. Any modification would result in an adjustment, as determined by the Compensation Committee, in a manner that provides for an identical award for the affected component based on identical adjusted results.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54565B"/>
        </w:rPr>
        <w:t>Mr. Thompson’s cash incentive compensation was determined based on numerous objective factors contained in multiple annual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54565B"/>
        </w:rPr>
        <w:t>and multi-year compensation programs applicable to Great American Insurance Company and the business units overseen by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54565B"/>
        </w:rPr>
        <w:t>Mr. Thompson. Amounts paid to Mr. Thompson each year, including during 2025, represent business results from prior years which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54565B"/>
        </w:rPr>
        <w:t>may have been affected by subsequent development of the business results. The bonus shown for Mr. Thompson reflects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54565B"/>
        </w:rPr>
        <w:t>amounts paid to him during 2025.</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3"/>
          <w:szCs w:val="13"/>
          <w:color w:val="0B3C61"/>
        </w:rPr>
        <w:t xml:space="preserve">2026 Proxy Statement | American Financial Group   </w:t>
      </w:r>
      <w:r>
        <w:rPr>
          <w:rFonts w:ascii="Arial" w:cs="Arial" w:eastAsia="Arial" w:hAnsi="Arial"/>
          <w:sz w:val="13"/>
          <w:szCs w:val="13"/>
          <w:b w:val="1"/>
          <w:bCs w:val="1"/>
          <w:color w:val="EA1D2D"/>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Annual Bonus Plan – 2025 Targets and Maximums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54565B"/>
        </w:rPr>
        <w:t>The target and maximum awards for each participant are set forth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680" w:type="dxa"/>
            <w:vAlign w:val="bottom"/>
            <w:shd w:val="clear" w:color="auto" w:fill="0B3C61"/>
          </w:tcPr>
          <w:p>
            <w:pPr>
              <w:spacing w:after="0"/>
              <w:rPr>
                <w:sz w:val="22"/>
                <w:szCs w:val="22"/>
                <w:color w:val="auto"/>
              </w:rPr>
            </w:pPr>
          </w:p>
        </w:tc>
        <w:tc>
          <w:tcPr>
            <w:tcW w:w="1320" w:type="dxa"/>
            <w:vAlign w:val="bottom"/>
            <w:shd w:val="clear" w:color="auto" w:fill="0B3C61"/>
          </w:tcPr>
          <w:p>
            <w:pPr>
              <w:spacing w:after="0"/>
              <w:rPr>
                <w:sz w:val="22"/>
                <w:szCs w:val="22"/>
                <w:color w:val="auto"/>
              </w:rPr>
            </w:pPr>
          </w:p>
        </w:tc>
        <w:tc>
          <w:tcPr>
            <w:tcW w:w="1180" w:type="dxa"/>
            <w:vAlign w:val="bottom"/>
            <w:shd w:val="clear" w:color="auto" w:fill="0B3C61"/>
          </w:tcPr>
          <w:p>
            <w:pPr>
              <w:spacing w:after="0"/>
              <w:rPr>
                <w:sz w:val="22"/>
                <w:szCs w:val="22"/>
                <w:color w:val="auto"/>
              </w:rPr>
            </w:pPr>
          </w:p>
        </w:tc>
        <w:tc>
          <w:tcPr>
            <w:tcW w:w="134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Relative Annual</w:t>
            </w:r>
          </w:p>
        </w:tc>
        <w:tc>
          <w:tcPr>
            <w:tcW w:w="1280" w:type="dxa"/>
            <w:vAlign w:val="bottom"/>
            <w:shd w:val="clear" w:color="auto" w:fill="0B3C61"/>
          </w:tcPr>
          <w:p>
            <w:pPr>
              <w:spacing w:after="0"/>
              <w:rPr>
                <w:sz w:val="22"/>
                <w:szCs w:val="22"/>
                <w:color w:val="auto"/>
              </w:rPr>
            </w:pPr>
          </w:p>
        </w:tc>
        <w:tc>
          <w:tcPr>
            <w:tcW w:w="1160" w:type="dxa"/>
            <w:vAlign w:val="bottom"/>
            <w:shd w:val="clear" w:color="auto" w:fill="0B3C61"/>
          </w:tcPr>
          <w:p>
            <w:pPr>
              <w:spacing w:after="0"/>
              <w:rPr>
                <w:sz w:val="22"/>
                <w:szCs w:val="22"/>
                <w:color w:val="auto"/>
              </w:rPr>
            </w:pPr>
          </w:p>
        </w:tc>
        <w:tc>
          <w:tcPr>
            <w:tcW w:w="1440" w:type="dxa"/>
            <w:vAlign w:val="bottom"/>
            <w:shd w:val="clear" w:color="auto" w:fill="0B3C61"/>
          </w:tcPr>
          <w:p>
            <w:pPr>
              <w:spacing w:after="0"/>
              <w:rPr>
                <w:sz w:val="22"/>
                <w:szCs w:val="22"/>
                <w:color w:val="auto"/>
              </w:rPr>
            </w:pPr>
          </w:p>
        </w:tc>
      </w:tr>
      <w:tr>
        <w:trPr>
          <w:trHeight w:val="162"/>
        </w:trPr>
        <w:tc>
          <w:tcPr>
            <w:tcW w:w="1680" w:type="dxa"/>
            <w:vAlign w:val="bottom"/>
            <w:shd w:val="clear" w:color="auto" w:fill="0B3C61"/>
          </w:tcPr>
          <w:p>
            <w:pPr>
              <w:spacing w:after="0"/>
              <w:rPr>
                <w:sz w:val="14"/>
                <w:szCs w:val="14"/>
                <w:color w:val="auto"/>
              </w:rPr>
            </w:pPr>
          </w:p>
        </w:tc>
        <w:tc>
          <w:tcPr>
            <w:tcW w:w="132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Operating EPS</w:t>
            </w:r>
          </w:p>
        </w:tc>
        <w:tc>
          <w:tcPr>
            <w:tcW w:w="118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Annual ROE</w:t>
            </w:r>
          </w:p>
        </w:tc>
        <w:tc>
          <w:tcPr>
            <w:tcW w:w="134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GBVPS Target</w:t>
            </w:r>
          </w:p>
        </w:tc>
        <w:tc>
          <w:tcPr>
            <w:tcW w:w="1280" w:type="dxa"/>
            <w:vAlign w:val="bottom"/>
            <w:shd w:val="clear" w:color="auto" w:fill="0B3C61"/>
          </w:tcPr>
          <w:p>
            <w:pPr>
              <w:jc w:val="center"/>
              <w:ind w:right="48"/>
              <w:spacing w:after="0"/>
              <w:rPr>
                <w:sz w:val="20"/>
                <w:szCs w:val="20"/>
                <w:color w:val="auto"/>
              </w:rPr>
            </w:pPr>
            <w:r>
              <w:rPr>
                <w:rFonts w:ascii="Arial" w:cs="Arial" w:eastAsia="Arial" w:hAnsi="Arial"/>
                <w:sz w:val="14"/>
                <w:szCs w:val="14"/>
                <w:color w:val="FFFFFF"/>
              </w:rPr>
              <w:t>Discretionary</w:t>
            </w:r>
          </w:p>
        </w:tc>
        <w:tc>
          <w:tcPr>
            <w:tcW w:w="1160" w:type="dxa"/>
            <w:vAlign w:val="bottom"/>
            <w:shd w:val="clear" w:color="auto" w:fill="0B3C61"/>
          </w:tcPr>
          <w:p>
            <w:pPr>
              <w:jc w:val="center"/>
              <w:spacing w:after="0"/>
              <w:rPr>
                <w:sz w:val="20"/>
                <w:szCs w:val="20"/>
                <w:color w:val="auto"/>
              </w:rPr>
            </w:pPr>
            <w:r>
              <w:rPr>
                <w:rFonts w:ascii="Arial" w:cs="Arial" w:eastAsia="Arial" w:hAnsi="Arial"/>
                <w:sz w:val="14"/>
                <w:szCs w:val="14"/>
                <w:color w:val="FFFFFF"/>
                <w:w w:val="96"/>
              </w:rPr>
              <w:t>Total</w:t>
            </w:r>
          </w:p>
        </w:tc>
        <w:tc>
          <w:tcPr>
            <w:tcW w:w="1440" w:type="dxa"/>
            <w:vAlign w:val="bottom"/>
            <w:shd w:val="clear" w:color="auto" w:fill="0B3C61"/>
          </w:tcPr>
          <w:p>
            <w:pPr>
              <w:spacing w:after="0"/>
              <w:rPr>
                <w:sz w:val="14"/>
                <w:szCs w:val="14"/>
                <w:color w:val="auto"/>
              </w:rPr>
            </w:pPr>
          </w:p>
        </w:tc>
      </w:tr>
      <w:tr>
        <w:trPr>
          <w:trHeight w:val="190"/>
        </w:trPr>
        <w:tc>
          <w:tcPr>
            <w:tcW w:w="1680" w:type="dxa"/>
            <w:vAlign w:val="bottom"/>
            <w:shd w:val="clear" w:color="auto" w:fill="0B3C61"/>
          </w:tcPr>
          <w:p>
            <w:pPr>
              <w:ind w:left="240"/>
              <w:spacing w:after="0"/>
              <w:rPr>
                <w:sz w:val="20"/>
                <w:szCs w:val="20"/>
                <w:color w:val="auto"/>
              </w:rPr>
            </w:pPr>
            <w:r>
              <w:rPr>
                <w:rFonts w:ascii="Arial" w:cs="Arial" w:eastAsia="Arial" w:hAnsi="Arial"/>
                <w:sz w:val="14"/>
                <w:szCs w:val="14"/>
                <w:color w:val="FFFFFF"/>
              </w:rPr>
              <w:t>Name</w:t>
            </w:r>
          </w:p>
        </w:tc>
        <w:tc>
          <w:tcPr>
            <w:tcW w:w="1320" w:type="dxa"/>
            <w:vAlign w:val="bottom"/>
            <w:shd w:val="clear" w:color="auto" w:fill="0B3C61"/>
          </w:tcPr>
          <w:p>
            <w:pPr>
              <w:jc w:val="center"/>
              <w:spacing w:after="0"/>
              <w:rPr>
                <w:sz w:val="20"/>
                <w:szCs w:val="20"/>
                <w:color w:val="auto"/>
              </w:rPr>
            </w:pPr>
            <w:r>
              <w:rPr>
                <w:rFonts w:ascii="Arial" w:cs="Arial" w:eastAsia="Arial" w:hAnsi="Arial"/>
                <w:sz w:val="14"/>
                <w:szCs w:val="14"/>
                <w:color w:val="FFFFFF"/>
                <w:w w:val="97"/>
              </w:rPr>
              <w:t>Target ($)</w:t>
            </w:r>
          </w:p>
        </w:tc>
        <w:tc>
          <w:tcPr>
            <w:tcW w:w="118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Target ($)</w:t>
            </w:r>
          </w:p>
        </w:tc>
        <w:tc>
          <w:tcPr>
            <w:tcW w:w="134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w:t>
            </w:r>
          </w:p>
        </w:tc>
        <w:tc>
          <w:tcPr>
            <w:tcW w:w="128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Target ($)</w:t>
            </w:r>
          </w:p>
        </w:tc>
        <w:tc>
          <w:tcPr>
            <w:tcW w:w="116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Target ($)</w:t>
            </w:r>
          </w:p>
        </w:tc>
        <w:tc>
          <w:tcPr>
            <w:tcW w:w="1440" w:type="dxa"/>
            <w:vAlign w:val="bottom"/>
            <w:shd w:val="clear" w:color="auto" w:fill="0B3C61"/>
          </w:tcPr>
          <w:p>
            <w:pPr>
              <w:ind w:left="260"/>
              <w:spacing w:after="0"/>
              <w:rPr>
                <w:sz w:val="20"/>
                <w:szCs w:val="20"/>
                <w:color w:val="auto"/>
              </w:rPr>
            </w:pPr>
            <w:r>
              <w:rPr>
                <w:rFonts w:ascii="Arial" w:cs="Arial" w:eastAsia="Arial" w:hAnsi="Arial"/>
                <w:sz w:val="14"/>
                <w:szCs w:val="14"/>
                <w:color w:val="FFFFFF"/>
              </w:rPr>
              <w:t>Maximum ($)</w:t>
            </w:r>
          </w:p>
        </w:tc>
      </w:tr>
      <w:tr>
        <w:trPr>
          <w:trHeight w:val="62"/>
        </w:trPr>
        <w:tc>
          <w:tcPr>
            <w:tcW w:w="1680" w:type="dxa"/>
            <w:vAlign w:val="bottom"/>
            <w:shd w:val="clear" w:color="auto" w:fill="0B3C61"/>
          </w:tcPr>
          <w:p>
            <w:pPr>
              <w:spacing w:after="0"/>
              <w:rPr>
                <w:sz w:val="5"/>
                <w:szCs w:val="5"/>
                <w:color w:val="auto"/>
              </w:rPr>
            </w:pPr>
          </w:p>
        </w:tc>
        <w:tc>
          <w:tcPr>
            <w:tcW w:w="1320" w:type="dxa"/>
            <w:vAlign w:val="bottom"/>
            <w:shd w:val="clear" w:color="auto" w:fill="0B3C61"/>
          </w:tcPr>
          <w:p>
            <w:pPr>
              <w:spacing w:after="0"/>
              <w:rPr>
                <w:sz w:val="5"/>
                <w:szCs w:val="5"/>
                <w:color w:val="auto"/>
              </w:rPr>
            </w:pPr>
          </w:p>
        </w:tc>
        <w:tc>
          <w:tcPr>
            <w:tcW w:w="1180" w:type="dxa"/>
            <w:vAlign w:val="bottom"/>
            <w:shd w:val="clear" w:color="auto" w:fill="0B3C61"/>
          </w:tcPr>
          <w:p>
            <w:pPr>
              <w:spacing w:after="0"/>
              <w:rPr>
                <w:sz w:val="5"/>
                <w:szCs w:val="5"/>
                <w:color w:val="auto"/>
              </w:rPr>
            </w:pPr>
          </w:p>
        </w:tc>
        <w:tc>
          <w:tcPr>
            <w:tcW w:w="1340" w:type="dxa"/>
            <w:vAlign w:val="bottom"/>
            <w:shd w:val="clear" w:color="auto" w:fill="0B3C61"/>
          </w:tcPr>
          <w:p>
            <w:pPr>
              <w:spacing w:after="0"/>
              <w:rPr>
                <w:sz w:val="5"/>
                <w:szCs w:val="5"/>
                <w:color w:val="auto"/>
              </w:rPr>
            </w:pPr>
          </w:p>
        </w:tc>
        <w:tc>
          <w:tcPr>
            <w:tcW w:w="1280" w:type="dxa"/>
            <w:vAlign w:val="bottom"/>
            <w:shd w:val="clear" w:color="auto" w:fill="0B3C61"/>
          </w:tcPr>
          <w:p>
            <w:pPr>
              <w:spacing w:after="0"/>
              <w:rPr>
                <w:sz w:val="5"/>
                <w:szCs w:val="5"/>
                <w:color w:val="auto"/>
              </w:rPr>
            </w:pPr>
          </w:p>
        </w:tc>
        <w:tc>
          <w:tcPr>
            <w:tcW w:w="1160" w:type="dxa"/>
            <w:vAlign w:val="bottom"/>
            <w:shd w:val="clear" w:color="auto" w:fill="0B3C61"/>
          </w:tcPr>
          <w:p>
            <w:pPr>
              <w:spacing w:after="0"/>
              <w:rPr>
                <w:sz w:val="5"/>
                <w:szCs w:val="5"/>
                <w:color w:val="auto"/>
              </w:rPr>
            </w:pPr>
          </w:p>
        </w:tc>
        <w:tc>
          <w:tcPr>
            <w:tcW w:w="1440" w:type="dxa"/>
            <w:vAlign w:val="bottom"/>
            <w:shd w:val="clear" w:color="auto" w:fill="0B3C61"/>
          </w:tcPr>
          <w:p>
            <w:pPr>
              <w:spacing w:after="0"/>
              <w:rPr>
                <w:sz w:val="5"/>
                <w:szCs w:val="5"/>
                <w:color w:val="auto"/>
              </w:rPr>
            </w:pPr>
          </w:p>
        </w:tc>
      </w:tr>
      <w:tr>
        <w:trPr>
          <w:trHeight w:val="268"/>
        </w:trPr>
        <w:tc>
          <w:tcPr>
            <w:tcW w:w="1680" w:type="dxa"/>
            <w:vAlign w:val="bottom"/>
          </w:tcPr>
          <w:p>
            <w:pPr>
              <w:ind w:left="240"/>
              <w:spacing w:after="0"/>
              <w:rPr>
                <w:sz w:val="20"/>
                <w:szCs w:val="20"/>
                <w:color w:val="auto"/>
              </w:rPr>
            </w:pPr>
            <w:r>
              <w:rPr>
                <w:rFonts w:ascii="Arial" w:cs="Arial" w:eastAsia="Arial" w:hAnsi="Arial"/>
                <w:sz w:val="14"/>
                <w:szCs w:val="14"/>
                <w:b w:val="1"/>
                <w:bCs w:val="1"/>
                <w:color w:val="54565B"/>
              </w:rPr>
              <w:t>Carl H. Lindner III</w:t>
            </w:r>
          </w:p>
        </w:tc>
        <w:tc>
          <w:tcPr>
            <w:tcW w:w="1320" w:type="dxa"/>
            <w:vAlign w:val="bottom"/>
          </w:tcPr>
          <w:p>
            <w:pPr>
              <w:jc w:val="center"/>
              <w:spacing w:after="0"/>
              <w:rPr>
                <w:sz w:val="20"/>
                <w:szCs w:val="20"/>
                <w:color w:val="auto"/>
              </w:rPr>
            </w:pPr>
            <w:r>
              <w:rPr>
                <w:rFonts w:ascii="Arial" w:cs="Arial" w:eastAsia="Arial" w:hAnsi="Arial"/>
                <w:sz w:val="14"/>
                <w:szCs w:val="14"/>
                <w:color w:val="54565B"/>
              </w:rPr>
              <w:t>782,000</w:t>
            </w:r>
          </w:p>
        </w:tc>
        <w:tc>
          <w:tcPr>
            <w:tcW w:w="1180" w:type="dxa"/>
            <w:vAlign w:val="bottom"/>
          </w:tcPr>
          <w:p>
            <w:pPr>
              <w:jc w:val="center"/>
              <w:spacing w:after="0"/>
              <w:rPr>
                <w:sz w:val="20"/>
                <w:szCs w:val="20"/>
                <w:color w:val="auto"/>
              </w:rPr>
            </w:pPr>
            <w:r>
              <w:rPr>
                <w:rFonts w:ascii="Arial" w:cs="Arial" w:eastAsia="Arial" w:hAnsi="Arial"/>
                <w:sz w:val="14"/>
                <w:szCs w:val="14"/>
                <w:color w:val="54565B"/>
              </w:rPr>
              <w:t>759,000</w:t>
            </w:r>
          </w:p>
        </w:tc>
        <w:tc>
          <w:tcPr>
            <w:tcW w:w="1340" w:type="dxa"/>
            <w:vAlign w:val="bottom"/>
          </w:tcPr>
          <w:p>
            <w:pPr>
              <w:jc w:val="center"/>
              <w:spacing w:after="0"/>
              <w:rPr>
                <w:sz w:val="20"/>
                <w:szCs w:val="20"/>
                <w:color w:val="auto"/>
              </w:rPr>
            </w:pPr>
            <w:r>
              <w:rPr>
                <w:rFonts w:ascii="Arial" w:cs="Arial" w:eastAsia="Arial" w:hAnsi="Arial"/>
                <w:sz w:val="14"/>
                <w:szCs w:val="14"/>
                <w:color w:val="54565B"/>
              </w:rPr>
              <w:t>759,000</w:t>
            </w:r>
          </w:p>
        </w:tc>
        <w:tc>
          <w:tcPr>
            <w:tcW w:w="1280" w:type="dxa"/>
            <w:vAlign w:val="bottom"/>
          </w:tcPr>
          <w:p>
            <w:pPr>
              <w:jc w:val="center"/>
              <w:spacing w:after="0"/>
              <w:rPr>
                <w:sz w:val="20"/>
                <w:szCs w:val="20"/>
                <w:color w:val="auto"/>
              </w:rPr>
            </w:pPr>
            <w:r>
              <w:rPr>
                <w:rFonts w:ascii="Arial" w:cs="Arial" w:eastAsia="Arial" w:hAnsi="Arial"/>
                <w:sz w:val="14"/>
                <w:szCs w:val="14"/>
                <w:color w:val="54565B"/>
                <w:w w:val="99"/>
              </w:rPr>
              <w:t>—</w:t>
            </w:r>
          </w:p>
        </w:tc>
        <w:tc>
          <w:tcPr>
            <w:tcW w:w="1160" w:type="dxa"/>
            <w:vAlign w:val="bottom"/>
          </w:tcPr>
          <w:p>
            <w:pPr>
              <w:jc w:val="center"/>
              <w:spacing w:after="0"/>
              <w:rPr>
                <w:sz w:val="20"/>
                <w:szCs w:val="20"/>
                <w:color w:val="auto"/>
              </w:rPr>
            </w:pPr>
            <w:r>
              <w:rPr>
                <w:rFonts w:ascii="Arial" w:cs="Arial" w:eastAsia="Arial" w:hAnsi="Arial"/>
                <w:sz w:val="14"/>
                <w:szCs w:val="14"/>
                <w:color w:val="54565B"/>
              </w:rPr>
              <w:t>2,300,000</w:t>
            </w:r>
          </w:p>
        </w:tc>
        <w:tc>
          <w:tcPr>
            <w:tcW w:w="1440" w:type="dxa"/>
            <w:vAlign w:val="bottom"/>
          </w:tcPr>
          <w:p>
            <w:pPr>
              <w:jc w:val="center"/>
              <w:ind w:right="8"/>
              <w:spacing w:after="0"/>
              <w:rPr>
                <w:sz w:val="20"/>
                <w:szCs w:val="20"/>
                <w:color w:val="auto"/>
              </w:rPr>
            </w:pPr>
            <w:r>
              <w:rPr>
                <w:rFonts w:ascii="Arial" w:cs="Arial" w:eastAsia="Arial" w:hAnsi="Arial"/>
                <w:sz w:val="14"/>
                <w:szCs w:val="14"/>
                <w:color w:val="54565B"/>
              </w:rPr>
              <w:t>3,450,000</w:t>
            </w:r>
          </w:p>
        </w:tc>
      </w:tr>
      <w:tr>
        <w:trPr>
          <w:trHeight w:val="29"/>
        </w:trPr>
        <w:tc>
          <w:tcPr>
            <w:tcW w:w="1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168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b w:val="1"/>
                <w:bCs w:val="1"/>
                <w:color w:val="54565B"/>
              </w:rPr>
              <w:t>S. Craig Lindner</w:t>
            </w:r>
          </w:p>
        </w:tc>
        <w:tc>
          <w:tcPr>
            <w:tcW w:w="132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782,000</w:t>
            </w:r>
          </w:p>
        </w:tc>
        <w:tc>
          <w:tcPr>
            <w:tcW w:w="118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759,000</w:t>
            </w:r>
          </w:p>
        </w:tc>
        <w:tc>
          <w:tcPr>
            <w:tcW w:w="134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759,000</w:t>
            </w:r>
          </w:p>
        </w:tc>
        <w:tc>
          <w:tcPr>
            <w:tcW w:w="128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w w:val="99"/>
              </w:rPr>
              <w:t>—</w:t>
            </w:r>
          </w:p>
        </w:tc>
        <w:tc>
          <w:tcPr>
            <w:tcW w:w="116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2,300,000</w:t>
            </w:r>
          </w:p>
        </w:tc>
        <w:tc>
          <w:tcPr>
            <w:tcW w:w="1440" w:type="dxa"/>
            <w:vAlign w:val="bottom"/>
            <w:tcBorders>
              <w:bottom w:val="single" w:sz="8" w:color="EAF7FA"/>
            </w:tcBorders>
            <w:shd w:val="clear" w:color="auto" w:fill="EAF7FA"/>
          </w:tcPr>
          <w:p>
            <w:pPr>
              <w:jc w:val="center"/>
              <w:ind w:right="8"/>
              <w:spacing w:after="0"/>
              <w:rPr>
                <w:sz w:val="20"/>
                <w:szCs w:val="20"/>
                <w:color w:val="auto"/>
              </w:rPr>
            </w:pPr>
            <w:r>
              <w:rPr>
                <w:rFonts w:ascii="Arial" w:cs="Arial" w:eastAsia="Arial" w:hAnsi="Arial"/>
                <w:sz w:val="14"/>
                <w:szCs w:val="14"/>
                <w:color w:val="54565B"/>
              </w:rPr>
              <w:t>3,450,000</w:t>
            </w:r>
          </w:p>
        </w:tc>
      </w:tr>
      <w:tr>
        <w:trPr>
          <w:trHeight w:val="227"/>
        </w:trPr>
        <w:tc>
          <w:tcPr>
            <w:tcW w:w="1680" w:type="dxa"/>
            <w:vAlign w:val="bottom"/>
          </w:tcPr>
          <w:p>
            <w:pPr>
              <w:ind w:left="240"/>
              <w:spacing w:after="0"/>
              <w:rPr>
                <w:sz w:val="20"/>
                <w:szCs w:val="20"/>
                <w:color w:val="auto"/>
              </w:rPr>
            </w:pPr>
            <w:r>
              <w:rPr>
                <w:rFonts w:ascii="Arial" w:cs="Arial" w:eastAsia="Arial" w:hAnsi="Arial"/>
                <w:sz w:val="14"/>
                <w:szCs w:val="14"/>
                <w:b w:val="1"/>
                <w:bCs w:val="1"/>
                <w:color w:val="54565B"/>
              </w:rPr>
              <w:t>John B. Berding</w:t>
            </w:r>
          </w:p>
        </w:tc>
        <w:tc>
          <w:tcPr>
            <w:tcW w:w="1320" w:type="dxa"/>
            <w:vAlign w:val="bottom"/>
          </w:tcPr>
          <w:p>
            <w:pPr>
              <w:jc w:val="center"/>
              <w:spacing w:after="0"/>
              <w:rPr>
                <w:sz w:val="20"/>
                <w:szCs w:val="20"/>
                <w:color w:val="auto"/>
              </w:rPr>
            </w:pPr>
            <w:r>
              <w:rPr>
                <w:rFonts w:ascii="Arial" w:cs="Arial" w:eastAsia="Arial" w:hAnsi="Arial"/>
                <w:sz w:val="14"/>
                <w:szCs w:val="14"/>
                <w:color w:val="54565B"/>
              </w:rPr>
              <w:t>595,000</w:t>
            </w:r>
          </w:p>
        </w:tc>
        <w:tc>
          <w:tcPr>
            <w:tcW w:w="1180" w:type="dxa"/>
            <w:vAlign w:val="bottom"/>
          </w:tcPr>
          <w:p>
            <w:pPr>
              <w:jc w:val="center"/>
              <w:spacing w:after="0"/>
              <w:rPr>
                <w:sz w:val="20"/>
                <w:szCs w:val="20"/>
                <w:color w:val="auto"/>
              </w:rPr>
            </w:pPr>
            <w:r>
              <w:rPr>
                <w:rFonts w:ascii="Arial" w:cs="Arial" w:eastAsia="Arial" w:hAnsi="Arial"/>
                <w:sz w:val="14"/>
                <w:szCs w:val="14"/>
                <w:color w:val="54565B"/>
              </w:rPr>
              <w:t>577,500</w:t>
            </w:r>
          </w:p>
        </w:tc>
        <w:tc>
          <w:tcPr>
            <w:tcW w:w="1340" w:type="dxa"/>
            <w:vAlign w:val="bottom"/>
          </w:tcPr>
          <w:p>
            <w:pPr>
              <w:jc w:val="center"/>
              <w:spacing w:after="0"/>
              <w:rPr>
                <w:sz w:val="20"/>
                <w:szCs w:val="20"/>
                <w:color w:val="auto"/>
              </w:rPr>
            </w:pPr>
            <w:r>
              <w:rPr>
                <w:rFonts w:ascii="Arial" w:cs="Arial" w:eastAsia="Arial" w:hAnsi="Arial"/>
                <w:sz w:val="14"/>
                <w:szCs w:val="14"/>
                <w:color w:val="54565B"/>
              </w:rPr>
              <w:t>577,500</w:t>
            </w:r>
          </w:p>
        </w:tc>
        <w:tc>
          <w:tcPr>
            <w:tcW w:w="1280" w:type="dxa"/>
            <w:vAlign w:val="bottom"/>
          </w:tcPr>
          <w:p>
            <w:pPr>
              <w:jc w:val="center"/>
              <w:spacing w:after="0"/>
              <w:rPr>
                <w:sz w:val="20"/>
                <w:szCs w:val="20"/>
                <w:color w:val="auto"/>
              </w:rPr>
            </w:pPr>
            <w:r>
              <w:rPr>
                <w:rFonts w:ascii="Arial" w:cs="Arial" w:eastAsia="Arial" w:hAnsi="Arial"/>
                <w:sz w:val="14"/>
                <w:szCs w:val="14"/>
                <w:color w:val="54565B"/>
                <w:w w:val="99"/>
              </w:rPr>
              <w:t>—</w:t>
            </w:r>
          </w:p>
        </w:tc>
        <w:tc>
          <w:tcPr>
            <w:tcW w:w="1160" w:type="dxa"/>
            <w:vAlign w:val="bottom"/>
          </w:tcPr>
          <w:p>
            <w:pPr>
              <w:jc w:val="center"/>
              <w:spacing w:after="0"/>
              <w:rPr>
                <w:sz w:val="20"/>
                <w:szCs w:val="20"/>
                <w:color w:val="auto"/>
              </w:rPr>
            </w:pPr>
            <w:r>
              <w:rPr>
                <w:rFonts w:ascii="Arial" w:cs="Arial" w:eastAsia="Arial" w:hAnsi="Arial"/>
                <w:sz w:val="14"/>
                <w:szCs w:val="14"/>
                <w:color w:val="54565B"/>
              </w:rPr>
              <w:t>1,750,000</w:t>
            </w:r>
          </w:p>
        </w:tc>
        <w:tc>
          <w:tcPr>
            <w:tcW w:w="1440" w:type="dxa"/>
            <w:vAlign w:val="bottom"/>
          </w:tcPr>
          <w:p>
            <w:pPr>
              <w:jc w:val="center"/>
              <w:ind w:right="8"/>
              <w:spacing w:after="0"/>
              <w:rPr>
                <w:sz w:val="20"/>
                <w:szCs w:val="20"/>
                <w:color w:val="auto"/>
              </w:rPr>
            </w:pPr>
            <w:r>
              <w:rPr>
                <w:rFonts w:ascii="Arial" w:cs="Arial" w:eastAsia="Arial" w:hAnsi="Arial"/>
                <w:sz w:val="14"/>
                <w:szCs w:val="14"/>
                <w:color w:val="54565B"/>
              </w:rPr>
              <w:t>2,450,000</w:t>
            </w:r>
          </w:p>
        </w:tc>
      </w:tr>
      <w:tr>
        <w:trPr>
          <w:trHeight w:val="29"/>
        </w:trPr>
        <w:tc>
          <w:tcPr>
            <w:tcW w:w="1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168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b w:val="1"/>
                <w:bCs w:val="1"/>
                <w:color w:val="54565B"/>
              </w:rPr>
              <w:t>Brian S. Hertzman</w:t>
            </w:r>
          </w:p>
        </w:tc>
        <w:tc>
          <w:tcPr>
            <w:tcW w:w="132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b w:val="1"/>
                <w:bCs w:val="1"/>
                <w:color w:val="54565B"/>
              </w:rPr>
              <w:t>​</w:t>
            </w:r>
            <w:r>
              <w:rPr>
                <w:rFonts w:ascii="Arial" w:cs="Arial" w:eastAsia="Arial" w:hAnsi="Arial"/>
                <w:sz w:val="14"/>
                <w:szCs w:val="14"/>
                <w:color w:val="54565B"/>
              </w:rPr>
              <w:t>84,000</w:t>
            </w:r>
          </w:p>
        </w:tc>
        <w:tc>
          <w:tcPr>
            <w:tcW w:w="118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84,000​</w:t>
            </w:r>
          </w:p>
        </w:tc>
        <w:tc>
          <w:tcPr>
            <w:tcW w:w="134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84,000​</w:t>
            </w:r>
          </w:p>
        </w:tc>
        <w:tc>
          <w:tcPr>
            <w:tcW w:w="1280" w:type="dxa"/>
            <w:vAlign w:val="bottom"/>
            <w:tcBorders>
              <w:bottom w:val="single" w:sz="8" w:color="EAF7FA"/>
            </w:tcBorders>
            <w:shd w:val="clear" w:color="auto" w:fill="EAF7FA"/>
          </w:tcPr>
          <w:p>
            <w:pPr>
              <w:jc w:val="center"/>
              <w:ind w:right="8"/>
              <w:spacing w:after="0"/>
              <w:rPr>
                <w:sz w:val="20"/>
                <w:szCs w:val="20"/>
                <w:color w:val="auto"/>
              </w:rPr>
            </w:pPr>
            <w:r>
              <w:rPr>
                <w:rFonts w:ascii="Arial" w:cs="Arial" w:eastAsia="Arial" w:hAnsi="Arial"/>
                <w:sz w:val="14"/>
                <w:szCs w:val="14"/>
                <w:color w:val="54565B"/>
              </w:rPr>
              <w:t>​168,000</w:t>
            </w:r>
          </w:p>
        </w:tc>
        <w:tc>
          <w:tcPr>
            <w:tcW w:w="116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420,000​</w:t>
            </w:r>
          </w:p>
        </w:tc>
        <w:tc>
          <w:tcPr>
            <w:tcW w:w="1440" w:type="dxa"/>
            <w:vAlign w:val="bottom"/>
            <w:tcBorders>
              <w:bottom w:val="single" w:sz="8" w:color="EAF7FA"/>
            </w:tcBorders>
            <w:shd w:val="clear" w:color="auto" w:fill="EAF7FA"/>
          </w:tcPr>
          <w:p>
            <w:pPr>
              <w:jc w:val="center"/>
              <w:ind w:right="8"/>
              <w:spacing w:after="0"/>
              <w:rPr>
                <w:sz w:val="20"/>
                <w:szCs w:val="20"/>
                <w:color w:val="auto"/>
              </w:rPr>
            </w:pPr>
            <w:r>
              <w:rPr>
                <w:rFonts w:ascii="Arial" w:cs="Arial" w:eastAsia="Arial" w:hAnsi="Arial"/>
                <w:sz w:val="14"/>
                <w:szCs w:val="14"/>
                <w:color w:val="54565B"/>
              </w:rPr>
              <w:t>525,000​</w:t>
            </w:r>
          </w:p>
        </w:tc>
      </w:tr>
      <w:tr>
        <w:trPr>
          <w:trHeight w:val="228"/>
        </w:trPr>
        <w:tc>
          <w:tcPr>
            <w:tcW w:w="1680" w:type="dxa"/>
            <w:vAlign w:val="bottom"/>
          </w:tcPr>
          <w:p>
            <w:pPr>
              <w:ind w:left="240"/>
              <w:spacing w:after="0"/>
              <w:rPr>
                <w:sz w:val="20"/>
                <w:szCs w:val="20"/>
                <w:color w:val="auto"/>
              </w:rPr>
            </w:pPr>
            <w:r>
              <w:rPr>
                <w:rFonts w:ascii="Arial" w:cs="Arial" w:eastAsia="Arial" w:hAnsi="Arial"/>
                <w:sz w:val="14"/>
                <w:szCs w:val="14"/>
                <w:b w:val="1"/>
                <w:bCs w:val="1"/>
                <w:color w:val="54565B"/>
              </w:rPr>
              <w:t>Mark A. Weiss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54565B"/>
              </w:rPr>
              <w:t>​</w:t>
            </w:r>
            <w:r>
              <w:rPr>
                <w:rFonts w:ascii="Arial" w:cs="Arial" w:eastAsia="Arial" w:hAnsi="Arial"/>
                <w:sz w:val="14"/>
                <w:szCs w:val="14"/>
                <w:color w:val="54565B"/>
              </w:rPr>
              <w:t>80,000</w:t>
            </w:r>
          </w:p>
        </w:tc>
        <w:tc>
          <w:tcPr>
            <w:tcW w:w="1180" w:type="dxa"/>
            <w:vAlign w:val="bottom"/>
          </w:tcPr>
          <w:p>
            <w:pPr>
              <w:jc w:val="center"/>
              <w:spacing w:after="0"/>
              <w:rPr>
                <w:sz w:val="20"/>
                <w:szCs w:val="20"/>
                <w:color w:val="auto"/>
              </w:rPr>
            </w:pPr>
            <w:r>
              <w:rPr>
                <w:rFonts w:ascii="Arial" w:cs="Arial" w:eastAsia="Arial" w:hAnsi="Arial"/>
                <w:sz w:val="14"/>
                <w:szCs w:val="14"/>
                <w:color w:val="54565B"/>
              </w:rPr>
              <w:t>80,000​</w:t>
            </w:r>
          </w:p>
        </w:tc>
        <w:tc>
          <w:tcPr>
            <w:tcW w:w="1340" w:type="dxa"/>
            <w:vAlign w:val="bottom"/>
          </w:tcPr>
          <w:p>
            <w:pPr>
              <w:jc w:val="center"/>
              <w:spacing w:after="0"/>
              <w:rPr>
                <w:sz w:val="20"/>
                <w:szCs w:val="20"/>
                <w:color w:val="auto"/>
              </w:rPr>
            </w:pPr>
            <w:r>
              <w:rPr>
                <w:rFonts w:ascii="Arial" w:cs="Arial" w:eastAsia="Arial" w:hAnsi="Arial"/>
                <w:sz w:val="14"/>
                <w:szCs w:val="14"/>
                <w:color w:val="54565B"/>
              </w:rPr>
              <w:t>80,000​</w:t>
            </w:r>
          </w:p>
        </w:tc>
        <w:tc>
          <w:tcPr>
            <w:tcW w:w="1280" w:type="dxa"/>
            <w:vAlign w:val="bottom"/>
          </w:tcPr>
          <w:p>
            <w:pPr>
              <w:jc w:val="center"/>
              <w:ind w:right="8"/>
              <w:spacing w:after="0"/>
              <w:rPr>
                <w:sz w:val="20"/>
                <w:szCs w:val="20"/>
                <w:color w:val="auto"/>
              </w:rPr>
            </w:pPr>
            <w:r>
              <w:rPr>
                <w:rFonts w:ascii="Arial" w:cs="Arial" w:eastAsia="Arial" w:hAnsi="Arial"/>
                <w:sz w:val="14"/>
                <w:szCs w:val="14"/>
                <w:color w:val="54565B"/>
              </w:rPr>
              <w:t>​160,000</w:t>
            </w:r>
          </w:p>
        </w:tc>
        <w:tc>
          <w:tcPr>
            <w:tcW w:w="1160" w:type="dxa"/>
            <w:vAlign w:val="bottom"/>
          </w:tcPr>
          <w:p>
            <w:pPr>
              <w:jc w:val="center"/>
              <w:spacing w:after="0"/>
              <w:rPr>
                <w:sz w:val="20"/>
                <w:szCs w:val="20"/>
                <w:color w:val="auto"/>
              </w:rPr>
            </w:pPr>
            <w:r>
              <w:rPr>
                <w:rFonts w:ascii="Arial" w:cs="Arial" w:eastAsia="Arial" w:hAnsi="Arial"/>
                <w:sz w:val="14"/>
                <w:szCs w:val="14"/>
                <w:color w:val="54565B"/>
              </w:rPr>
              <w:t>400,000​</w:t>
            </w:r>
          </w:p>
        </w:tc>
        <w:tc>
          <w:tcPr>
            <w:tcW w:w="1440" w:type="dxa"/>
            <w:vAlign w:val="bottom"/>
          </w:tcPr>
          <w:p>
            <w:pPr>
              <w:jc w:val="center"/>
              <w:ind w:right="8"/>
              <w:spacing w:after="0"/>
              <w:rPr>
                <w:sz w:val="20"/>
                <w:szCs w:val="20"/>
                <w:color w:val="auto"/>
              </w:rPr>
            </w:pPr>
            <w:r>
              <w:rPr>
                <w:rFonts w:ascii="Arial" w:cs="Arial" w:eastAsia="Arial" w:hAnsi="Arial"/>
                <w:sz w:val="14"/>
                <w:szCs w:val="14"/>
                <w:color w:val="54565B"/>
              </w:rPr>
              <w:t>500,000​</w:t>
            </w:r>
          </w:p>
        </w:tc>
      </w:tr>
      <w:tr>
        <w:trPr>
          <w:trHeight w:val="29"/>
        </w:trPr>
        <w:tc>
          <w:tcPr>
            <w:tcW w:w="1680" w:type="dxa"/>
            <w:vAlign w:val="bottom"/>
            <w:tcBorders>
              <w:bottom w:val="single" w:sz="8" w:color="0B3C61"/>
            </w:tcBorders>
          </w:tcPr>
          <w:p>
            <w:pPr>
              <w:spacing w:after="0"/>
              <w:rPr>
                <w:sz w:val="2"/>
                <w:szCs w:val="2"/>
                <w:color w:val="auto"/>
              </w:rPr>
            </w:pPr>
          </w:p>
        </w:tc>
        <w:tc>
          <w:tcPr>
            <w:tcW w:w="1320" w:type="dxa"/>
            <w:vAlign w:val="bottom"/>
            <w:tcBorders>
              <w:bottom w:val="single" w:sz="8" w:color="0B3C61"/>
            </w:tcBorders>
          </w:tcPr>
          <w:p>
            <w:pPr>
              <w:spacing w:after="0"/>
              <w:rPr>
                <w:sz w:val="2"/>
                <w:szCs w:val="2"/>
                <w:color w:val="auto"/>
              </w:rPr>
            </w:pPr>
          </w:p>
        </w:tc>
        <w:tc>
          <w:tcPr>
            <w:tcW w:w="1180" w:type="dxa"/>
            <w:vAlign w:val="bottom"/>
            <w:tcBorders>
              <w:bottom w:val="single" w:sz="8" w:color="0B3C61"/>
            </w:tcBorders>
          </w:tcPr>
          <w:p>
            <w:pPr>
              <w:spacing w:after="0"/>
              <w:rPr>
                <w:sz w:val="2"/>
                <w:szCs w:val="2"/>
                <w:color w:val="auto"/>
              </w:rPr>
            </w:pPr>
          </w:p>
        </w:tc>
        <w:tc>
          <w:tcPr>
            <w:tcW w:w="1340" w:type="dxa"/>
            <w:vAlign w:val="bottom"/>
            <w:tcBorders>
              <w:bottom w:val="single" w:sz="8" w:color="0B3C61"/>
            </w:tcBorders>
          </w:tcPr>
          <w:p>
            <w:pPr>
              <w:spacing w:after="0"/>
              <w:rPr>
                <w:sz w:val="2"/>
                <w:szCs w:val="2"/>
                <w:color w:val="auto"/>
              </w:rPr>
            </w:pPr>
          </w:p>
        </w:tc>
        <w:tc>
          <w:tcPr>
            <w:tcW w:w="1280" w:type="dxa"/>
            <w:vAlign w:val="bottom"/>
            <w:tcBorders>
              <w:bottom w:val="single" w:sz="8" w:color="0B3C61"/>
            </w:tcBorders>
          </w:tcPr>
          <w:p>
            <w:pPr>
              <w:spacing w:after="0"/>
              <w:rPr>
                <w:sz w:val="2"/>
                <w:szCs w:val="2"/>
                <w:color w:val="auto"/>
              </w:rPr>
            </w:pPr>
          </w:p>
        </w:tc>
        <w:tc>
          <w:tcPr>
            <w:tcW w:w="1160" w:type="dxa"/>
            <w:vAlign w:val="bottom"/>
            <w:tcBorders>
              <w:bottom w:val="single" w:sz="8" w:color="0B3C61"/>
            </w:tcBorders>
          </w:tcPr>
          <w:p>
            <w:pPr>
              <w:spacing w:after="0"/>
              <w:rPr>
                <w:sz w:val="2"/>
                <w:szCs w:val="2"/>
                <w:color w:val="auto"/>
              </w:rPr>
            </w:pPr>
          </w:p>
        </w:tc>
        <w:tc>
          <w:tcPr>
            <w:tcW w:w="1440" w:type="dxa"/>
            <w:vAlign w:val="bottom"/>
            <w:tcBorders>
              <w:bottom w:val="single" w:sz="8" w:color="0B3C61"/>
            </w:tcBorders>
          </w:tcPr>
          <w:p>
            <w:pPr>
              <w:spacing w:after="0"/>
              <w:rPr>
                <w:sz w:val="2"/>
                <w:szCs w:val="2"/>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Annual Bonus Plan – 2025 Components</w:t>
      </w:r>
    </w:p>
    <w:p>
      <w:pPr>
        <w:spacing w:after="0" w:line="99"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b w:val="1"/>
          <w:bCs w:val="1"/>
          <w:color w:val="54565B"/>
        </w:rPr>
        <w:t xml:space="preserve">Operating EPS </w:t>
      </w:r>
      <w:r>
        <w:rPr>
          <w:rFonts w:ascii="Arial" w:cs="Arial" w:eastAsia="Arial" w:hAnsi="Arial"/>
          <w:sz w:val="16"/>
          <w:szCs w:val="16"/>
          <w:color w:val="54565B"/>
        </w:rPr>
        <w:t>is calculated as the Company’s diluted core earnings per share. As in prior years, the Compensation Committee</w:t>
      </w:r>
      <w:r>
        <w:rPr>
          <w:rFonts w:ascii="Arial" w:cs="Arial" w:eastAsia="Arial" w:hAnsi="Arial"/>
          <w:sz w:val="16"/>
          <w:szCs w:val="16"/>
          <w:b w:val="1"/>
          <w:bCs w:val="1"/>
          <w:color w:val="54565B"/>
        </w:rPr>
        <w:t xml:space="preserve"> </w:t>
      </w:r>
      <w:r>
        <w:rPr>
          <w:rFonts w:ascii="Arial" w:cs="Arial" w:eastAsia="Arial" w:hAnsi="Arial"/>
          <w:sz w:val="16"/>
          <w:szCs w:val="16"/>
          <w:color w:val="54565B"/>
        </w:rPr>
        <w:t>set the target level at the Company’s 2025 business plan ($10.50 per share), with the maximum level requiring an outstanding result 10% above the target level ($11.55 per share) and the threshold level ($8.40 per share) to earn any payment at 20% below the target.</w:t>
      </w:r>
    </w:p>
    <w:p>
      <w:pPr>
        <w:spacing w:after="0" w:line="4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b w:val="1"/>
          <w:bCs w:val="1"/>
          <w:color w:val="54565B"/>
        </w:rPr>
        <w:t xml:space="preserve">Annual ROE </w:t>
      </w:r>
      <w:r>
        <w:rPr>
          <w:rFonts w:ascii="Arial" w:cs="Arial" w:eastAsia="Arial" w:hAnsi="Arial"/>
          <w:sz w:val="16"/>
          <w:szCs w:val="16"/>
          <w:color w:val="54565B"/>
        </w:rPr>
        <w:t>is calculated as the percentage equal to the Company’s core operating earnings divided by the Company’s</w:t>
      </w:r>
      <w:r>
        <w:rPr>
          <w:rFonts w:ascii="Arial" w:cs="Arial" w:eastAsia="Arial" w:hAnsi="Arial"/>
          <w:sz w:val="16"/>
          <w:szCs w:val="16"/>
          <w:b w:val="1"/>
          <w:bCs w:val="1"/>
          <w:color w:val="54565B"/>
        </w:rPr>
        <w:t xml:space="preserve"> </w:t>
      </w:r>
      <w:r>
        <w:rPr>
          <w:rFonts w:ascii="Arial" w:cs="Arial" w:eastAsia="Arial" w:hAnsi="Arial"/>
          <w:sz w:val="16"/>
          <w:szCs w:val="16"/>
          <w:color w:val="54565B"/>
        </w:rPr>
        <w:t>shareholders’ equity (excluding accumulated other comprehensive income). In setting the 2025 Annual ROE goals, the Compensation Committee evaluated the Company’s 2025 business plan, as well as projected peer company ROEs (as prepared by our in-house investment professionals) and expected property and casualty industry conditions for the coming year. For example, when considering the goals for the Annual ROE component in the 2025 first quarter, the Committee noted that the Company’s internal analysis of Compensation Peer Group companies’ forecasted 2025 Annual ROE indicated that first quartile performance would require an Annual ROE above 16% and that an Annual ROE of 19% would outperform all peers. Based upon its evaluation of all the relevant factors, the Committee selected a target goal of 16%, which would represent a strong return, and a maximum goal of 20%, which would require the Company to produce Annual ROE performance at or near the top the Compensation Peer Group.</w:t>
      </w:r>
    </w:p>
    <w:p>
      <w:pPr>
        <w:spacing w:after="0" w:line="253"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b w:val="1"/>
          <w:bCs w:val="1"/>
          <w:color w:val="54565B"/>
        </w:rPr>
        <w:t xml:space="preserve">Relative Annual GBVPS </w:t>
      </w:r>
      <w:r>
        <w:rPr>
          <w:rFonts w:ascii="Arial" w:cs="Arial" w:eastAsia="Arial" w:hAnsi="Arial"/>
          <w:sz w:val="16"/>
          <w:szCs w:val="16"/>
          <w:color w:val="54565B"/>
        </w:rPr>
        <w:t>is defined as annual growth in book value per share, excluding accumulated other comprehensive</w:t>
      </w:r>
      <w:r>
        <w:rPr>
          <w:rFonts w:ascii="Arial" w:cs="Arial" w:eastAsia="Arial" w:hAnsi="Arial"/>
          <w:sz w:val="16"/>
          <w:szCs w:val="16"/>
          <w:b w:val="1"/>
          <w:bCs w:val="1"/>
          <w:color w:val="54565B"/>
        </w:rPr>
        <w:t xml:space="preserve"> </w:t>
      </w:r>
      <w:r>
        <w:rPr>
          <w:rFonts w:ascii="Arial" w:cs="Arial" w:eastAsia="Arial" w:hAnsi="Arial"/>
          <w:sz w:val="16"/>
          <w:szCs w:val="16"/>
          <w:color w:val="54565B"/>
        </w:rPr>
        <w:t>income, plus dividends, relative to AFG’s Compensation Peer Group companies. The Compensation Committee continued to include this relative component in addition to the other two absolute components of the Annual Plan. The Committee designed this metric to award a target bonus for top third performance relative to the Compensation Peer Group and a maximum bonus only for top annual performance against those peers. Threshold performance to earn any award would require the Company to perform above the bottom third of peer companies.</w:t>
      </w:r>
    </w:p>
    <w:p>
      <w:pPr>
        <w:spacing w:after="0" w:line="6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54565B"/>
        </w:rPr>
        <w:t>In addition to the foregoing data, when weighing potential 2025 target and maximum levels for each of the Annual Plan components, the Compensation Committee also considered other factors that might impact the Company’s ongoing financial performance, including, but not limited to, competition, macroeconomic conditions, market influences, governmental regulation and the Board of Directors’ desire to devote resources to other internal corporate objectives, such as acquisitions or start-ups. The Compensation Committee’s overarching approach for each metric was to set the target at levels that would represent very strong Company performance and the maximum at levels that would represent extraordinary performance, both objectively under AFG’s business plan and comparatively relative to its peers’ projected performance.</w:t>
      </w:r>
    </w:p>
    <w:p>
      <w:pPr>
        <w:spacing w:after="0" w:line="46"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54565B"/>
        </w:rPr>
        <w:t>Each of Operating EPS, Annual ROE and growth in book value per share are reported to shareholders in the Company’s quarterly earnings releases and exclude certain items that may not be indicative of its ongoing core operations such as the impact of discontinued operations, net realized gains and losses and special items that are not necessarily indicative of operating trends.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54565B"/>
        </w:rPr>
        <w:t>For each component under the Annual Bonus Plan, payments may be earned relative to each NEO’s target amount, as follows:</w:t>
      </w:r>
    </w:p>
    <w:p>
      <w:pPr>
        <w:spacing w:after="0" w:line="75" w:lineRule="exact"/>
        <w:rPr>
          <w:sz w:val="20"/>
          <w:szCs w:val="20"/>
          <w:color w:val="auto"/>
        </w:rPr>
      </w:pPr>
    </w:p>
    <w:p>
      <w:pPr>
        <w:ind w:left="540" w:hanging="354"/>
        <w:spacing w:after="0"/>
        <w:tabs>
          <w:tab w:leader="none" w:pos="540" w:val="left"/>
        </w:tabs>
        <w:numPr>
          <w:ilvl w:val="0"/>
          <w:numId w:val="18"/>
        </w:numPr>
        <w:rPr>
          <w:rFonts w:ascii="Arial" w:cs="Arial" w:eastAsia="Arial" w:hAnsi="Arial"/>
          <w:sz w:val="22"/>
          <w:szCs w:val="22"/>
          <w:color w:val="54565B"/>
          <w:vertAlign w:val="superscript"/>
        </w:rPr>
      </w:pPr>
      <w:r>
        <w:rPr>
          <w:rFonts w:ascii="Arial" w:cs="Arial" w:eastAsia="Arial" w:hAnsi="Arial"/>
          <w:sz w:val="16"/>
          <w:szCs w:val="16"/>
          <w:color w:val="54565B"/>
        </w:rPr>
        <w:t>Below threshold: 0% of target</w:t>
      </w:r>
    </w:p>
    <w:p>
      <w:pPr>
        <w:spacing w:after="0" w:line="74" w:lineRule="exact"/>
        <w:rPr>
          <w:rFonts w:ascii="Arial" w:cs="Arial" w:eastAsia="Arial" w:hAnsi="Arial"/>
          <w:sz w:val="22"/>
          <w:szCs w:val="22"/>
          <w:color w:val="54565B"/>
          <w:vertAlign w:val="superscript"/>
        </w:rPr>
      </w:pPr>
    </w:p>
    <w:p>
      <w:pPr>
        <w:ind w:left="540" w:hanging="354"/>
        <w:spacing w:after="0" w:line="210" w:lineRule="auto"/>
        <w:tabs>
          <w:tab w:leader="none" w:pos="540" w:val="left"/>
        </w:tabs>
        <w:numPr>
          <w:ilvl w:val="0"/>
          <w:numId w:val="18"/>
        </w:numPr>
        <w:rPr>
          <w:rFonts w:ascii="Arial" w:cs="Arial" w:eastAsia="Arial" w:hAnsi="Arial"/>
          <w:sz w:val="22"/>
          <w:szCs w:val="22"/>
          <w:color w:val="54565B"/>
          <w:vertAlign w:val="superscript"/>
        </w:rPr>
      </w:pPr>
      <w:r>
        <w:rPr>
          <w:rFonts w:ascii="Arial" w:cs="Arial" w:eastAsia="Arial" w:hAnsi="Arial"/>
          <w:sz w:val="16"/>
          <w:szCs w:val="16"/>
          <w:color w:val="54565B"/>
        </w:rPr>
        <w:t>Threshold: 20% of target</w:t>
      </w:r>
    </w:p>
    <w:p>
      <w:pPr>
        <w:spacing w:after="0" w:line="75" w:lineRule="exact"/>
        <w:rPr>
          <w:rFonts w:ascii="Arial" w:cs="Arial" w:eastAsia="Arial" w:hAnsi="Arial"/>
          <w:sz w:val="22"/>
          <w:szCs w:val="22"/>
          <w:color w:val="54565B"/>
          <w:vertAlign w:val="superscript"/>
        </w:rPr>
      </w:pPr>
    </w:p>
    <w:p>
      <w:pPr>
        <w:ind w:left="540" w:hanging="354"/>
        <w:spacing w:after="0" w:line="210" w:lineRule="auto"/>
        <w:tabs>
          <w:tab w:leader="none" w:pos="540" w:val="left"/>
        </w:tabs>
        <w:numPr>
          <w:ilvl w:val="0"/>
          <w:numId w:val="18"/>
        </w:numPr>
        <w:rPr>
          <w:rFonts w:ascii="Arial" w:cs="Arial" w:eastAsia="Arial" w:hAnsi="Arial"/>
          <w:sz w:val="22"/>
          <w:szCs w:val="22"/>
          <w:color w:val="54565B"/>
          <w:vertAlign w:val="superscript"/>
        </w:rPr>
      </w:pPr>
      <w:r>
        <w:rPr>
          <w:rFonts w:ascii="Arial" w:cs="Arial" w:eastAsia="Arial" w:hAnsi="Arial"/>
          <w:sz w:val="16"/>
          <w:szCs w:val="16"/>
          <w:color w:val="54565B"/>
        </w:rPr>
        <w:t>Target: 100% of target</w:t>
      </w:r>
    </w:p>
    <w:p>
      <w:pPr>
        <w:spacing w:after="0" w:line="75" w:lineRule="exact"/>
        <w:rPr>
          <w:rFonts w:ascii="Arial" w:cs="Arial" w:eastAsia="Arial" w:hAnsi="Arial"/>
          <w:sz w:val="22"/>
          <w:szCs w:val="22"/>
          <w:color w:val="54565B"/>
          <w:vertAlign w:val="superscript"/>
        </w:rPr>
      </w:pPr>
    </w:p>
    <w:p>
      <w:pPr>
        <w:ind w:left="540" w:hanging="354"/>
        <w:spacing w:after="0" w:line="210" w:lineRule="auto"/>
        <w:tabs>
          <w:tab w:leader="none" w:pos="540" w:val="left"/>
        </w:tabs>
        <w:numPr>
          <w:ilvl w:val="0"/>
          <w:numId w:val="18"/>
        </w:numPr>
        <w:rPr>
          <w:rFonts w:ascii="Arial" w:cs="Arial" w:eastAsia="Arial" w:hAnsi="Arial"/>
          <w:sz w:val="22"/>
          <w:szCs w:val="22"/>
          <w:color w:val="54565B"/>
          <w:vertAlign w:val="superscript"/>
        </w:rPr>
      </w:pPr>
      <w:r>
        <w:rPr>
          <w:rFonts w:ascii="Arial" w:cs="Arial" w:eastAsia="Arial" w:hAnsi="Arial"/>
          <w:sz w:val="16"/>
          <w:szCs w:val="16"/>
          <w:color w:val="54565B"/>
        </w:rPr>
        <w:t>Maximum: Co-CEOs = 150% of target; President = 140% of target; Other NEOs = 125% of target  </w:t>
      </w: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48 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54565B"/>
        </w:rPr>
        <w:t>Straight-line interpolation is used to determine earned payouts for results that exceed threshold but fall below target, and for results that exceed target but do not meet the maximum level.</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360" w:type="dxa"/>
            <w:vAlign w:val="bottom"/>
            <w:shd w:val="clear" w:color="auto" w:fill="0B3C61"/>
          </w:tcPr>
          <w:p>
            <w:pPr>
              <w:spacing w:after="0"/>
              <w:rPr>
                <w:sz w:val="22"/>
                <w:szCs w:val="22"/>
                <w:color w:val="auto"/>
              </w:rPr>
            </w:pPr>
          </w:p>
        </w:tc>
        <w:tc>
          <w:tcPr>
            <w:tcW w:w="1380" w:type="dxa"/>
            <w:vAlign w:val="bottom"/>
            <w:shd w:val="clear" w:color="auto" w:fill="0B3C61"/>
          </w:tcPr>
          <w:p>
            <w:pPr>
              <w:spacing w:after="0"/>
              <w:rPr>
                <w:sz w:val="22"/>
                <w:szCs w:val="22"/>
                <w:color w:val="auto"/>
              </w:rPr>
            </w:pPr>
          </w:p>
        </w:tc>
        <w:tc>
          <w:tcPr>
            <w:tcW w:w="130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Award as</w:t>
            </w:r>
          </w:p>
        </w:tc>
        <w:tc>
          <w:tcPr>
            <w:tcW w:w="1320" w:type="dxa"/>
            <w:vAlign w:val="bottom"/>
            <w:shd w:val="clear" w:color="auto" w:fill="0B3C61"/>
          </w:tcPr>
          <w:p>
            <w:pPr>
              <w:spacing w:after="0"/>
              <w:rPr>
                <w:sz w:val="22"/>
                <w:szCs w:val="22"/>
                <w:color w:val="auto"/>
              </w:rPr>
            </w:pPr>
          </w:p>
        </w:tc>
        <w:tc>
          <w:tcPr>
            <w:tcW w:w="130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Award as</w:t>
            </w:r>
          </w:p>
        </w:tc>
        <w:tc>
          <w:tcPr>
            <w:tcW w:w="1320" w:type="dxa"/>
            <w:vAlign w:val="bottom"/>
            <w:shd w:val="clear" w:color="auto" w:fill="0B3C61"/>
          </w:tcPr>
          <w:p>
            <w:pPr>
              <w:spacing w:after="0"/>
              <w:rPr>
                <w:sz w:val="22"/>
                <w:szCs w:val="22"/>
                <w:color w:val="auto"/>
              </w:rPr>
            </w:pPr>
          </w:p>
        </w:tc>
        <w:tc>
          <w:tcPr>
            <w:tcW w:w="1420" w:type="dxa"/>
            <w:vAlign w:val="bottom"/>
            <w:shd w:val="clear" w:color="auto" w:fill="0B3C61"/>
          </w:tcPr>
          <w:p>
            <w:pPr>
              <w:jc w:val="center"/>
              <w:ind w:right="108"/>
              <w:spacing w:after="0"/>
              <w:rPr>
                <w:sz w:val="20"/>
                <w:szCs w:val="20"/>
                <w:color w:val="auto"/>
              </w:rPr>
            </w:pPr>
            <w:r>
              <w:rPr>
                <w:rFonts w:ascii="Arial" w:cs="Arial" w:eastAsia="Arial" w:hAnsi="Arial"/>
                <w:sz w:val="14"/>
                <w:szCs w:val="14"/>
                <w:color w:val="FFFFFF"/>
              </w:rPr>
              <w:t>Award as</w:t>
            </w:r>
          </w:p>
        </w:tc>
      </w:tr>
      <w:tr>
        <w:trPr>
          <w:trHeight w:val="159"/>
        </w:trPr>
        <w:tc>
          <w:tcPr>
            <w:tcW w:w="1360" w:type="dxa"/>
            <w:vAlign w:val="bottom"/>
            <w:shd w:val="clear" w:color="auto" w:fill="0B3C61"/>
          </w:tcPr>
          <w:p>
            <w:pPr>
              <w:spacing w:after="0"/>
              <w:rPr>
                <w:sz w:val="13"/>
                <w:szCs w:val="13"/>
                <w:color w:val="auto"/>
              </w:rPr>
            </w:pPr>
          </w:p>
        </w:tc>
        <w:tc>
          <w:tcPr>
            <w:tcW w:w="1380" w:type="dxa"/>
            <w:vAlign w:val="bottom"/>
            <w:shd w:val="clear" w:color="auto" w:fill="0B3C61"/>
          </w:tcPr>
          <w:p>
            <w:pPr>
              <w:spacing w:after="0"/>
              <w:rPr>
                <w:sz w:val="13"/>
                <w:szCs w:val="13"/>
                <w:color w:val="auto"/>
              </w:rPr>
            </w:pPr>
          </w:p>
        </w:tc>
        <w:tc>
          <w:tcPr>
            <w:tcW w:w="1300" w:type="dxa"/>
            <w:vAlign w:val="bottom"/>
            <w:shd w:val="clear" w:color="auto" w:fill="0B3C61"/>
          </w:tcPr>
          <w:p>
            <w:pPr>
              <w:jc w:val="center"/>
              <w:spacing w:after="0" w:line="159" w:lineRule="exact"/>
              <w:rPr>
                <w:sz w:val="20"/>
                <w:szCs w:val="20"/>
                <w:color w:val="auto"/>
              </w:rPr>
            </w:pPr>
            <w:r>
              <w:rPr>
                <w:rFonts w:ascii="Arial" w:cs="Arial" w:eastAsia="Arial" w:hAnsi="Arial"/>
                <w:sz w:val="14"/>
                <w:szCs w:val="14"/>
                <w:color w:val="FFFFFF"/>
              </w:rPr>
              <w:t>Percentage of</w:t>
            </w:r>
          </w:p>
        </w:tc>
        <w:tc>
          <w:tcPr>
            <w:tcW w:w="1320" w:type="dxa"/>
            <w:vAlign w:val="bottom"/>
            <w:shd w:val="clear" w:color="auto" w:fill="0B3C61"/>
          </w:tcPr>
          <w:p>
            <w:pPr>
              <w:spacing w:after="0"/>
              <w:rPr>
                <w:sz w:val="13"/>
                <w:szCs w:val="13"/>
                <w:color w:val="auto"/>
              </w:rPr>
            </w:pPr>
          </w:p>
        </w:tc>
        <w:tc>
          <w:tcPr>
            <w:tcW w:w="1300" w:type="dxa"/>
            <w:vAlign w:val="bottom"/>
            <w:shd w:val="clear" w:color="auto" w:fill="0B3C61"/>
          </w:tcPr>
          <w:p>
            <w:pPr>
              <w:jc w:val="center"/>
              <w:spacing w:after="0" w:line="159" w:lineRule="exact"/>
              <w:rPr>
                <w:sz w:val="20"/>
                <w:szCs w:val="20"/>
                <w:color w:val="auto"/>
              </w:rPr>
            </w:pPr>
            <w:r>
              <w:rPr>
                <w:rFonts w:ascii="Arial" w:cs="Arial" w:eastAsia="Arial" w:hAnsi="Arial"/>
                <w:sz w:val="14"/>
                <w:szCs w:val="14"/>
                <w:color w:val="FFFFFF"/>
              </w:rPr>
              <w:t>Percentage of</w:t>
            </w:r>
          </w:p>
        </w:tc>
        <w:tc>
          <w:tcPr>
            <w:tcW w:w="1320" w:type="dxa"/>
            <w:vAlign w:val="bottom"/>
            <w:shd w:val="clear" w:color="auto" w:fill="0B3C61"/>
          </w:tcPr>
          <w:p>
            <w:pPr>
              <w:jc w:val="center"/>
              <w:spacing w:after="0" w:line="159" w:lineRule="exact"/>
              <w:rPr>
                <w:sz w:val="20"/>
                <w:szCs w:val="20"/>
                <w:color w:val="auto"/>
              </w:rPr>
            </w:pPr>
            <w:r>
              <w:rPr>
                <w:rFonts w:ascii="Arial" w:cs="Arial" w:eastAsia="Arial" w:hAnsi="Arial"/>
                <w:sz w:val="14"/>
                <w:szCs w:val="14"/>
                <w:color w:val="FFFFFF"/>
              </w:rPr>
              <w:t>Relative Annual</w:t>
            </w:r>
          </w:p>
        </w:tc>
        <w:tc>
          <w:tcPr>
            <w:tcW w:w="1420" w:type="dxa"/>
            <w:vAlign w:val="bottom"/>
            <w:shd w:val="clear" w:color="auto" w:fill="0B3C61"/>
          </w:tcPr>
          <w:p>
            <w:pPr>
              <w:jc w:val="center"/>
              <w:ind w:right="88"/>
              <w:spacing w:after="0" w:line="159" w:lineRule="exact"/>
              <w:rPr>
                <w:sz w:val="20"/>
                <w:szCs w:val="20"/>
                <w:color w:val="auto"/>
              </w:rPr>
            </w:pPr>
            <w:r>
              <w:rPr>
                <w:rFonts w:ascii="Arial" w:cs="Arial" w:eastAsia="Arial" w:hAnsi="Arial"/>
                <w:sz w:val="14"/>
                <w:szCs w:val="14"/>
                <w:color w:val="FFFFFF"/>
              </w:rPr>
              <w:t>Percentage of</w:t>
            </w:r>
          </w:p>
        </w:tc>
      </w:tr>
      <w:tr>
        <w:trPr>
          <w:trHeight w:val="282"/>
        </w:trPr>
        <w:tc>
          <w:tcPr>
            <w:tcW w:w="1360" w:type="dxa"/>
            <w:vAlign w:val="bottom"/>
            <w:shd w:val="clear" w:color="auto" w:fill="0B3C61"/>
          </w:tcPr>
          <w:p>
            <w:pPr>
              <w:spacing w:after="0"/>
              <w:rPr>
                <w:sz w:val="24"/>
                <w:szCs w:val="24"/>
                <w:color w:val="auto"/>
              </w:rPr>
            </w:pPr>
          </w:p>
        </w:tc>
        <w:tc>
          <w:tcPr>
            <w:tcW w:w="138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Operating EPS</w:t>
            </w:r>
          </w:p>
        </w:tc>
        <w:tc>
          <w:tcPr>
            <w:tcW w:w="1300" w:type="dxa"/>
            <w:vAlign w:val="bottom"/>
            <w:shd w:val="clear" w:color="auto" w:fill="0B3C61"/>
          </w:tcPr>
          <w:p>
            <w:pPr>
              <w:jc w:val="center"/>
              <w:spacing w:after="0"/>
              <w:rPr>
                <w:sz w:val="20"/>
                <w:szCs w:val="20"/>
                <w:color w:val="auto"/>
              </w:rPr>
            </w:pPr>
            <w:r>
              <w:rPr>
                <w:rFonts w:ascii="Arial" w:cs="Arial" w:eastAsia="Arial" w:hAnsi="Arial"/>
                <w:sz w:val="14"/>
                <w:szCs w:val="14"/>
                <w:color w:val="FFFFFF"/>
                <w:w w:val="91"/>
              </w:rPr>
              <w:t>Target</w:t>
            </w:r>
            <w:r>
              <w:rPr>
                <w:rFonts w:ascii="Arial" w:cs="Arial" w:eastAsia="Arial" w:hAnsi="Arial"/>
                <w:sz w:val="23"/>
                <w:szCs w:val="23"/>
                <w:color w:val="FFFFFF"/>
                <w:w w:val="91"/>
                <w:vertAlign w:val="superscript"/>
              </w:rPr>
              <w:t>(1)</w:t>
            </w:r>
          </w:p>
        </w:tc>
        <w:tc>
          <w:tcPr>
            <w:tcW w:w="132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Annual ROE</w:t>
            </w:r>
          </w:p>
        </w:tc>
        <w:tc>
          <w:tcPr>
            <w:tcW w:w="1300" w:type="dxa"/>
            <w:vAlign w:val="bottom"/>
            <w:shd w:val="clear" w:color="auto" w:fill="0B3C61"/>
          </w:tcPr>
          <w:p>
            <w:pPr>
              <w:jc w:val="center"/>
              <w:spacing w:after="0"/>
              <w:rPr>
                <w:sz w:val="20"/>
                <w:szCs w:val="20"/>
                <w:color w:val="auto"/>
              </w:rPr>
            </w:pPr>
            <w:r>
              <w:rPr>
                <w:rFonts w:ascii="Arial" w:cs="Arial" w:eastAsia="Arial" w:hAnsi="Arial"/>
                <w:sz w:val="14"/>
                <w:szCs w:val="14"/>
                <w:color w:val="FFFFFF"/>
                <w:w w:val="91"/>
              </w:rPr>
              <w:t>Target</w:t>
            </w:r>
            <w:r>
              <w:rPr>
                <w:rFonts w:ascii="Arial" w:cs="Arial" w:eastAsia="Arial" w:hAnsi="Arial"/>
                <w:sz w:val="23"/>
                <w:szCs w:val="23"/>
                <w:color w:val="FFFFFF"/>
                <w:w w:val="91"/>
                <w:vertAlign w:val="superscript"/>
              </w:rPr>
              <w:t>(1)</w:t>
            </w:r>
          </w:p>
        </w:tc>
        <w:tc>
          <w:tcPr>
            <w:tcW w:w="1320" w:type="dxa"/>
            <w:vAlign w:val="bottom"/>
            <w:shd w:val="clear" w:color="auto" w:fill="0B3C61"/>
          </w:tcPr>
          <w:p>
            <w:pPr>
              <w:jc w:val="center"/>
              <w:spacing w:after="0"/>
              <w:rPr>
                <w:sz w:val="20"/>
                <w:szCs w:val="20"/>
                <w:color w:val="auto"/>
              </w:rPr>
            </w:pPr>
            <w:r>
              <w:rPr>
                <w:rFonts w:ascii="Arial" w:cs="Arial" w:eastAsia="Arial" w:hAnsi="Arial"/>
                <w:sz w:val="14"/>
                <w:szCs w:val="14"/>
                <w:color w:val="FFFFFF"/>
                <w:w w:val="95"/>
              </w:rPr>
              <w:t>GBVPS</w:t>
            </w:r>
            <w:r>
              <w:rPr>
                <w:rFonts w:ascii="Arial" w:cs="Arial" w:eastAsia="Arial" w:hAnsi="Arial"/>
                <w:sz w:val="23"/>
                <w:szCs w:val="23"/>
                <w:color w:val="FFFFFF"/>
                <w:w w:val="95"/>
                <w:vertAlign w:val="superscript"/>
              </w:rPr>
              <w:t>(2)</w:t>
            </w:r>
          </w:p>
        </w:tc>
        <w:tc>
          <w:tcPr>
            <w:tcW w:w="1420" w:type="dxa"/>
            <w:vAlign w:val="bottom"/>
            <w:shd w:val="clear" w:color="auto" w:fill="0B3C61"/>
          </w:tcPr>
          <w:p>
            <w:pPr>
              <w:jc w:val="center"/>
              <w:ind w:right="48"/>
              <w:spacing w:after="0"/>
              <w:rPr>
                <w:sz w:val="20"/>
                <w:szCs w:val="20"/>
                <w:color w:val="auto"/>
              </w:rPr>
            </w:pPr>
            <w:r>
              <w:rPr>
                <w:rFonts w:ascii="Arial" w:cs="Arial" w:eastAsia="Arial" w:hAnsi="Arial"/>
                <w:sz w:val="14"/>
                <w:szCs w:val="14"/>
                <w:color w:val="FFFFFF"/>
                <w:w w:val="91"/>
              </w:rPr>
              <w:t>Target</w:t>
            </w:r>
            <w:r>
              <w:rPr>
                <w:rFonts w:ascii="Arial" w:cs="Arial" w:eastAsia="Arial" w:hAnsi="Arial"/>
                <w:sz w:val="23"/>
                <w:szCs w:val="23"/>
                <w:color w:val="FFFFFF"/>
                <w:w w:val="91"/>
                <w:vertAlign w:val="superscript"/>
              </w:rPr>
              <w:t>(1)</w:t>
            </w:r>
          </w:p>
        </w:tc>
      </w:tr>
      <w:tr>
        <w:trPr>
          <w:trHeight w:val="262"/>
        </w:trPr>
        <w:tc>
          <w:tcPr>
            <w:tcW w:w="1360" w:type="dxa"/>
            <w:vAlign w:val="bottom"/>
            <w:shd w:val="clear" w:color="auto" w:fill="EAF7FA"/>
          </w:tcPr>
          <w:p>
            <w:pPr>
              <w:jc w:val="center"/>
              <w:ind w:left="108"/>
              <w:spacing w:after="0"/>
              <w:rPr>
                <w:sz w:val="20"/>
                <w:szCs w:val="20"/>
                <w:color w:val="auto"/>
              </w:rPr>
            </w:pPr>
            <w:r>
              <w:rPr>
                <w:rFonts w:ascii="Arial" w:cs="Arial" w:eastAsia="Arial" w:hAnsi="Arial"/>
                <w:sz w:val="14"/>
                <w:szCs w:val="14"/>
                <w:color w:val="54565B"/>
              </w:rPr>
              <w:t>Below threshold</w:t>
            </w:r>
          </w:p>
        </w:tc>
        <w:tc>
          <w:tcPr>
            <w:tcW w:w="1380" w:type="dxa"/>
            <w:vAlign w:val="bottom"/>
            <w:shd w:val="clear" w:color="auto" w:fill="EAF7FA"/>
          </w:tcPr>
          <w:p>
            <w:pPr>
              <w:jc w:val="center"/>
              <w:spacing w:after="0"/>
              <w:rPr>
                <w:sz w:val="20"/>
                <w:szCs w:val="20"/>
                <w:color w:val="auto"/>
              </w:rPr>
            </w:pPr>
            <w:r>
              <w:rPr>
                <w:rFonts w:ascii="Arial" w:cs="Arial" w:eastAsia="Arial" w:hAnsi="Arial"/>
                <w:sz w:val="14"/>
                <w:szCs w:val="14"/>
                <w:color w:val="54565B"/>
              </w:rPr>
              <w:t>Less than $8.40</w:t>
            </w:r>
          </w:p>
        </w:tc>
        <w:tc>
          <w:tcPr>
            <w:tcW w:w="1300" w:type="dxa"/>
            <w:vAlign w:val="bottom"/>
          </w:tcPr>
          <w:p>
            <w:pPr>
              <w:jc w:val="center"/>
              <w:spacing w:after="0"/>
              <w:rPr>
                <w:sz w:val="20"/>
                <w:szCs w:val="20"/>
                <w:color w:val="auto"/>
              </w:rPr>
            </w:pPr>
            <w:r>
              <w:rPr>
                <w:rFonts w:ascii="Arial" w:cs="Arial" w:eastAsia="Arial" w:hAnsi="Arial"/>
                <w:sz w:val="14"/>
                <w:szCs w:val="14"/>
                <w:color w:val="54565B"/>
              </w:rPr>
              <w:t>0%</w:t>
            </w:r>
          </w:p>
        </w:tc>
        <w:tc>
          <w:tcPr>
            <w:tcW w:w="1320" w:type="dxa"/>
            <w:vAlign w:val="bottom"/>
            <w:shd w:val="clear" w:color="auto" w:fill="EAF7FA"/>
          </w:tcPr>
          <w:p>
            <w:pPr>
              <w:jc w:val="center"/>
              <w:spacing w:after="0"/>
              <w:rPr>
                <w:sz w:val="20"/>
                <w:szCs w:val="20"/>
                <w:color w:val="auto"/>
              </w:rPr>
            </w:pPr>
            <w:r>
              <w:rPr>
                <w:rFonts w:ascii="Arial" w:cs="Arial" w:eastAsia="Arial" w:hAnsi="Arial"/>
                <w:sz w:val="14"/>
                <w:szCs w:val="14"/>
                <w:color w:val="54565B"/>
              </w:rPr>
              <w:t>Less than 12%</w:t>
            </w:r>
          </w:p>
        </w:tc>
        <w:tc>
          <w:tcPr>
            <w:tcW w:w="1300" w:type="dxa"/>
            <w:vAlign w:val="bottom"/>
          </w:tcPr>
          <w:p>
            <w:pPr>
              <w:jc w:val="center"/>
              <w:spacing w:after="0"/>
              <w:rPr>
                <w:sz w:val="20"/>
                <w:szCs w:val="20"/>
                <w:color w:val="auto"/>
              </w:rPr>
            </w:pPr>
            <w:r>
              <w:rPr>
                <w:rFonts w:ascii="Arial" w:cs="Arial" w:eastAsia="Arial" w:hAnsi="Arial"/>
                <w:sz w:val="14"/>
                <w:szCs w:val="14"/>
                <w:color w:val="54565B"/>
              </w:rPr>
              <w:t>0%</w:t>
            </w:r>
          </w:p>
        </w:tc>
        <w:tc>
          <w:tcPr>
            <w:tcW w:w="1320" w:type="dxa"/>
            <w:vAlign w:val="bottom"/>
            <w:shd w:val="clear" w:color="auto" w:fill="EAF7FA"/>
          </w:tcPr>
          <w:p>
            <w:pPr>
              <w:jc w:val="center"/>
              <w:spacing w:after="0"/>
              <w:rPr>
                <w:sz w:val="20"/>
                <w:szCs w:val="20"/>
                <w:color w:val="auto"/>
              </w:rPr>
            </w:pPr>
            <w:r>
              <w:rPr>
                <w:rFonts w:ascii="Arial" w:cs="Arial" w:eastAsia="Arial" w:hAnsi="Arial"/>
                <w:sz w:val="14"/>
                <w:szCs w:val="14"/>
                <w:color w:val="54565B"/>
              </w:rPr>
              <w:t>Bottom third</w:t>
            </w:r>
          </w:p>
        </w:tc>
        <w:tc>
          <w:tcPr>
            <w:tcW w:w="1420" w:type="dxa"/>
            <w:vAlign w:val="bottom"/>
          </w:tcPr>
          <w:p>
            <w:pPr>
              <w:jc w:val="center"/>
              <w:ind w:right="68"/>
              <w:spacing w:after="0"/>
              <w:rPr>
                <w:sz w:val="20"/>
                <w:szCs w:val="20"/>
                <w:color w:val="auto"/>
              </w:rPr>
            </w:pPr>
            <w:r>
              <w:rPr>
                <w:rFonts w:ascii="Arial" w:cs="Arial" w:eastAsia="Arial" w:hAnsi="Arial"/>
                <w:sz w:val="14"/>
                <w:szCs w:val="14"/>
                <w:color w:val="54565B"/>
                <w:w w:val="98"/>
              </w:rPr>
              <w:t>0%</w:t>
            </w:r>
          </w:p>
        </w:tc>
      </w:tr>
      <w:tr>
        <w:trPr>
          <w:trHeight w:val="257"/>
        </w:trPr>
        <w:tc>
          <w:tcPr>
            <w:tcW w:w="1360" w:type="dxa"/>
            <w:vAlign w:val="bottom"/>
            <w:shd w:val="clear" w:color="auto" w:fill="EAF7FA"/>
          </w:tcPr>
          <w:p>
            <w:pPr>
              <w:jc w:val="center"/>
              <w:ind w:left="88"/>
              <w:spacing w:after="0"/>
              <w:rPr>
                <w:sz w:val="20"/>
                <w:szCs w:val="20"/>
                <w:color w:val="auto"/>
              </w:rPr>
            </w:pPr>
            <w:r>
              <w:rPr>
                <w:rFonts w:ascii="Arial" w:cs="Arial" w:eastAsia="Arial" w:hAnsi="Arial"/>
                <w:sz w:val="14"/>
                <w:szCs w:val="14"/>
                <w:color w:val="54565B"/>
              </w:rPr>
              <w:t>Threshold</w:t>
            </w:r>
          </w:p>
        </w:tc>
        <w:tc>
          <w:tcPr>
            <w:tcW w:w="1380" w:type="dxa"/>
            <w:vAlign w:val="bottom"/>
            <w:shd w:val="clear" w:color="auto" w:fill="EAF7FA"/>
          </w:tcPr>
          <w:p>
            <w:pPr>
              <w:jc w:val="right"/>
              <w:ind w:right="408"/>
              <w:spacing w:after="0"/>
              <w:rPr>
                <w:sz w:val="20"/>
                <w:szCs w:val="20"/>
                <w:color w:val="auto"/>
              </w:rPr>
            </w:pPr>
            <w:r>
              <w:rPr>
                <w:rFonts w:ascii="Arial" w:cs="Arial" w:eastAsia="Arial" w:hAnsi="Arial"/>
                <w:sz w:val="14"/>
                <w:szCs w:val="14"/>
                <w:color w:val="54565B"/>
              </w:rPr>
              <w:t>$8.40</w:t>
            </w:r>
          </w:p>
        </w:tc>
        <w:tc>
          <w:tcPr>
            <w:tcW w:w="1300" w:type="dxa"/>
            <w:vAlign w:val="bottom"/>
          </w:tcPr>
          <w:p>
            <w:pPr>
              <w:jc w:val="center"/>
              <w:spacing w:after="0"/>
              <w:rPr>
                <w:sz w:val="20"/>
                <w:szCs w:val="20"/>
                <w:color w:val="auto"/>
              </w:rPr>
            </w:pPr>
            <w:r>
              <w:rPr>
                <w:rFonts w:ascii="Arial" w:cs="Arial" w:eastAsia="Arial" w:hAnsi="Arial"/>
                <w:sz w:val="14"/>
                <w:szCs w:val="14"/>
                <w:color w:val="54565B"/>
              </w:rPr>
              <w:t>20%</w:t>
            </w:r>
          </w:p>
        </w:tc>
        <w:tc>
          <w:tcPr>
            <w:tcW w:w="1320" w:type="dxa"/>
            <w:vAlign w:val="bottom"/>
            <w:shd w:val="clear" w:color="auto" w:fill="EAF7FA"/>
          </w:tcPr>
          <w:p>
            <w:pPr>
              <w:jc w:val="center"/>
              <w:spacing w:after="0"/>
              <w:rPr>
                <w:sz w:val="20"/>
                <w:szCs w:val="20"/>
                <w:color w:val="auto"/>
              </w:rPr>
            </w:pPr>
            <w:r>
              <w:rPr>
                <w:rFonts w:ascii="Arial" w:cs="Arial" w:eastAsia="Arial" w:hAnsi="Arial"/>
                <w:sz w:val="14"/>
                <w:szCs w:val="14"/>
                <w:color w:val="54565B"/>
                <w:w w:val="99"/>
              </w:rPr>
              <w:t>12%</w:t>
            </w:r>
          </w:p>
        </w:tc>
        <w:tc>
          <w:tcPr>
            <w:tcW w:w="1300" w:type="dxa"/>
            <w:vAlign w:val="bottom"/>
          </w:tcPr>
          <w:p>
            <w:pPr>
              <w:jc w:val="center"/>
              <w:spacing w:after="0"/>
              <w:rPr>
                <w:sz w:val="20"/>
                <w:szCs w:val="20"/>
                <w:color w:val="auto"/>
              </w:rPr>
            </w:pPr>
            <w:r>
              <w:rPr>
                <w:rFonts w:ascii="Arial" w:cs="Arial" w:eastAsia="Arial" w:hAnsi="Arial"/>
                <w:sz w:val="14"/>
                <w:szCs w:val="14"/>
                <w:color w:val="54565B"/>
              </w:rPr>
              <w:t>20%</w:t>
            </w:r>
          </w:p>
        </w:tc>
        <w:tc>
          <w:tcPr>
            <w:tcW w:w="1320" w:type="dxa"/>
            <w:vAlign w:val="bottom"/>
            <w:shd w:val="clear" w:color="auto" w:fill="EAF7FA"/>
          </w:tcPr>
          <w:p>
            <w:pPr>
              <w:jc w:val="center"/>
              <w:spacing w:after="0"/>
              <w:rPr>
                <w:sz w:val="20"/>
                <w:szCs w:val="20"/>
                <w:color w:val="auto"/>
              </w:rPr>
            </w:pPr>
            <w:r>
              <w:rPr>
                <w:rFonts w:ascii="Arial" w:cs="Arial" w:eastAsia="Arial" w:hAnsi="Arial"/>
                <w:sz w:val="14"/>
                <w:szCs w:val="14"/>
                <w:color w:val="54565B"/>
              </w:rPr>
              <w:t>10th place</w:t>
            </w:r>
          </w:p>
        </w:tc>
        <w:tc>
          <w:tcPr>
            <w:tcW w:w="1420" w:type="dxa"/>
            <w:vAlign w:val="bottom"/>
          </w:tcPr>
          <w:p>
            <w:pPr>
              <w:jc w:val="center"/>
              <w:ind w:right="68"/>
              <w:spacing w:after="0"/>
              <w:rPr>
                <w:sz w:val="20"/>
                <w:szCs w:val="20"/>
                <w:color w:val="auto"/>
              </w:rPr>
            </w:pPr>
            <w:r>
              <w:rPr>
                <w:rFonts w:ascii="Arial" w:cs="Arial" w:eastAsia="Arial" w:hAnsi="Arial"/>
                <w:sz w:val="14"/>
                <w:szCs w:val="14"/>
                <w:color w:val="54565B"/>
                <w:w w:val="99"/>
              </w:rPr>
              <w:t>20%</w:t>
            </w:r>
          </w:p>
        </w:tc>
      </w:tr>
      <w:tr>
        <w:trPr>
          <w:trHeight w:val="257"/>
        </w:trPr>
        <w:tc>
          <w:tcPr>
            <w:tcW w:w="1360" w:type="dxa"/>
            <w:vAlign w:val="bottom"/>
            <w:shd w:val="clear" w:color="auto" w:fill="EAF7FA"/>
          </w:tcPr>
          <w:p>
            <w:pPr>
              <w:jc w:val="center"/>
              <w:ind w:left="88"/>
              <w:spacing w:after="0"/>
              <w:rPr>
                <w:sz w:val="20"/>
                <w:szCs w:val="20"/>
                <w:color w:val="auto"/>
              </w:rPr>
            </w:pPr>
            <w:r>
              <w:rPr>
                <w:rFonts w:ascii="Arial" w:cs="Arial" w:eastAsia="Arial" w:hAnsi="Arial"/>
                <w:sz w:val="14"/>
                <w:szCs w:val="14"/>
                <w:color w:val="54565B"/>
                <w:w w:val="98"/>
              </w:rPr>
              <w:t>Target</w:t>
            </w:r>
          </w:p>
        </w:tc>
        <w:tc>
          <w:tcPr>
            <w:tcW w:w="1380" w:type="dxa"/>
            <w:vAlign w:val="bottom"/>
            <w:shd w:val="clear" w:color="auto" w:fill="EAF7FA"/>
          </w:tcPr>
          <w:p>
            <w:pPr>
              <w:jc w:val="right"/>
              <w:ind w:right="368"/>
              <w:spacing w:after="0"/>
              <w:rPr>
                <w:sz w:val="20"/>
                <w:szCs w:val="20"/>
                <w:color w:val="auto"/>
              </w:rPr>
            </w:pPr>
            <w:r>
              <w:rPr>
                <w:rFonts w:ascii="Arial" w:cs="Arial" w:eastAsia="Arial" w:hAnsi="Arial"/>
                <w:sz w:val="14"/>
                <w:szCs w:val="14"/>
                <w:color w:val="54565B"/>
              </w:rPr>
              <w:t>$10.50</w:t>
            </w:r>
          </w:p>
        </w:tc>
        <w:tc>
          <w:tcPr>
            <w:tcW w:w="1300" w:type="dxa"/>
            <w:vAlign w:val="bottom"/>
          </w:tcPr>
          <w:p>
            <w:pPr>
              <w:jc w:val="center"/>
              <w:spacing w:after="0"/>
              <w:rPr>
                <w:sz w:val="20"/>
                <w:szCs w:val="20"/>
                <w:color w:val="auto"/>
              </w:rPr>
            </w:pPr>
            <w:r>
              <w:rPr>
                <w:rFonts w:ascii="Arial" w:cs="Arial" w:eastAsia="Arial" w:hAnsi="Arial"/>
                <w:sz w:val="14"/>
                <w:szCs w:val="14"/>
                <w:color w:val="54565B"/>
              </w:rPr>
              <w:t>100%</w:t>
            </w:r>
          </w:p>
        </w:tc>
        <w:tc>
          <w:tcPr>
            <w:tcW w:w="1320" w:type="dxa"/>
            <w:vAlign w:val="bottom"/>
            <w:shd w:val="clear" w:color="auto" w:fill="EAF7FA"/>
          </w:tcPr>
          <w:p>
            <w:pPr>
              <w:jc w:val="center"/>
              <w:spacing w:after="0"/>
              <w:rPr>
                <w:sz w:val="20"/>
                <w:szCs w:val="20"/>
                <w:color w:val="auto"/>
              </w:rPr>
            </w:pPr>
            <w:r>
              <w:rPr>
                <w:rFonts w:ascii="Arial" w:cs="Arial" w:eastAsia="Arial" w:hAnsi="Arial"/>
                <w:sz w:val="14"/>
                <w:szCs w:val="14"/>
                <w:color w:val="54565B"/>
                <w:w w:val="99"/>
              </w:rPr>
              <w:t>16%</w:t>
            </w:r>
          </w:p>
        </w:tc>
        <w:tc>
          <w:tcPr>
            <w:tcW w:w="1300" w:type="dxa"/>
            <w:vAlign w:val="bottom"/>
          </w:tcPr>
          <w:p>
            <w:pPr>
              <w:jc w:val="center"/>
              <w:spacing w:after="0"/>
              <w:rPr>
                <w:sz w:val="20"/>
                <w:szCs w:val="20"/>
                <w:color w:val="auto"/>
              </w:rPr>
            </w:pPr>
            <w:r>
              <w:rPr>
                <w:rFonts w:ascii="Arial" w:cs="Arial" w:eastAsia="Arial" w:hAnsi="Arial"/>
                <w:sz w:val="14"/>
                <w:szCs w:val="14"/>
                <w:color w:val="54565B"/>
              </w:rPr>
              <w:t>100%</w:t>
            </w:r>
          </w:p>
        </w:tc>
        <w:tc>
          <w:tcPr>
            <w:tcW w:w="1320" w:type="dxa"/>
            <w:vAlign w:val="bottom"/>
            <w:shd w:val="clear" w:color="auto" w:fill="EAF7FA"/>
          </w:tcPr>
          <w:p>
            <w:pPr>
              <w:jc w:val="center"/>
              <w:spacing w:after="0"/>
              <w:rPr>
                <w:sz w:val="20"/>
                <w:szCs w:val="20"/>
                <w:color w:val="auto"/>
              </w:rPr>
            </w:pPr>
            <w:r>
              <w:rPr>
                <w:rFonts w:ascii="Arial" w:cs="Arial" w:eastAsia="Arial" w:hAnsi="Arial"/>
                <w:sz w:val="14"/>
                <w:szCs w:val="14"/>
                <w:color w:val="54565B"/>
              </w:rPr>
              <w:t>5th place</w:t>
            </w:r>
          </w:p>
        </w:tc>
        <w:tc>
          <w:tcPr>
            <w:tcW w:w="1420" w:type="dxa"/>
            <w:vAlign w:val="bottom"/>
          </w:tcPr>
          <w:p>
            <w:pPr>
              <w:jc w:val="center"/>
              <w:ind w:right="68"/>
              <w:spacing w:after="0"/>
              <w:rPr>
                <w:sz w:val="20"/>
                <w:szCs w:val="20"/>
                <w:color w:val="auto"/>
              </w:rPr>
            </w:pPr>
            <w:r>
              <w:rPr>
                <w:rFonts w:ascii="Arial" w:cs="Arial" w:eastAsia="Arial" w:hAnsi="Arial"/>
                <w:sz w:val="14"/>
                <w:szCs w:val="14"/>
                <w:color w:val="54565B"/>
              </w:rPr>
              <w:t>100%</w:t>
            </w:r>
          </w:p>
        </w:tc>
      </w:tr>
      <w:tr>
        <w:trPr>
          <w:trHeight w:val="272"/>
        </w:trPr>
        <w:tc>
          <w:tcPr>
            <w:tcW w:w="1360" w:type="dxa"/>
            <w:vAlign w:val="bottom"/>
            <w:tcBorders>
              <w:bottom w:val="single" w:sz="8" w:color="EAF7FA"/>
            </w:tcBorders>
            <w:shd w:val="clear" w:color="auto" w:fill="EAF7FA"/>
          </w:tcPr>
          <w:p>
            <w:pPr>
              <w:jc w:val="center"/>
              <w:ind w:left="108"/>
              <w:spacing w:after="0"/>
              <w:rPr>
                <w:sz w:val="20"/>
                <w:szCs w:val="20"/>
                <w:color w:val="auto"/>
              </w:rPr>
            </w:pPr>
            <w:r>
              <w:rPr>
                <w:rFonts w:ascii="Arial" w:cs="Arial" w:eastAsia="Arial" w:hAnsi="Arial"/>
                <w:sz w:val="14"/>
                <w:szCs w:val="14"/>
                <w:color w:val="54565B"/>
              </w:rPr>
              <w:t>Maximum</w:t>
            </w:r>
          </w:p>
        </w:tc>
        <w:tc>
          <w:tcPr>
            <w:tcW w:w="138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$11.55 or more</w:t>
            </w:r>
          </w:p>
        </w:tc>
        <w:tc>
          <w:tcPr>
            <w:tcW w:w="1300" w:type="dxa"/>
            <w:vAlign w:val="bottom"/>
          </w:tcPr>
          <w:p>
            <w:pPr>
              <w:jc w:val="center"/>
              <w:spacing w:after="0"/>
              <w:rPr>
                <w:sz w:val="20"/>
                <w:szCs w:val="20"/>
                <w:color w:val="auto"/>
              </w:rPr>
            </w:pPr>
            <w:r>
              <w:rPr>
                <w:rFonts w:ascii="Arial" w:cs="Arial" w:eastAsia="Arial" w:hAnsi="Arial"/>
                <w:sz w:val="14"/>
                <w:szCs w:val="14"/>
                <w:color w:val="54565B"/>
              </w:rPr>
              <w:t>Maximum</w:t>
            </w:r>
          </w:p>
        </w:tc>
        <w:tc>
          <w:tcPr>
            <w:tcW w:w="132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20% or more</w:t>
            </w:r>
          </w:p>
        </w:tc>
        <w:tc>
          <w:tcPr>
            <w:tcW w:w="1300" w:type="dxa"/>
            <w:vAlign w:val="bottom"/>
          </w:tcPr>
          <w:p>
            <w:pPr>
              <w:jc w:val="center"/>
              <w:spacing w:after="0"/>
              <w:rPr>
                <w:sz w:val="20"/>
                <w:szCs w:val="20"/>
                <w:color w:val="auto"/>
              </w:rPr>
            </w:pPr>
            <w:r>
              <w:rPr>
                <w:rFonts w:ascii="Arial" w:cs="Arial" w:eastAsia="Arial" w:hAnsi="Arial"/>
                <w:sz w:val="14"/>
                <w:szCs w:val="14"/>
                <w:color w:val="54565B"/>
              </w:rPr>
              <w:t>Maximum</w:t>
            </w:r>
          </w:p>
        </w:tc>
        <w:tc>
          <w:tcPr>
            <w:tcW w:w="132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1st place</w:t>
            </w:r>
          </w:p>
        </w:tc>
        <w:tc>
          <w:tcPr>
            <w:tcW w:w="1420" w:type="dxa"/>
            <w:vAlign w:val="bottom"/>
          </w:tcPr>
          <w:p>
            <w:pPr>
              <w:jc w:val="center"/>
              <w:ind w:right="48"/>
              <w:spacing w:after="0"/>
              <w:rPr>
                <w:sz w:val="20"/>
                <w:szCs w:val="20"/>
                <w:color w:val="auto"/>
              </w:rPr>
            </w:pPr>
            <w:r>
              <w:rPr>
                <w:rFonts w:ascii="Arial" w:cs="Arial" w:eastAsia="Arial" w:hAnsi="Arial"/>
                <w:sz w:val="14"/>
                <w:szCs w:val="14"/>
                <w:color w:val="54565B"/>
              </w:rPr>
              <w:t>Maximum</w:t>
            </w:r>
          </w:p>
        </w:tc>
      </w:tr>
      <w:tr>
        <w:trPr>
          <w:trHeight w:val="20"/>
        </w:trPr>
        <w:tc>
          <w:tcPr>
            <w:tcW w:w="1360" w:type="dxa"/>
            <w:vAlign w:val="bottom"/>
            <w:shd w:val="clear" w:color="auto" w:fill="0B3C61"/>
          </w:tcPr>
          <w:p>
            <w:pPr>
              <w:spacing w:after="0" w:line="20" w:lineRule="exact"/>
              <w:rPr>
                <w:sz w:val="1"/>
                <w:szCs w:val="1"/>
                <w:color w:val="auto"/>
              </w:rPr>
            </w:pPr>
          </w:p>
        </w:tc>
        <w:tc>
          <w:tcPr>
            <w:tcW w:w="1380" w:type="dxa"/>
            <w:vAlign w:val="bottom"/>
            <w:shd w:val="clear" w:color="auto" w:fill="0B3C61"/>
          </w:tcPr>
          <w:p>
            <w:pPr>
              <w:spacing w:after="0" w:line="20" w:lineRule="exact"/>
              <w:rPr>
                <w:sz w:val="1"/>
                <w:szCs w:val="1"/>
                <w:color w:val="auto"/>
              </w:rPr>
            </w:pPr>
          </w:p>
        </w:tc>
        <w:tc>
          <w:tcPr>
            <w:tcW w:w="1300" w:type="dxa"/>
            <w:vAlign w:val="bottom"/>
            <w:shd w:val="clear" w:color="auto" w:fill="0B3C61"/>
          </w:tcPr>
          <w:p>
            <w:pPr>
              <w:spacing w:after="0" w:line="20" w:lineRule="exact"/>
              <w:rPr>
                <w:sz w:val="1"/>
                <w:szCs w:val="1"/>
                <w:color w:val="auto"/>
              </w:rPr>
            </w:pPr>
          </w:p>
        </w:tc>
        <w:tc>
          <w:tcPr>
            <w:tcW w:w="1320" w:type="dxa"/>
            <w:vAlign w:val="bottom"/>
            <w:shd w:val="clear" w:color="auto" w:fill="0B3C61"/>
          </w:tcPr>
          <w:p>
            <w:pPr>
              <w:spacing w:after="0" w:line="20" w:lineRule="exact"/>
              <w:rPr>
                <w:sz w:val="1"/>
                <w:szCs w:val="1"/>
                <w:color w:val="auto"/>
              </w:rPr>
            </w:pPr>
          </w:p>
        </w:tc>
        <w:tc>
          <w:tcPr>
            <w:tcW w:w="1300" w:type="dxa"/>
            <w:vAlign w:val="bottom"/>
            <w:shd w:val="clear" w:color="auto" w:fill="0B3C61"/>
          </w:tcPr>
          <w:p>
            <w:pPr>
              <w:spacing w:after="0" w:line="20" w:lineRule="exact"/>
              <w:rPr>
                <w:sz w:val="1"/>
                <w:szCs w:val="1"/>
                <w:color w:val="auto"/>
              </w:rPr>
            </w:pPr>
          </w:p>
        </w:tc>
        <w:tc>
          <w:tcPr>
            <w:tcW w:w="1320" w:type="dxa"/>
            <w:vAlign w:val="bottom"/>
            <w:shd w:val="clear" w:color="auto" w:fill="0B3C61"/>
          </w:tcPr>
          <w:p>
            <w:pPr>
              <w:spacing w:after="0" w:line="20" w:lineRule="exact"/>
              <w:rPr>
                <w:sz w:val="1"/>
                <w:szCs w:val="1"/>
                <w:color w:val="auto"/>
              </w:rPr>
            </w:pPr>
          </w:p>
        </w:tc>
        <w:tc>
          <w:tcPr>
            <w:tcW w:w="1420" w:type="dxa"/>
            <w:vAlign w:val="bottom"/>
            <w:shd w:val="clear" w:color="auto" w:fill="0B3C61"/>
          </w:tcPr>
          <w:p>
            <w:pPr>
              <w:spacing w:after="0" w:line="20" w:lineRule="exact"/>
              <w:rPr>
                <w:sz w:val="1"/>
                <w:szCs w:val="1"/>
                <w:color w:val="auto"/>
              </w:rPr>
            </w:pPr>
          </w:p>
        </w:tc>
      </w:tr>
    </w:tbl>
    <w:p>
      <w:pPr>
        <w:spacing w:after="0" w:line="144" w:lineRule="exact"/>
        <w:rPr>
          <w:sz w:val="20"/>
          <w:szCs w:val="20"/>
          <w:color w:val="auto"/>
        </w:rPr>
      </w:pPr>
    </w:p>
    <w:p>
      <w:pPr>
        <w:ind w:left="440" w:right="160" w:hanging="272"/>
        <w:spacing w:after="0" w:line="243" w:lineRule="auto"/>
        <w:tabs>
          <w:tab w:leader="none" w:pos="440" w:val="left"/>
        </w:tabs>
        <w:numPr>
          <w:ilvl w:val="0"/>
          <w:numId w:val="19"/>
        </w:numPr>
        <w:rPr>
          <w:rFonts w:ascii="Arial" w:cs="Arial" w:eastAsia="Arial" w:hAnsi="Arial"/>
          <w:sz w:val="13"/>
          <w:szCs w:val="13"/>
          <w:color w:val="54565B"/>
        </w:rPr>
      </w:pPr>
      <w:r>
        <w:rPr>
          <w:rFonts w:ascii="Arial" w:cs="Arial" w:eastAsia="Arial" w:hAnsi="Arial"/>
          <w:sz w:val="13"/>
          <w:szCs w:val="13"/>
          <w:color w:val="54565B"/>
        </w:rPr>
        <w:t>A result below the threshold level does not earn any award. Where results for any metric fell between the threshold, target and maximum performance ranges, the award for the component was to be determined by straight-line interpolation rounded up to the nearest dollar.</w:t>
      </w:r>
    </w:p>
    <w:p>
      <w:pPr>
        <w:spacing w:after="0" w:line="21" w:lineRule="exact"/>
        <w:rPr>
          <w:rFonts w:ascii="Arial" w:cs="Arial" w:eastAsia="Arial" w:hAnsi="Arial"/>
          <w:sz w:val="13"/>
          <w:szCs w:val="13"/>
          <w:color w:val="54565B"/>
        </w:rPr>
      </w:pPr>
    </w:p>
    <w:p>
      <w:pPr>
        <w:ind w:left="440" w:right="60" w:hanging="272"/>
        <w:spacing w:after="0" w:line="233" w:lineRule="auto"/>
        <w:tabs>
          <w:tab w:leader="none" w:pos="440" w:val="left"/>
        </w:tabs>
        <w:numPr>
          <w:ilvl w:val="0"/>
          <w:numId w:val="19"/>
        </w:numPr>
        <w:rPr>
          <w:rFonts w:ascii="Arial" w:cs="Arial" w:eastAsia="Arial" w:hAnsi="Arial"/>
          <w:sz w:val="13"/>
          <w:szCs w:val="13"/>
          <w:color w:val="54565B"/>
        </w:rPr>
      </w:pPr>
      <w:r>
        <w:rPr>
          <w:rFonts w:ascii="Arial" w:cs="Arial" w:eastAsia="Arial" w:hAnsi="Arial"/>
          <w:sz w:val="13"/>
          <w:szCs w:val="13"/>
          <w:color w:val="54565B"/>
        </w:rPr>
        <w:t>The Company’s Relative Annual GBVPS must be in the top third of the 14 companies comprising the Compensation Peer Group to earn a target award. A maximum award is earned only if the Company is first among all Compensation Peer Group companies in annual GBVPS. No award is earned if the Company’s performance places it below the threshold level, which is the bottom third among the Compensation Peer Group.</w:t>
      </w:r>
    </w:p>
    <w:p>
      <w:pPr>
        <w:spacing w:after="0" w:line="6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54565B"/>
        </w:rPr>
        <w:t>As in prior years, 40% of the Annual Plan target award for Mr. Hertzman and Mr. Weiss was determined under the discretionary component by the Co-CEOs based on the Co-CEOs’ evaluation of their respective personal performance against certain business, strategic and development objectives established at the beginning of the year. The determination for Mr. Hertzman and Mr. Weiss included a consideration of all factors deemed relevant, including, but not limited to, operational, qualitative measurements relating to the development and implementation of strategic initiatives and annual objectives; responses to unexpected developments; the development of management personnel; and the impact of any extraordinary transactions involving or affecting the Company and its subsidiaries.</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Annual Bonus Plan – 2025 Component Results and Awards</w:t>
      </w:r>
    </w:p>
    <w:p>
      <w:pPr>
        <w:spacing w:after="0" w:line="139"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54565B"/>
        </w:rPr>
        <w:t>The percentage achievement and award paid to each participant under each component of the Annual Bonus Plan is set forth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480" w:type="dxa"/>
            <w:vAlign w:val="bottom"/>
            <w:shd w:val="clear" w:color="auto" w:fill="0B3C61"/>
          </w:tcPr>
          <w:p>
            <w:pPr>
              <w:spacing w:after="0"/>
              <w:rPr>
                <w:sz w:val="22"/>
                <w:szCs w:val="22"/>
                <w:color w:val="auto"/>
              </w:rPr>
            </w:pPr>
          </w:p>
        </w:tc>
        <w:tc>
          <w:tcPr>
            <w:tcW w:w="1920" w:type="dxa"/>
            <w:vAlign w:val="bottom"/>
            <w:gridSpan w:val="2"/>
            <w:shd w:val="clear" w:color="auto" w:fill="0B3C61"/>
          </w:tcPr>
          <w:p>
            <w:pPr>
              <w:jc w:val="center"/>
              <w:ind w:left="8"/>
              <w:spacing w:after="0"/>
              <w:rPr>
                <w:sz w:val="20"/>
                <w:szCs w:val="20"/>
                <w:color w:val="auto"/>
              </w:rPr>
            </w:pPr>
            <w:r>
              <w:rPr>
                <w:rFonts w:ascii="Arial" w:cs="Arial" w:eastAsia="Arial" w:hAnsi="Arial"/>
                <w:sz w:val="14"/>
                <w:szCs w:val="14"/>
                <w:color w:val="FFFFFF"/>
              </w:rPr>
              <w:t>Reported Operating EPS of</w:t>
            </w:r>
          </w:p>
        </w:tc>
        <w:tc>
          <w:tcPr>
            <w:tcW w:w="1960" w:type="dxa"/>
            <w:vAlign w:val="bottom"/>
            <w:gridSpan w:val="2"/>
            <w:shd w:val="clear" w:color="auto" w:fill="0B3C61"/>
          </w:tcPr>
          <w:p>
            <w:pPr>
              <w:jc w:val="center"/>
              <w:spacing w:after="0"/>
              <w:rPr>
                <w:sz w:val="20"/>
                <w:szCs w:val="20"/>
                <w:color w:val="auto"/>
              </w:rPr>
            </w:pPr>
            <w:r>
              <w:rPr>
                <w:rFonts w:ascii="Arial" w:cs="Arial" w:eastAsia="Arial" w:hAnsi="Arial"/>
                <w:sz w:val="14"/>
                <w:szCs w:val="14"/>
                <w:color w:val="FFFFFF"/>
              </w:rPr>
              <w:t>Reported Annual ROE of</w:t>
            </w:r>
          </w:p>
        </w:tc>
        <w:tc>
          <w:tcPr>
            <w:tcW w:w="1940" w:type="dxa"/>
            <w:vAlign w:val="bottom"/>
            <w:gridSpan w:val="2"/>
            <w:shd w:val="clear" w:color="auto" w:fill="0B3C61"/>
          </w:tcPr>
          <w:p>
            <w:pPr>
              <w:jc w:val="center"/>
              <w:spacing w:after="0"/>
              <w:rPr>
                <w:sz w:val="20"/>
                <w:szCs w:val="20"/>
                <w:color w:val="auto"/>
              </w:rPr>
            </w:pPr>
            <w:r>
              <w:rPr>
                <w:rFonts w:ascii="Arial" w:cs="Arial" w:eastAsia="Arial" w:hAnsi="Arial"/>
                <w:sz w:val="14"/>
                <w:szCs w:val="14"/>
                <w:color w:val="FFFFFF"/>
              </w:rPr>
              <w:t>Relative Annual GBVPS:</w:t>
            </w:r>
          </w:p>
        </w:tc>
        <w:tc>
          <w:tcPr>
            <w:tcW w:w="1180" w:type="dxa"/>
            <w:vAlign w:val="bottom"/>
            <w:shd w:val="clear" w:color="auto" w:fill="0B3C61"/>
          </w:tcPr>
          <w:p>
            <w:pPr>
              <w:spacing w:after="0"/>
              <w:rPr>
                <w:sz w:val="22"/>
                <w:szCs w:val="22"/>
                <w:color w:val="auto"/>
              </w:rPr>
            </w:pPr>
          </w:p>
        </w:tc>
        <w:tc>
          <w:tcPr>
            <w:tcW w:w="920" w:type="dxa"/>
            <w:vAlign w:val="bottom"/>
            <w:shd w:val="clear" w:color="auto" w:fill="0B3C61"/>
          </w:tcPr>
          <w:p>
            <w:pPr>
              <w:spacing w:after="0"/>
              <w:rPr>
                <w:sz w:val="22"/>
                <w:szCs w:val="22"/>
                <w:color w:val="auto"/>
              </w:rPr>
            </w:pPr>
          </w:p>
        </w:tc>
      </w:tr>
      <w:tr>
        <w:trPr>
          <w:trHeight w:val="190"/>
        </w:trPr>
        <w:tc>
          <w:tcPr>
            <w:tcW w:w="1480" w:type="dxa"/>
            <w:vAlign w:val="bottom"/>
            <w:shd w:val="clear" w:color="auto" w:fill="0B3C61"/>
          </w:tcPr>
          <w:p>
            <w:pPr>
              <w:ind w:left="240"/>
              <w:spacing w:after="0"/>
              <w:rPr>
                <w:sz w:val="20"/>
                <w:szCs w:val="20"/>
                <w:color w:val="auto"/>
              </w:rPr>
            </w:pPr>
            <w:r>
              <w:rPr>
                <w:rFonts w:ascii="Arial" w:cs="Arial" w:eastAsia="Arial" w:hAnsi="Arial"/>
                <w:sz w:val="14"/>
                <w:szCs w:val="14"/>
                <w:color w:val="FFFFFF"/>
              </w:rPr>
              <w:t>Results:</w:t>
            </w:r>
          </w:p>
        </w:tc>
        <w:tc>
          <w:tcPr>
            <w:tcW w:w="1260" w:type="dxa"/>
            <w:vAlign w:val="bottom"/>
            <w:shd w:val="clear" w:color="auto" w:fill="0B3C61"/>
          </w:tcPr>
          <w:p>
            <w:pPr>
              <w:jc w:val="right"/>
              <w:spacing w:after="0"/>
              <w:rPr>
                <w:sz w:val="20"/>
                <w:szCs w:val="20"/>
                <w:color w:val="auto"/>
              </w:rPr>
            </w:pPr>
            <w:r>
              <w:rPr>
                <w:rFonts w:ascii="Arial" w:cs="Arial" w:eastAsia="Arial" w:hAnsi="Arial"/>
                <w:sz w:val="14"/>
                <w:szCs w:val="14"/>
                <w:color w:val="FFFFFF"/>
              </w:rPr>
              <w:t>$10.29</w:t>
            </w:r>
          </w:p>
        </w:tc>
        <w:tc>
          <w:tcPr>
            <w:tcW w:w="660" w:type="dxa"/>
            <w:vAlign w:val="bottom"/>
            <w:shd w:val="clear" w:color="auto" w:fill="0B3C61"/>
          </w:tcPr>
          <w:p>
            <w:pPr>
              <w:spacing w:after="0"/>
              <w:rPr>
                <w:sz w:val="16"/>
                <w:szCs w:val="16"/>
                <w:color w:val="auto"/>
              </w:rPr>
            </w:pPr>
          </w:p>
        </w:tc>
        <w:tc>
          <w:tcPr>
            <w:tcW w:w="1280" w:type="dxa"/>
            <w:vAlign w:val="bottom"/>
            <w:shd w:val="clear" w:color="auto" w:fill="0B3C61"/>
          </w:tcPr>
          <w:p>
            <w:pPr>
              <w:jc w:val="right"/>
              <w:spacing w:after="0"/>
              <w:rPr>
                <w:sz w:val="20"/>
                <w:szCs w:val="20"/>
                <w:color w:val="auto"/>
              </w:rPr>
            </w:pPr>
            <w:r>
              <w:rPr>
                <w:rFonts w:ascii="Arial" w:cs="Arial" w:eastAsia="Arial" w:hAnsi="Arial"/>
                <w:sz w:val="14"/>
                <w:szCs w:val="14"/>
                <w:color w:val="FFFFFF"/>
              </w:rPr>
              <w:t>18.2%</w:t>
            </w:r>
          </w:p>
        </w:tc>
        <w:tc>
          <w:tcPr>
            <w:tcW w:w="680" w:type="dxa"/>
            <w:vAlign w:val="bottom"/>
            <w:shd w:val="clear" w:color="auto" w:fill="0B3C61"/>
          </w:tcPr>
          <w:p>
            <w:pPr>
              <w:spacing w:after="0"/>
              <w:rPr>
                <w:sz w:val="16"/>
                <w:szCs w:val="16"/>
                <w:color w:val="auto"/>
              </w:rPr>
            </w:pPr>
          </w:p>
        </w:tc>
        <w:tc>
          <w:tcPr>
            <w:tcW w:w="1940" w:type="dxa"/>
            <w:vAlign w:val="bottom"/>
            <w:gridSpan w:val="2"/>
            <w:shd w:val="clear" w:color="auto" w:fill="0B3C61"/>
          </w:tcPr>
          <w:p>
            <w:pPr>
              <w:jc w:val="center"/>
              <w:ind w:left="28"/>
              <w:spacing w:after="0"/>
              <w:rPr>
                <w:sz w:val="20"/>
                <w:szCs w:val="20"/>
                <w:color w:val="auto"/>
              </w:rPr>
            </w:pPr>
            <w:r>
              <w:rPr>
                <w:rFonts w:ascii="Arial" w:cs="Arial" w:eastAsia="Arial" w:hAnsi="Arial"/>
                <w:sz w:val="14"/>
                <w:szCs w:val="14"/>
                <w:color w:val="FFFFFF"/>
              </w:rPr>
              <w:t>Sixth in Peer Group</w:t>
            </w:r>
          </w:p>
        </w:tc>
        <w:tc>
          <w:tcPr>
            <w:tcW w:w="2100" w:type="dxa"/>
            <w:vAlign w:val="bottom"/>
            <w:gridSpan w:val="2"/>
            <w:shd w:val="clear" w:color="auto" w:fill="0B3C61"/>
          </w:tcPr>
          <w:p>
            <w:pPr>
              <w:ind w:left="380"/>
              <w:spacing w:after="0"/>
              <w:rPr>
                <w:sz w:val="20"/>
                <w:szCs w:val="20"/>
                <w:color w:val="auto"/>
              </w:rPr>
            </w:pPr>
            <w:r>
              <w:rPr>
                <w:rFonts w:ascii="Arial" w:cs="Arial" w:eastAsia="Arial" w:hAnsi="Arial"/>
                <w:sz w:val="14"/>
                <w:szCs w:val="14"/>
                <w:color w:val="FFFFFF"/>
              </w:rPr>
              <w:t>Discretionary Award</w:t>
            </w:r>
          </w:p>
        </w:tc>
      </w:tr>
      <w:tr>
        <w:trPr>
          <w:trHeight w:val="282"/>
        </w:trPr>
        <w:tc>
          <w:tcPr>
            <w:tcW w:w="1480" w:type="dxa"/>
            <w:vAlign w:val="bottom"/>
            <w:shd w:val="clear" w:color="auto" w:fill="0B3C61"/>
          </w:tcPr>
          <w:p>
            <w:pPr>
              <w:spacing w:after="0"/>
              <w:rPr>
                <w:sz w:val="24"/>
                <w:szCs w:val="24"/>
                <w:color w:val="auto"/>
              </w:rPr>
            </w:pPr>
          </w:p>
        </w:tc>
        <w:tc>
          <w:tcPr>
            <w:tcW w:w="126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Award as</w:t>
            </w:r>
          </w:p>
        </w:tc>
        <w:tc>
          <w:tcPr>
            <w:tcW w:w="660" w:type="dxa"/>
            <w:vAlign w:val="bottom"/>
            <w:shd w:val="clear" w:color="auto" w:fill="0B3C61"/>
          </w:tcPr>
          <w:p>
            <w:pPr>
              <w:spacing w:after="0"/>
              <w:rPr>
                <w:sz w:val="24"/>
                <w:szCs w:val="24"/>
                <w:color w:val="auto"/>
              </w:rPr>
            </w:pPr>
          </w:p>
        </w:tc>
        <w:tc>
          <w:tcPr>
            <w:tcW w:w="128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Award as</w:t>
            </w:r>
          </w:p>
        </w:tc>
        <w:tc>
          <w:tcPr>
            <w:tcW w:w="680" w:type="dxa"/>
            <w:vAlign w:val="bottom"/>
            <w:shd w:val="clear" w:color="auto" w:fill="0B3C61"/>
          </w:tcPr>
          <w:p>
            <w:pPr>
              <w:spacing w:after="0"/>
              <w:rPr>
                <w:sz w:val="24"/>
                <w:szCs w:val="24"/>
                <w:color w:val="auto"/>
              </w:rPr>
            </w:pPr>
          </w:p>
        </w:tc>
        <w:tc>
          <w:tcPr>
            <w:tcW w:w="118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Award as</w:t>
            </w:r>
          </w:p>
        </w:tc>
        <w:tc>
          <w:tcPr>
            <w:tcW w:w="760" w:type="dxa"/>
            <w:vAlign w:val="bottom"/>
            <w:shd w:val="clear" w:color="auto" w:fill="0B3C61"/>
          </w:tcPr>
          <w:p>
            <w:pPr>
              <w:spacing w:after="0"/>
              <w:rPr>
                <w:sz w:val="24"/>
                <w:szCs w:val="24"/>
                <w:color w:val="auto"/>
              </w:rPr>
            </w:pPr>
          </w:p>
        </w:tc>
        <w:tc>
          <w:tcPr>
            <w:tcW w:w="118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Award as</w:t>
            </w:r>
          </w:p>
        </w:tc>
        <w:tc>
          <w:tcPr>
            <w:tcW w:w="920" w:type="dxa"/>
            <w:vAlign w:val="bottom"/>
            <w:shd w:val="clear" w:color="auto" w:fill="0B3C61"/>
          </w:tcPr>
          <w:p>
            <w:pPr>
              <w:spacing w:after="0"/>
              <w:rPr>
                <w:sz w:val="24"/>
                <w:szCs w:val="24"/>
                <w:color w:val="auto"/>
              </w:rPr>
            </w:pPr>
          </w:p>
        </w:tc>
      </w:tr>
      <w:tr>
        <w:trPr>
          <w:trHeight w:val="162"/>
        </w:trPr>
        <w:tc>
          <w:tcPr>
            <w:tcW w:w="1480" w:type="dxa"/>
            <w:vAlign w:val="bottom"/>
            <w:shd w:val="clear" w:color="auto" w:fill="0B3C61"/>
          </w:tcPr>
          <w:p>
            <w:pPr>
              <w:spacing w:after="0"/>
              <w:rPr>
                <w:sz w:val="14"/>
                <w:szCs w:val="14"/>
                <w:color w:val="auto"/>
              </w:rPr>
            </w:pPr>
          </w:p>
        </w:tc>
        <w:tc>
          <w:tcPr>
            <w:tcW w:w="126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Percentage of</w:t>
            </w:r>
          </w:p>
        </w:tc>
        <w:tc>
          <w:tcPr>
            <w:tcW w:w="660" w:type="dxa"/>
            <w:vAlign w:val="bottom"/>
            <w:shd w:val="clear" w:color="auto" w:fill="0B3C61"/>
          </w:tcPr>
          <w:p>
            <w:pPr>
              <w:spacing w:after="0"/>
              <w:rPr>
                <w:sz w:val="14"/>
                <w:szCs w:val="14"/>
                <w:color w:val="auto"/>
              </w:rPr>
            </w:pPr>
          </w:p>
        </w:tc>
        <w:tc>
          <w:tcPr>
            <w:tcW w:w="128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Percentage of</w:t>
            </w:r>
          </w:p>
        </w:tc>
        <w:tc>
          <w:tcPr>
            <w:tcW w:w="680" w:type="dxa"/>
            <w:vAlign w:val="bottom"/>
            <w:shd w:val="clear" w:color="auto" w:fill="0B3C61"/>
          </w:tcPr>
          <w:p>
            <w:pPr>
              <w:spacing w:after="0"/>
              <w:rPr>
                <w:sz w:val="14"/>
                <w:szCs w:val="14"/>
                <w:color w:val="auto"/>
              </w:rPr>
            </w:pPr>
          </w:p>
        </w:tc>
        <w:tc>
          <w:tcPr>
            <w:tcW w:w="118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Percentage of</w:t>
            </w:r>
          </w:p>
        </w:tc>
        <w:tc>
          <w:tcPr>
            <w:tcW w:w="760" w:type="dxa"/>
            <w:vAlign w:val="bottom"/>
            <w:shd w:val="clear" w:color="auto" w:fill="0B3C61"/>
          </w:tcPr>
          <w:p>
            <w:pPr>
              <w:spacing w:after="0"/>
              <w:rPr>
                <w:sz w:val="14"/>
                <w:szCs w:val="14"/>
                <w:color w:val="auto"/>
              </w:rPr>
            </w:pPr>
          </w:p>
        </w:tc>
        <w:tc>
          <w:tcPr>
            <w:tcW w:w="1180" w:type="dxa"/>
            <w:vAlign w:val="bottom"/>
            <w:shd w:val="clear" w:color="auto" w:fill="0B3C61"/>
          </w:tcPr>
          <w:p>
            <w:pPr>
              <w:jc w:val="center"/>
              <w:ind w:left="8"/>
              <w:spacing w:after="0"/>
              <w:rPr>
                <w:sz w:val="20"/>
                <w:szCs w:val="20"/>
                <w:color w:val="auto"/>
              </w:rPr>
            </w:pPr>
            <w:r>
              <w:rPr>
                <w:rFonts w:ascii="Arial" w:cs="Arial" w:eastAsia="Arial" w:hAnsi="Arial"/>
                <w:sz w:val="14"/>
                <w:szCs w:val="14"/>
                <w:color w:val="FFFFFF"/>
              </w:rPr>
              <w:t>Percentage of</w:t>
            </w:r>
          </w:p>
        </w:tc>
        <w:tc>
          <w:tcPr>
            <w:tcW w:w="920" w:type="dxa"/>
            <w:vAlign w:val="bottom"/>
            <w:shd w:val="clear" w:color="auto" w:fill="0B3C61"/>
          </w:tcPr>
          <w:p>
            <w:pPr>
              <w:spacing w:after="0"/>
              <w:rPr>
                <w:sz w:val="14"/>
                <w:szCs w:val="14"/>
                <w:color w:val="auto"/>
              </w:rPr>
            </w:pPr>
          </w:p>
        </w:tc>
      </w:tr>
      <w:tr>
        <w:trPr>
          <w:trHeight w:val="190"/>
        </w:trPr>
        <w:tc>
          <w:tcPr>
            <w:tcW w:w="1480" w:type="dxa"/>
            <w:vAlign w:val="bottom"/>
            <w:shd w:val="clear" w:color="auto" w:fill="0B3C61"/>
          </w:tcPr>
          <w:p>
            <w:pPr>
              <w:spacing w:after="0"/>
              <w:rPr>
                <w:sz w:val="16"/>
                <w:szCs w:val="16"/>
                <w:color w:val="auto"/>
              </w:rPr>
            </w:pPr>
          </w:p>
        </w:tc>
        <w:tc>
          <w:tcPr>
            <w:tcW w:w="126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Target (%)</w:t>
            </w:r>
          </w:p>
        </w:tc>
        <w:tc>
          <w:tcPr>
            <w:tcW w:w="660" w:type="dxa"/>
            <w:vAlign w:val="bottom"/>
            <w:shd w:val="clear" w:color="auto" w:fill="0B3C61"/>
          </w:tcPr>
          <w:p>
            <w:pPr>
              <w:ind w:left="40"/>
              <w:spacing w:after="0"/>
              <w:rPr>
                <w:sz w:val="20"/>
                <w:szCs w:val="20"/>
                <w:color w:val="auto"/>
              </w:rPr>
            </w:pPr>
            <w:r>
              <w:rPr>
                <w:rFonts w:ascii="Arial" w:cs="Arial" w:eastAsia="Arial" w:hAnsi="Arial"/>
                <w:sz w:val="14"/>
                <w:szCs w:val="14"/>
                <w:color w:val="FFFFFF"/>
                <w:w w:val="98"/>
              </w:rPr>
              <w:t>Award ($)</w:t>
            </w:r>
          </w:p>
        </w:tc>
        <w:tc>
          <w:tcPr>
            <w:tcW w:w="1280" w:type="dxa"/>
            <w:vAlign w:val="bottom"/>
            <w:shd w:val="clear" w:color="auto" w:fill="0B3C61"/>
          </w:tcPr>
          <w:p>
            <w:pPr>
              <w:jc w:val="center"/>
              <w:spacing w:after="0"/>
              <w:rPr>
                <w:sz w:val="20"/>
                <w:szCs w:val="20"/>
                <w:color w:val="auto"/>
              </w:rPr>
            </w:pPr>
            <w:r>
              <w:rPr>
                <w:rFonts w:ascii="Arial" w:cs="Arial" w:eastAsia="Arial" w:hAnsi="Arial"/>
                <w:sz w:val="14"/>
                <w:szCs w:val="14"/>
                <w:color w:val="FFFFFF"/>
                <w:w w:val="99"/>
              </w:rPr>
              <w:t>Target (%)</w:t>
            </w:r>
          </w:p>
        </w:tc>
        <w:tc>
          <w:tcPr>
            <w:tcW w:w="680" w:type="dxa"/>
            <w:vAlign w:val="bottom"/>
            <w:shd w:val="clear" w:color="auto" w:fill="0B3C61"/>
          </w:tcPr>
          <w:p>
            <w:pPr>
              <w:ind w:left="40"/>
              <w:spacing w:after="0"/>
              <w:rPr>
                <w:sz w:val="20"/>
                <w:szCs w:val="20"/>
                <w:color w:val="auto"/>
              </w:rPr>
            </w:pPr>
            <w:r>
              <w:rPr>
                <w:rFonts w:ascii="Arial" w:cs="Arial" w:eastAsia="Arial" w:hAnsi="Arial"/>
                <w:sz w:val="14"/>
                <w:szCs w:val="14"/>
                <w:color w:val="FFFFFF"/>
              </w:rPr>
              <w:t>Award ($)</w:t>
            </w:r>
          </w:p>
        </w:tc>
        <w:tc>
          <w:tcPr>
            <w:tcW w:w="1180" w:type="dxa"/>
            <w:vAlign w:val="bottom"/>
            <w:shd w:val="clear" w:color="auto" w:fill="0B3C61"/>
          </w:tcPr>
          <w:p>
            <w:pPr>
              <w:jc w:val="center"/>
              <w:ind w:left="28"/>
              <w:spacing w:after="0"/>
              <w:rPr>
                <w:sz w:val="20"/>
                <w:szCs w:val="20"/>
                <w:color w:val="auto"/>
              </w:rPr>
            </w:pPr>
            <w:r>
              <w:rPr>
                <w:rFonts w:ascii="Arial" w:cs="Arial" w:eastAsia="Arial" w:hAnsi="Arial"/>
                <w:sz w:val="14"/>
                <w:szCs w:val="14"/>
                <w:color w:val="FFFFFF"/>
              </w:rPr>
              <w:t>Target (%)</w:t>
            </w:r>
          </w:p>
        </w:tc>
        <w:tc>
          <w:tcPr>
            <w:tcW w:w="760" w:type="dxa"/>
            <w:vAlign w:val="bottom"/>
            <w:shd w:val="clear" w:color="auto" w:fill="0B3C61"/>
          </w:tcPr>
          <w:p>
            <w:pPr>
              <w:ind w:left="120"/>
              <w:spacing w:after="0"/>
              <w:rPr>
                <w:sz w:val="20"/>
                <w:szCs w:val="20"/>
                <w:color w:val="auto"/>
              </w:rPr>
            </w:pPr>
            <w:r>
              <w:rPr>
                <w:rFonts w:ascii="Arial" w:cs="Arial" w:eastAsia="Arial" w:hAnsi="Arial"/>
                <w:sz w:val="14"/>
                <w:szCs w:val="14"/>
                <w:color w:val="FFFFFF"/>
              </w:rPr>
              <w:t>Award ($)</w:t>
            </w:r>
          </w:p>
        </w:tc>
        <w:tc>
          <w:tcPr>
            <w:tcW w:w="1180" w:type="dxa"/>
            <w:vAlign w:val="bottom"/>
            <w:shd w:val="clear" w:color="auto" w:fill="0B3C61"/>
          </w:tcPr>
          <w:p>
            <w:pPr>
              <w:jc w:val="center"/>
              <w:ind w:left="48"/>
              <w:spacing w:after="0"/>
              <w:rPr>
                <w:sz w:val="20"/>
                <w:szCs w:val="20"/>
                <w:color w:val="auto"/>
              </w:rPr>
            </w:pPr>
            <w:r>
              <w:rPr>
                <w:rFonts w:ascii="Arial" w:cs="Arial" w:eastAsia="Arial" w:hAnsi="Arial"/>
                <w:sz w:val="14"/>
                <w:szCs w:val="14"/>
                <w:color w:val="FFFFFF"/>
                <w:w w:val="99"/>
              </w:rPr>
              <w:t>Target (%)</w:t>
            </w:r>
          </w:p>
        </w:tc>
        <w:tc>
          <w:tcPr>
            <w:tcW w:w="920" w:type="dxa"/>
            <w:vAlign w:val="bottom"/>
            <w:shd w:val="clear" w:color="auto" w:fill="0B3C61"/>
          </w:tcPr>
          <w:p>
            <w:pPr>
              <w:ind w:left="120"/>
              <w:spacing w:after="0"/>
              <w:rPr>
                <w:sz w:val="20"/>
                <w:szCs w:val="20"/>
                <w:color w:val="auto"/>
              </w:rPr>
            </w:pPr>
            <w:r>
              <w:rPr>
                <w:rFonts w:ascii="Arial" w:cs="Arial" w:eastAsia="Arial" w:hAnsi="Arial"/>
                <w:sz w:val="14"/>
                <w:szCs w:val="14"/>
                <w:color w:val="FFFFFF"/>
              </w:rPr>
              <w:t>Award ($)</w:t>
            </w:r>
          </w:p>
        </w:tc>
      </w:tr>
      <w:tr>
        <w:trPr>
          <w:trHeight w:val="62"/>
        </w:trPr>
        <w:tc>
          <w:tcPr>
            <w:tcW w:w="1480" w:type="dxa"/>
            <w:vAlign w:val="bottom"/>
            <w:shd w:val="clear" w:color="auto" w:fill="0B3C61"/>
          </w:tcPr>
          <w:p>
            <w:pPr>
              <w:spacing w:after="0"/>
              <w:rPr>
                <w:sz w:val="5"/>
                <w:szCs w:val="5"/>
                <w:color w:val="auto"/>
              </w:rPr>
            </w:pPr>
          </w:p>
        </w:tc>
        <w:tc>
          <w:tcPr>
            <w:tcW w:w="1260" w:type="dxa"/>
            <w:vAlign w:val="bottom"/>
            <w:shd w:val="clear" w:color="auto" w:fill="0B3C61"/>
          </w:tcPr>
          <w:p>
            <w:pPr>
              <w:spacing w:after="0"/>
              <w:rPr>
                <w:sz w:val="5"/>
                <w:szCs w:val="5"/>
                <w:color w:val="auto"/>
              </w:rPr>
            </w:pPr>
          </w:p>
        </w:tc>
        <w:tc>
          <w:tcPr>
            <w:tcW w:w="660" w:type="dxa"/>
            <w:vAlign w:val="bottom"/>
            <w:shd w:val="clear" w:color="auto" w:fill="0B3C61"/>
          </w:tcPr>
          <w:p>
            <w:pPr>
              <w:spacing w:after="0"/>
              <w:rPr>
                <w:sz w:val="5"/>
                <w:szCs w:val="5"/>
                <w:color w:val="auto"/>
              </w:rPr>
            </w:pPr>
          </w:p>
        </w:tc>
        <w:tc>
          <w:tcPr>
            <w:tcW w:w="1280" w:type="dxa"/>
            <w:vAlign w:val="bottom"/>
            <w:shd w:val="clear" w:color="auto" w:fill="0B3C61"/>
          </w:tcPr>
          <w:p>
            <w:pPr>
              <w:spacing w:after="0"/>
              <w:rPr>
                <w:sz w:val="5"/>
                <w:szCs w:val="5"/>
                <w:color w:val="auto"/>
              </w:rPr>
            </w:pPr>
          </w:p>
        </w:tc>
        <w:tc>
          <w:tcPr>
            <w:tcW w:w="680" w:type="dxa"/>
            <w:vAlign w:val="bottom"/>
            <w:shd w:val="clear" w:color="auto" w:fill="0B3C61"/>
          </w:tcPr>
          <w:p>
            <w:pPr>
              <w:spacing w:after="0"/>
              <w:rPr>
                <w:sz w:val="5"/>
                <w:szCs w:val="5"/>
                <w:color w:val="auto"/>
              </w:rPr>
            </w:pPr>
          </w:p>
        </w:tc>
        <w:tc>
          <w:tcPr>
            <w:tcW w:w="1180" w:type="dxa"/>
            <w:vAlign w:val="bottom"/>
            <w:shd w:val="clear" w:color="auto" w:fill="0B3C61"/>
          </w:tcPr>
          <w:p>
            <w:pPr>
              <w:spacing w:after="0"/>
              <w:rPr>
                <w:sz w:val="5"/>
                <w:szCs w:val="5"/>
                <w:color w:val="auto"/>
              </w:rPr>
            </w:pPr>
          </w:p>
        </w:tc>
        <w:tc>
          <w:tcPr>
            <w:tcW w:w="760" w:type="dxa"/>
            <w:vAlign w:val="bottom"/>
            <w:shd w:val="clear" w:color="auto" w:fill="0B3C61"/>
          </w:tcPr>
          <w:p>
            <w:pPr>
              <w:spacing w:after="0"/>
              <w:rPr>
                <w:sz w:val="5"/>
                <w:szCs w:val="5"/>
                <w:color w:val="auto"/>
              </w:rPr>
            </w:pPr>
          </w:p>
        </w:tc>
        <w:tc>
          <w:tcPr>
            <w:tcW w:w="1180" w:type="dxa"/>
            <w:vAlign w:val="bottom"/>
            <w:shd w:val="clear" w:color="auto" w:fill="0B3C61"/>
          </w:tcPr>
          <w:p>
            <w:pPr>
              <w:spacing w:after="0"/>
              <w:rPr>
                <w:sz w:val="5"/>
                <w:szCs w:val="5"/>
                <w:color w:val="auto"/>
              </w:rPr>
            </w:pPr>
          </w:p>
        </w:tc>
        <w:tc>
          <w:tcPr>
            <w:tcW w:w="920" w:type="dxa"/>
            <w:vAlign w:val="bottom"/>
            <w:shd w:val="clear" w:color="auto" w:fill="0B3C61"/>
          </w:tcPr>
          <w:p>
            <w:pPr>
              <w:spacing w:after="0"/>
              <w:rPr>
                <w:sz w:val="5"/>
                <w:szCs w:val="5"/>
                <w:color w:val="auto"/>
              </w:rPr>
            </w:pPr>
          </w:p>
        </w:tc>
      </w:tr>
      <w:tr>
        <w:trPr>
          <w:trHeight w:val="268"/>
        </w:trPr>
        <w:tc>
          <w:tcPr>
            <w:tcW w:w="1480" w:type="dxa"/>
            <w:vAlign w:val="bottom"/>
          </w:tcPr>
          <w:p>
            <w:pPr>
              <w:ind w:left="240"/>
              <w:spacing w:after="0"/>
              <w:rPr>
                <w:sz w:val="20"/>
                <w:szCs w:val="20"/>
                <w:color w:val="auto"/>
              </w:rPr>
            </w:pPr>
            <w:r>
              <w:rPr>
                <w:rFonts w:ascii="Arial" w:cs="Arial" w:eastAsia="Arial" w:hAnsi="Arial"/>
                <w:sz w:val="14"/>
                <w:szCs w:val="14"/>
                <w:b w:val="1"/>
                <w:bCs w:val="1"/>
                <w:color w:val="54565B"/>
              </w:rPr>
              <w:t>Carl H. Lindner III</w:t>
            </w:r>
          </w:p>
        </w:tc>
        <w:tc>
          <w:tcPr>
            <w:tcW w:w="1260" w:type="dxa"/>
            <w:vAlign w:val="bottom"/>
          </w:tcPr>
          <w:p>
            <w:pPr>
              <w:jc w:val="center"/>
              <w:spacing w:after="0"/>
              <w:rPr>
                <w:sz w:val="20"/>
                <w:szCs w:val="20"/>
                <w:color w:val="auto"/>
              </w:rPr>
            </w:pPr>
            <w:r>
              <w:rPr>
                <w:rFonts w:ascii="Arial" w:cs="Arial" w:eastAsia="Arial" w:hAnsi="Arial"/>
                <w:sz w:val="14"/>
                <w:szCs w:val="14"/>
                <w:color w:val="54565B"/>
              </w:rPr>
              <w:t>92.0</w:t>
            </w:r>
          </w:p>
        </w:tc>
        <w:tc>
          <w:tcPr>
            <w:tcW w:w="660" w:type="dxa"/>
            <w:vAlign w:val="bottom"/>
          </w:tcPr>
          <w:p>
            <w:pPr>
              <w:jc w:val="center"/>
              <w:spacing w:after="0"/>
              <w:rPr>
                <w:sz w:val="20"/>
                <w:szCs w:val="20"/>
                <w:color w:val="auto"/>
              </w:rPr>
            </w:pPr>
            <w:r>
              <w:rPr>
                <w:rFonts w:ascii="Arial" w:cs="Arial" w:eastAsia="Arial" w:hAnsi="Arial"/>
                <w:sz w:val="14"/>
                <w:szCs w:val="14"/>
                <w:color w:val="54565B"/>
              </w:rPr>
              <w:t>719,440</w:t>
            </w:r>
          </w:p>
        </w:tc>
        <w:tc>
          <w:tcPr>
            <w:tcW w:w="1280" w:type="dxa"/>
            <w:vAlign w:val="bottom"/>
          </w:tcPr>
          <w:p>
            <w:pPr>
              <w:jc w:val="center"/>
              <w:spacing w:after="0"/>
              <w:rPr>
                <w:sz w:val="20"/>
                <w:szCs w:val="20"/>
                <w:color w:val="auto"/>
              </w:rPr>
            </w:pPr>
            <w:r>
              <w:rPr>
                <w:rFonts w:ascii="Arial" w:cs="Arial" w:eastAsia="Arial" w:hAnsi="Arial"/>
                <w:sz w:val="14"/>
                <w:szCs w:val="14"/>
                <w:color w:val="54565B"/>
              </w:rPr>
              <w:t>127.5</w:t>
            </w:r>
          </w:p>
        </w:tc>
        <w:tc>
          <w:tcPr>
            <w:tcW w:w="680" w:type="dxa"/>
            <w:vAlign w:val="bottom"/>
          </w:tcPr>
          <w:p>
            <w:pPr>
              <w:jc w:val="center"/>
              <w:spacing w:after="0"/>
              <w:rPr>
                <w:sz w:val="20"/>
                <w:szCs w:val="20"/>
                <w:color w:val="auto"/>
              </w:rPr>
            </w:pPr>
            <w:r>
              <w:rPr>
                <w:rFonts w:ascii="Arial" w:cs="Arial" w:eastAsia="Arial" w:hAnsi="Arial"/>
                <w:sz w:val="14"/>
                <w:szCs w:val="14"/>
                <w:color w:val="54565B"/>
              </w:rPr>
              <w:t>967,725</w:t>
            </w:r>
          </w:p>
        </w:tc>
        <w:tc>
          <w:tcPr>
            <w:tcW w:w="1180" w:type="dxa"/>
            <w:vAlign w:val="bottom"/>
          </w:tcPr>
          <w:p>
            <w:pPr>
              <w:jc w:val="center"/>
              <w:ind w:left="28"/>
              <w:spacing w:after="0"/>
              <w:rPr>
                <w:sz w:val="20"/>
                <w:szCs w:val="20"/>
                <w:color w:val="auto"/>
              </w:rPr>
            </w:pPr>
            <w:r>
              <w:rPr>
                <w:rFonts w:ascii="Arial" w:cs="Arial" w:eastAsia="Arial" w:hAnsi="Arial"/>
                <w:sz w:val="14"/>
                <w:szCs w:val="14"/>
                <w:color w:val="54565B"/>
              </w:rPr>
              <w:t>84.0</w:t>
            </w:r>
          </w:p>
        </w:tc>
        <w:tc>
          <w:tcPr>
            <w:tcW w:w="760" w:type="dxa"/>
            <w:vAlign w:val="bottom"/>
          </w:tcPr>
          <w:p>
            <w:pPr>
              <w:jc w:val="center"/>
              <w:ind w:left="48"/>
              <w:spacing w:after="0"/>
              <w:rPr>
                <w:sz w:val="20"/>
                <w:szCs w:val="20"/>
                <w:color w:val="auto"/>
              </w:rPr>
            </w:pPr>
            <w:r>
              <w:rPr>
                <w:rFonts w:ascii="Arial" w:cs="Arial" w:eastAsia="Arial" w:hAnsi="Arial"/>
                <w:sz w:val="14"/>
                <w:szCs w:val="14"/>
                <w:color w:val="54565B"/>
              </w:rPr>
              <w:t>637,560​</w:t>
            </w:r>
          </w:p>
        </w:tc>
        <w:tc>
          <w:tcPr>
            <w:tcW w:w="1180" w:type="dxa"/>
            <w:vAlign w:val="bottom"/>
          </w:tcPr>
          <w:p>
            <w:pPr>
              <w:jc w:val="center"/>
              <w:ind w:left="48"/>
              <w:spacing w:after="0"/>
              <w:rPr>
                <w:sz w:val="20"/>
                <w:szCs w:val="20"/>
                <w:color w:val="auto"/>
              </w:rPr>
            </w:pPr>
            <w:r>
              <w:rPr>
                <w:rFonts w:ascii="Arial" w:cs="Arial" w:eastAsia="Arial" w:hAnsi="Arial"/>
                <w:sz w:val="14"/>
                <w:szCs w:val="14"/>
                <w:color w:val="54565B"/>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54565B"/>
                <w:w w:val="99"/>
              </w:rPr>
              <w:t>—</w:t>
            </w:r>
          </w:p>
        </w:tc>
      </w:tr>
      <w:tr>
        <w:trPr>
          <w:trHeight w:val="29"/>
        </w:trPr>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148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b w:val="1"/>
                <w:bCs w:val="1"/>
                <w:color w:val="54565B"/>
              </w:rPr>
              <w:t>S. Craig Lindner</w:t>
            </w:r>
          </w:p>
        </w:tc>
        <w:tc>
          <w:tcPr>
            <w:tcW w:w="126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92.0</w:t>
            </w:r>
          </w:p>
        </w:tc>
        <w:tc>
          <w:tcPr>
            <w:tcW w:w="66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719,440</w:t>
            </w:r>
          </w:p>
        </w:tc>
        <w:tc>
          <w:tcPr>
            <w:tcW w:w="128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127.5</w:t>
            </w:r>
          </w:p>
        </w:tc>
        <w:tc>
          <w:tcPr>
            <w:tcW w:w="68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967,725</w:t>
            </w:r>
          </w:p>
        </w:tc>
        <w:tc>
          <w:tcPr>
            <w:tcW w:w="1180" w:type="dxa"/>
            <w:vAlign w:val="bottom"/>
            <w:tcBorders>
              <w:bottom w:val="single" w:sz="8" w:color="EAF7FA"/>
            </w:tcBorders>
            <w:shd w:val="clear" w:color="auto" w:fill="EAF7FA"/>
          </w:tcPr>
          <w:p>
            <w:pPr>
              <w:jc w:val="center"/>
              <w:ind w:left="28"/>
              <w:spacing w:after="0"/>
              <w:rPr>
                <w:sz w:val="20"/>
                <w:szCs w:val="20"/>
                <w:color w:val="auto"/>
              </w:rPr>
            </w:pPr>
            <w:r>
              <w:rPr>
                <w:rFonts w:ascii="Arial" w:cs="Arial" w:eastAsia="Arial" w:hAnsi="Arial"/>
                <w:sz w:val="14"/>
                <w:szCs w:val="14"/>
                <w:color w:val="54565B"/>
              </w:rPr>
              <w:t>84.0</w:t>
            </w:r>
          </w:p>
        </w:tc>
        <w:tc>
          <w:tcPr>
            <w:tcW w:w="760" w:type="dxa"/>
            <w:vAlign w:val="bottom"/>
            <w:tcBorders>
              <w:bottom w:val="single" w:sz="8" w:color="EAF7FA"/>
            </w:tcBorders>
            <w:shd w:val="clear" w:color="auto" w:fill="EAF7FA"/>
          </w:tcPr>
          <w:p>
            <w:pPr>
              <w:jc w:val="center"/>
              <w:ind w:left="48"/>
              <w:spacing w:after="0"/>
              <w:rPr>
                <w:sz w:val="20"/>
                <w:szCs w:val="20"/>
                <w:color w:val="auto"/>
              </w:rPr>
            </w:pPr>
            <w:r>
              <w:rPr>
                <w:rFonts w:ascii="Arial" w:cs="Arial" w:eastAsia="Arial" w:hAnsi="Arial"/>
                <w:sz w:val="14"/>
                <w:szCs w:val="14"/>
                <w:color w:val="54565B"/>
              </w:rPr>
              <w:t>637,560​</w:t>
            </w:r>
          </w:p>
        </w:tc>
        <w:tc>
          <w:tcPr>
            <w:tcW w:w="1180" w:type="dxa"/>
            <w:vAlign w:val="bottom"/>
            <w:tcBorders>
              <w:bottom w:val="single" w:sz="8" w:color="EAF7FA"/>
            </w:tcBorders>
            <w:shd w:val="clear" w:color="auto" w:fill="EAF7FA"/>
          </w:tcPr>
          <w:p>
            <w:pPr>
              <w:jc w:val="center"/>
              <w:ind w:left="48"/>
              <w:spacing w:after="0"/>
              <w:rPr>
                <w:sz w:val="20"/>
                <w:szCs w:val="20"/>
                <w:color w:val="auto"/>
              </w:rPr>
            </w:pPr>
            <w:r>
              <w:rPr>
                <w:rFonts w:ascii="Arial" w:cs="Arial" w:eastAsia="Arial" w:hAnsi="Arial"/>
                <w:sz w:val="14"/>
                <w:szCs w:val="14"/>
                <w:color w:val="54565B"/>
                <w:w w:val="99"/>
              </w:rPr>
              <w:t>—</w:t>
            </w:r>
          </w:p>
        </w:tc>
        <w:tc>
          <w:tcPr>
            <w:tcW w:w="92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w w:val="99"/>
              </w:rPr>
              <w:t>—</w:t>
            </w:r>
          </w:p>
        </w:tc>
      </w:tr>
      <w:tr>
        <w:trPr>
          <w:trHeight w:val="228"/>
        </w:trPr>
        <w:tc>
          <w:tcPr>
            <w:tcW w:w="1480" w:type="dxa"/>
            <w:vAlign w:val="bottom"/>
          </w:tcPr>
          <w:p>
            <w:pPr>
              <w:ind w:left="240"/>
              <w:spacing w:after="0"/>
              <w:rPr>
                <w:sz w:val="20"/>
                <w:szCs w:val="20"/>
                <w:color w:val="auto"/>
              </w:rPr>
            </w:pPr>
            <w:r>
              <w:rPr>
                <w:rFonts w:ascii="Arial" w:cs="Arial" w:eastAsia="Arial" w:hAnsi="Arial"/>
                <w:sz w:val="14"/>
                <w:szCs w:val="14"/>
                <w:b w:val="1"/>
                <w:bCs w:val="1"/>
                <w:color w:val="54565B"/>
              </w:rPr>
              <w:t>John B. Berding</w:t>
            </w:r>
          </w:p>
        </w:tc>
        <w:tc>
          <w:tcPr>
            <w:tcW w:w="1260" w:type="dxa"/>
            <w:vAlign w:val="bottom"/>
          </w:tcPr>
          <w:p>
            <w:pPr>
              <w:jc w:val="center"/>
              <w:spacing w:after="0"/>
              <w:rPr>
                <w:sz w:val="20"/>
                <w:szCs w:val="20"/>
                <w:color w:val="auto"/>
              </w:rPr>
            </w:pPr>
            <w:r>
              <w:rPr>
                <w:rFonts w:ascii="Arial" w:cs="Arial" w:eastAsia="Arial" w:hAnsi="Arial"/>
                <w:sz w:val="14"/>
                <w:szCs w:val="14"/>
                <w:color w:val="54565B"/>
              </w:rPr>
              <w:t>92.0</w:t>
            </w:r>
          </w:p>
        </w:tc>
        <w:tc>
          <w:tcPr>
            <w:tcW w:w="660" w:type="dxa"/>
            <w:vAlign w:val="bottom"/>
          </w:tcPr>
          <w:p>
            <w:pPr>
              <w:jc w:val="center"/>
              <w:spacing w:after="0"/>
              <w:rPr>
                <w:sz w:val="20"/>
                <w:szCs w:val="20"/>
                <w:color w:val="auto"/>
              </w:rPr>
            </w:pPr>
            <w:r>
              <w:rPr>
                <w:rFonts w:ascii="Arial" w:cs="Arial" w:eastAsia="Arial" w:hAnsi="Arial"/>
                <w:sz w:val="14"/>
                <w:szCs w:val="14"/>
                <w:color w:val="54565B"/>
              </w:rPr>
              <w:t>547,400</w:t>
            </w:r>
          </w:p>
        </w:tc>
        <w:tc>
          <w:tcPr>
            <w:tcW w:w="1280" w:type="dxa"/>
            <w:vAlign w:val="bottom"/>
          </w:tcPr>
          <w:p>
            <w:pPr>
              <w:jc w:val="center"/>
              <w:spacing w:after="0"/>
              <w:rPr>
                <w:sz w:val="20"/>
                <w:szCs w:val="20"/>
                <w:color w:val="auto"/>
              </w:rPr>
            </w:pPr>
            <w:r>
              <w:rPr>
                <w:rFonts w:ascii="Arial" w:cs="Arial" w:eastAsia="Arial" w:hAnsi="Arial"/>
                <w:sz w:val="14"/>
                <w:szCs w:val="14"/>
                <w:color w:val="54565B"/>
              </w:rPr>
              <w:t>122.0</w:t>
            </w:r>
          </w:p>
        </w:tc>
        <w:tc>
          <w:tcPr>
            <w:tcW w:w="680" w:type="dxa"/>
            <w:vAlign w:val="bottom"/>
          </w:tcPr>
          <w:p>
            <w:pPr>
              <w:jc w:val="center"/>
              <w:spacing w:after="0"/>
              <w:rPr>
                <w:sz w:val="20"/>
                <w:szCs w:val="20"/>
                <w:color w:val="auto"/>
              </w:rPr>
            </w:pPr>
            <w:r>
              <w:rPr>
                <w:rFonts w:ascii="Arial" w:cs="Arial" w:eastAsia="Arial" w:hAnsi="Arial"/>
                <w:sz w:val="14"/>
                <w:szCs w:val="14"/>
                <w:color w:val="54565B"/>
              </w:rPr>
              <w:t>704,550</w:t>
            </w:r>
          </w:p>
        </w:tc>
        <w:tc>
          <w:tcPr>
            <w:tcW w:w="1180" w:type="dxa"/>
            <w:vAlign w:val="bottom"/>
          </w:tcPr>
          <w:p>
            <w:pPr>
              <w:jc w:val="center"/>
              <w:ind w:left="28"/>
              <w:spacing w:after="0"/>
              <w:rPr>
                <w:sz w:val="20"/>
                <w:szCs w:val="20"/>
                <w:color w:val="auto"/>
              </w:rPr>
            </w:pPr>
            <w:r>
              <w:rPr>
                <w:rFonts w:ascii="Arial" w:cs="Arial" w:eastAsia="Arial" w:hAnsi="Arial"/>
                <w:sz w:val="14"/>
                <w:szCs w:val="14"/>
                <w:color w:val="54565B"/>
              </w:rPr>
              <w:t>84.0</w:t>
            </w:r>
          </w:p>
        </w:tc>
        <w:tc>
          <w:tcPr>
            <w:tcW w:w="760" w:type="dxa"/>
            <w:vAlign w:val="bottom"/>
          </w:tcPr>
          <w:p>
            <w:pPr>
              <w:jc w:val="center"/>
              <w:ind w:left="48"/>
              <w:spacing w:after="0"/>
              <w:rPr>
                <w:sz w:val="20"/>
                <w:szCs w:val="20"/>
                <w:color w:val="auto"/>
              </w:rPr>
            </w:pPr>
            <w:r>
              <w:rPr>
                <w:rFonts w:ascii="Arial" w:cs="Arial" w:eastAsia="Arial" w:hAnsi="Arial"/>
                <w:sz w:val="14"/>
                <w:szCs w:val="14"/>
                <w:color w:val="54565B"/>
              </w:rPr>
              <w:t>485,100​</w:t>
            </w:r>
          </w:p>
        </w:tc>
        <w:tc>
          <w:tcPr>
            <w:tcW w:w="1180" w:type="dxa"/>
            <w:vAlign w:val="bottom"/>
          </w:tcPr>
          <w:p>
            <w:pPr>
              <w:jc w:val="center"/>
              <w:ind w:left="48"/>
              <w:spacing w:after="0"/>
              <w:rPr>
                <w:sz w:val="20"/>
                <w:szCs w:val="20"/>
                <w:color w:val="auto"/>
              </w:rPr>
            </w:pPr>
            <w:r>
              <w:rPr>
                <w:rFonts w:ascii="Arial" w:cs="Arial" w:eastAsia="Arial" w:hAnsi="Arial"/>
                <w:sz w:val="14"/>
                <w:szCs w:val="14"/>
                <w:color w:val="54565B"/>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54565B"/>
                <w:w w:val="99"/>
              </w:rPr>
              <w:t>—</w:t>
            </w:r>
          </w:p>
        </w:tc>
      </w:tr>
      <w:tr>
        <w:trPr>
          <w:trHeight w:val="29"/>
        </w:trPr>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6"/>
        </w:trPr>
        <w:tc>
          <w:tcPr>
            <w:tcW w:w="148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b w:val="1"/>
                <w:bCs w:val="1"/>
                <w:color w:val="54565B"/>
              </w:rPr>
              <w:t>Brian S. Hertzman</w:t>
            </w:r>
          </w:p>
        </w:tc>
        <w:tc>
          <w:tcPr>
            <w:tcW w:w="126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92.0</w:t>
            </w:r>
          </w:p>
        </w:tc>
        <w:tc>
          <w:tcPr>
            <w:tcW w:w="66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77,280</w:t>
            </w:r>
          </w:p>
        </w:tc>
        <w:tc>
          <w:tcPr>
            <w:tcW w:w="128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113.8</w:t>
            </w:r>
          </w:p>
        </w:tc>
        <w:tc>
          <w:tcPr>
            <w:tcW w:w="68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95,550</w:t>
            </w:r>
          </w:p>
        </w:tc>
        <w:tc>
          <w:tcPr>
            <w:tcW w:w="1180" w:type="dxa"/>
            <w:vAlign w:val="bottom"/>
            <w:tcBorders>
              <w:bottom w:val="single" w:sz="8" w:color="EAF7FA"/>
            </w:tcBorders>
            <w:shd w:val="clear" w:color="auto" w:fill="EAF7FA"/>
          </w:tcPr>
          <w:p>
            <w:pPr>
              <w:jc w:val="center"/>
              <w:ind w:left="28"/>
              <w:spacing w:after="0"/>
              <w:rPr>
                <w:sz w:val="20"/>
                <w:szCs w:val="20"/>
                <w:color w:val="auto"/>
              </w:rPr>
            </w:pPr>
            <w:r>
              <w:rPr>
                <w:rFonts w:ascii="Arial" w:cs="Arial" w:eastAsia="Arial" w:hAnsi="Arial"/>
                <w:sz w:val="14"/>
                <w:szCs w:val="14"/>
                <w:color w:val="54565B"/>
              </w:rPr>
              <w:t>84.0</w:t>
            </w:r>
          </w:p>
        </w:tc>
        <w:tc>
          <w:tcPr>
            <w:tcW w:w="760" w:type="dxa"/>
            <w:vAlign w:val="bottom"/>
            <w:tcBorders>
              <w:bottom w:val="single" w:sz="8" w:color="EAF7FA"/>
            </w:tcBorders>
            <w:shd w:val="clear" w:color="auto" w:fill="EAF7FA"/>
          </w:tcPr>
          <w:p>
            <w:pPr>
              <w:jc w:val="center"/>
              <w:ind w:left="48"/>
              <w:spacing w:after="0"/>
              <w:rPr>
                <w:sz w:val="20"/>
                <w:szCs w:val="20"/>
                <w:color w:val="auto"/>
              </w:rPr>
            </w:pPr>
            <w:r>
              <w:rPr>
                <w:rFonts w:ascii="Arial" w:cs="Arial" w:eastAsia="Arial" w:hAnsi="Arial"/>
                <w:sz w:val="14"/>
                <w:szCs w:val="14"/>
                <w:color w:val="54565B"/>
              </w:rPr>
              <w:t>70,560​</w:t>
            </w:r>
          </w:p>
        </w:tc>
        <w:tc>
          <w:tcPr>
            <w:tcW w:w="1180" w:type="dxa"/>
            <w:vAlign w:val="bottom"/>
            <w:tcBorders>
              <w:bottom w:val="single" w:sz="8" w:color="EAF7FA"/>
            </w:tcBorders>
            <w:shd w:val="clear" w:color="auto" w:fill="EAF7FA"/>
          </w:tcPr>
          <w:p>
            <w:pPr>
              <w:jc w:val="center"/>
              <w:ind w:left="28"/>
              <w:spacing w:after="0"/>
              <w:rPr>
                <w:sz w:val="20"/>
                <w:szCs w:val="20"/>
                <w:color w:val="auto"/>
              </w:rPr>
            </w:pPr>
            <w:r>
              <w:rPr>
                <w:rFonts w:ascii="Arial" w:cs="Arial" w:eastAsia="Arial" w:hAnsi="Arial"/>
                <w:sz w:val="14"/>
                <w:szCs w:val="14"/>
                <w:color w:val="54565B"/>
              </w:rPr>
              <w:t>125.0</w:t>
            </w:r>
          </w:p>
        </w:tc>
        <w:tc>
          <w:tcPr>
            <w:tcW w:w="92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210,000</w:t>
            </w:r>
          </w:p>
        </w:tc>
      </w:tr>
      <w:tr>
        <w:trPr>
          <w:trHeight w:val="228"/>
        </w:trPr>
        <w:tc>
          <w:tcPr>
            <w:tcW w:w="1480" w:type="dxa"/>
            <w:vAlign w:val="bottom"/>
          </w:tcPr>
          <w:p>
            <w:pPr>
              <w:ind w:left="240"/>
              <w:spacing w:after="0"/>
              <w:rPr>
                <w:sz w:val="20"/>
                <w:szCs w:val="20"/>
                <w:color w:val="auto"/>
              </w:rPr>
            </w:pPr>
            <w:r>
              <w:rPr>
                <w:rFonts w:ascii="Arial" w:cs="Arial" w:eastAsia="Arial" w:hAnsi="Arial"/>
                <w:sz w:val="14"/>
                <w:szCs w:val="14"/>
                <w:b w:val="1"/>
                <w:bCs w:val="1"/>
                <w:color w:val="54565B"/>
              </w:rPr>
              <w:t>Mark A. Weiss</w:t>
            </w:r>
          </w:p>
        </w:tc>
        <w:tc>
          <w:tcPr>
            <w:tcW w:w="1260" w:type="dxa"/>
            <w:vAlign w:val="bottom"/>
          </w:tcPr>
          <w:p>
            <w:pPr>
              <w:jc w:val="center"/>
              <w:spacing w:after="0"/>
              <w:rPr>
                <w:sz w:val="20"/>
                <w:szCs w:val="20"/>
                <w:color w:val="auto"/>
              </w:rPr>
            </w:pPr>
            <w:r>
              <w:rPr>
                <w:rFonts w:ascii="Arial" w:cs="Arial" w:eastAsia="Arial" w:hAnsi="Arial"/>
                <w:sz w:val="14"/>
                <w:szCs w:val="14"/>
                <w:color w:val="54565B"/>
              </w:rPr>
              <w:t>92.0</w:t>
            </w:r>
          </w:p>
        </w:tc>
        <w:tc>
          <w:tcPr>
            <w:tcW w:w="660" w:type="dxa"/>
            <w:vAlign w:val="bottom"/>
          </w:tcPr>
          <w:p>
            <w:pPr>
              <w:jc w:val="center"/>
              <w:spacing w:after="0"/>
              <w:rPr>
                <w:sz w:val="20"/>
                <w:szCs w:val="20"/>
                <w:color w:val="auto"/>
              </w:rPr>
            </w:pPr>
            <w:r>
              <w:rPr>
                <w:rFonts w:ascii="Arial" w:cs="Arial" w:eastAsia="Arial" w:hAnsi="Arial"/>
                <w:sz w:val="14"/>
                <w:szCs w:val="14"/>
                <w:color w:val="54565B"/>
              </w:rPr>
              <w:t>73,600</w:t>
            </w:r>
          </w:p>
        </w:tc>
        <w:tc>
          <w:tcPr>
            <w:tcW w:w="1280" w:type="dxa"/>
            <w:vAlign w:val="bottom"/>
          </w:tcPr>
          <w:p>
            <w:pPr>
              <w:jc w:val="center"/>
              <w:spacing w:after="0"/>
              <w:rPr>
                <w:sz w:val="20"/>
                <w:szCs w:val="20"/>
                <w:color w:val="auto"/>
              </w:rPr>
            </w:pPr>
            <w:r>
              <w:rPr>
                <w:rFonts w:ascii="Arial" w:cs="Arial" w:eastAsia="Arial" w:hAnsi="Arial"/>
                <w:sz w:val="14"/>
                <w:szCs w:val="14"/>
                <w:color w:val="54565B"/>
              </w:rPr>
              <w:t>113.8</w:t>
            </w:r>
          </w:p>
        </w:tc>
        <w:tc>
          <w:tcPr>
            <w:tcW w:w="680" w:type="dxa"/>
            <w:vAlign w:val="bottom"/>
          </w:tcPr>
          <w:p>
            <w:pPr>
              <w:jc w:val="center"/>
              <w:spacing w:after="0"/>
              <w:rPr>
                <w:sz w:val="20"/>
                <w:szCs w:val="20"/>
                <w:color w:val="auto"/>
              </w:rPr>
            </w:pPr>
            <w:r>
              <w:rPr>
                <w:rFonts w:ascii="Arial" w:cs="Arial" w:eastAsia="Arial" w:hAnsi="Arial"/>
                <w:sz w:val="14"/>
                <w:szCs w:val="14"/>
                <w:color w:val="54565B"/>
              </w:rPr>
              <w:t>91,000</w:t>
            </w:r>
          </w:p>
        </w:tc>
        <w:tc>
          <w:tcPr>
            <w:tcW w:w="1180" w:type="dxa"/>
            <w:vAlign w:val="bottom"/>
          </w:tcPr>
          <w:p>
            <w:pPr>
              <w:jc w:val="center"/>
              <w:ind w:left="28"/>
              <w:spacing w:after="0"/>
              <w:rPr>
                <w:sz w:val="20"/>
                <w:szCs w:val="20"/>
                <w:color w:val="auto"/>
              </w:rPr>
            </w:pPr>
            <w:r>
              <w:rPr>
                <w:rFonts w:ascii="Arial" w:cs="Arial" w:eastAsia="Arial" w:hAnsi="Arial"/>
                <w:sz w:val="14"/>
                <w:szCs w:val="14"/>
                <w:color w:val="54565B"/>
              </w:rPr>
              <w:t>84.0</w:t>
            </w:r>
          </w:p>
        </w:tc>
        <w:tc>
          <w:tcPr>
            <w:tcW w:w="760" w:type="dxa"/>
            <w:vAlign w:val="bottom"/>
          </w:tcPr>
          <w:p>
            <w:pPr>
              <w:jc w:val="center"/>
              <w:ind w:left="48"/>
              <w:spacing w:after="0"/>
              <w:rPr>
                <w:sz w:val="20"/>
                <w:szCs w:val="20"/>
                <w:color w:val="auto"/>
              </w:rPr>
            </w:pPr>
            <w:r>
              <w:rPr>
                <w:rFonts w:ascii="Arial" w:cs="Arial" w:eastAsia="Arial" w:hAnsi="Arial"/>
                <w:sz w:val="14"/>
                <w:szCs w:val="14"/>
                <w:color w:val="54565B"/>
              </w:rPr>
              <w:t>67,200​</w:t>
            </w:r>
          </w:p>
        </w:tc>
        <w:tc>
          <w:tcPr>
            <w:tcW w:w="1180" w:type="dxa"/>
            <w:vAlign w:val="bottom"/>
          </w:tcPr>
          <w:p>
            <w:pPr>
              <w:jc w:val="center"/>
              <w:ind w:left="28"/>
              <w:spacing w:after="0"/>
              <w:rPr>
                <w:sz w:val="20"/>
                <w:szCs w:val="20"/>
                <w:color w:val="auto"/>
              </w:rPr>
            </w:pPr>
            <w:r>
              <w:rPr>
                <w:rFonts w:ascii="Arial" w:cs="Arial" w:eastAsia="Arial" w:hAnsi="Arial"/>
                <w:sz w:val="14"/>
                <w:szCs w:val="14"/>
                <w:color w:val="54565B"/>
              </w:rPr>
              <w:t>125.0</w:t>
            </w:r>
          </w:p>
        </w:tc>
        <w:tc>
          <w:tcPr>
            <w:tcW w:w="920" w:type="dxa"/>
            <w:vAlign w:val="bottom"/>
          </w:tcPr>
          <w:p>
            <w:pPr>
              <w:jc w:val="center"/>
              <w:spacing w:after="0"/>
              <w:rPr>
                <w:sz w:val="20"/>
                <w:szCs w:val="20"/>
                <w:color w:val="auto"/>
              </w:rPr>
            </w:pPr>
            <w:r>
              <w:rPr>
                <w:rFonts w:ascii="Arial" w:cs="Arial" w:eastAsia="Arial" w:hAnsi="Arial"/>
                <w:sz w:val="14"/>
                <w:szCs w:val="14"/>
                <w:color w:val="54565B"/>
              </w:rPr>
              <w:t>200,000</w:t>
            </w:r>
          </w:p>
        </w:tc>
      </w:tr>
      <w:tr>
        <w:trPr>
          <w:trHeight w:val="29"/>
        </w:trPr>
        <w:tc>
          <w:tcPr>
            <w:tcW w:w="1480" w:type="dxa"/>
            <w:vAlign w:val="bottom"/>
            <w:tcBorders>
              <w:bottom w:val="single" w:sz="8" w:color="0B3C61"/>
            </w:tcBorders>
          </w:tcPr>
          <w:p>
            <w:pPr>
              <w:spacing w:after="0"/>
              <w:rPr>
                <w:sz w:val="2"/>
                <w:szCs w:val="2"/>
                <w:color w:val="auto"/>
              </w:rPr>
            </w:pPr>
          </w:p>
        </w:tc>
        <w:tc>
          <w:tcPr>
            <w:tcW w:w="1260" w:type="dxa"/>
            <w:vAlign w:val="bottom"/>
            <w:tcBorders>
              <w:bottom w:val="single" w:sz="8" w:color="0B3C61"/>
            </w:tcBorders>
          </w:tcPr>
          <w:p>
            <w:pPr>
              <w:spacing w:after="0"/>
              <w:rPr>
                <w:sz w:val="2"/>
                <w:szCs w:val="2"/>
                <w:color w:val="auto"/>
              </w:rPr>
            </w:pPr>
          </w:p>
        </w:tc>
        <w:tc>
          <w:tcPr>
            <w:tcW w:w="660" w:type="dxa"/>
            <w:vAlign w:val="bottom"/>
            <w:tcBorders>
              <w:bottom w:val="single" w:sz="8" w:color="0B3C61"/>
            </w:tcBorders>
          </w:tcPr>
          <w:p>
            <w:pPr>
              <w:spacing w:after="0"/>
              <w:rPr>
                <w:sz w:val="2"/>
                <w:szCs w:val="2"/>
                <w:color w:val="auto"/>
              </w:rPr>
            </w:pPr>
          </w:p>
        </w:tc>
        <w:tc>
          <w:tcPr>
            <w:tcW w:w="1280" w:type="dxa"/>
            <w:vAlign w:val="bottom"/>
            <w:tcBorders>
              <w:bottom w:val="single" w:sz="8" w:color="0B3C61"/>
            </w:tcBorders>
          </w:tcPr>
          <w:p>
            <w:pPr>
              <w:spacing w:after="0"/>
              <w:rPr>
                <w:sz w:val="2"/>
                <w:szCs w:val="2"/>
                <w:color w:val="auto"/>
              </w:rPr>
            </w:pPr>
          </w:p>
        </w:tc>
        <w:tc>
          <w:tcPr>
            <w:tcW w:w="680" w:type="dxa"/>
            <w:vAlign w:val="bottom"/>
            <w:tcBorders>
              <w:bottom w:val="single" w:sz="8" w:color="0B3C61"/>
            </w:tcBorders>
          </w:tcPr>
          <w:p>
            <w:pPr>
              <w:spacing w:after="0"/>
              <w:rPr>
                <w:sz w:val="2"/>
                <w:szCs w:val="2"/>
                <w:color w:val="auto"/>
              </w:rPr>
            </w:pPr>
          </w:p>
        </w:tc>
        <w:tc>
          <w:tcPr>
            <w:tcW w:w="1180" w:type="dxa"/>
            <w:vAlign w:val="bottom"/>
            <w:tcBorders>
              <w:bottom w:val="single" w:sz="8" w:color="0B3C61"/>
            </w:tcBorders>
          </w:tcPr>
          <w:p>
            <w:pPr>
              <w:spacing w:after="0"/>
              <w:rPr>
                <w:sz w:val="2"/>
                <w:szCs w:val="2"/>
                <w:color w:val="auto"/>
              </w:rPr>
            </w:pPr>
          </w:p>
        </w:tc>
        <w:tc>
          <w:tcPr>
            <w:tcW w:w="760" w:type="dxa"/>
            <w:vAlign w:val="bottom"/>
            <w:tcBorders>
              <w:bottom w:val="single" w:sz="8" w:color="0B3C61"/>
            </w:tcBorders>
          </w:tcPr>
          <w:p>
            <w:pPr>
              <w:spacing w:after="0"/>
              <w:rPr>
                <w:sz w:val="2"/>
                <w:szCs w:val="2"/>
                <w:color w:val="auto"/>
              </w:rPr>
            </w:pPr>
          </w:p>
        </w:tc>
        <w:tc>
          <w:tcPr>
            <w:tcW w:w="1180" w:type="dxa"/>
            <w:vAlign w:val="bottom"/>
            <w:tcBorders>
              <w:bottom w:val="single" w:sz="8" w:color="0B3C61"/>
            </w:tcBorders>
          </w:tcPr>
          <w:p>
            <w:pPr>
              <w:spacing w:after="0"/>
              <w:rPr>
                <w:sz w:val="2"/>
                <w:szCs w:val="2"/>
                <w:color w:val="auto"/>
              </w:rPr>
            </w:pPr>
          </w:p>
        </w:tc>
        <w:tc>
          <w:tcPr>
            <w:tcW w:w="920" w:type="dxa"/>
            <w:vAlign w:val="bottom"/>
            <w:tcBorders>
              <w:bottom w:val="single" w:sz="8" w:color="0B3C61"/>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-1259205</wp:posOffset>
            </wp:positionV>
            <wp:extent cx="57689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54565B"/>
        </w:rPr>
        <w:t>The total award, also expressed as a percentage of the target and maximum award, paid to each participant for 2025 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54565B"/>
        </w:rPr>
        <w:t>Annual Bonus Plan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113665</wp:posOffset>
            </wp:positionV>
            <wp:extent cx="5897880" cy="4203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97880" cy="420370"/>
                    </a:xfrm>
                    <a:prstGeom prst="rect">
                      <a:avLst/>
                    </a:prstGeom>
                    <a:noFill/>
                  </pic:spPr>
                </pic:pic>
              </a:graphicData>
            </a:graphic>
          </wp:anchor>
        </w:drawing>
      </w:r>
    </w:p>
    <w:p>
      <w:pPr>
        <w:spacing w:after="0" w:line="257" w:lineRule="exact"/>
        <w:rPr>
          <w:sz w:val="20"/>
          <w:szCs w:val="20"/>
          <w:color w:val="auto"/>
        </w:rPr>
      </w:pPr>
    </w:p>
    <w:p>
      <w:pPr>
        <w:ind w:left="7060"/>
        <w:spacing w:after="0"/>
        <w:rPr>
          <w:sz w:val="20"/>
          <w:szCs w:val="20"/>
          <w:color w:val="auto"/>
        </w:rPr>
      </w:pPr>
      <w:r>
        <w:rPr>
          <w:rFonts w:ascii="Arial" w:cs="Arial" w:eastAsia="Arial" w:hAnsi="Arial"/>
          <w:sz w:val="14"/>
          <w:szCs w:val="14"/>
          <w:color w:val="FFFFFF"/>
        </w:rPr>
        <w:t>Total Award as a Percentage of</w:t>
      </w:r>
    </w:p>
    <w:p>
      <w:pPr>
        <w:spacing w:after="0" w:line="91" w:lineRule="exact"/>
        <w:rPr>
          <w:sz w:val="20"/>
          <w:szCs w:val="20"/>
          <w:color w:val="auto"/>
        </w:rPr>
      </w:pPr>
    </w:p>
    <w:tbl>
      <w:tblPr>
        <w:tblLayout w:type="fixed"/>
        <w:tblInd w:w="60" w:type="dxa"/>
        <w:tblCellMar>
          <w:top w:w="0" w:type="dxa"/>
          <w:left w:w="0" w:type="dxa"/>
          <w:bottom w:w="0" w:type="dxa"/>
          <w:right w:w="0" w:type="dxa"/>
        </w:tblCellMar>
      </w:tblPr>
      <w:tr>
        <w:trPr>
          <w:trHeight w:val="248"/>
        </w:trPr>
        <w:tc>
          <w:tcPr>
            <w:tcW w:w="5120" w:type="dxa"/>
            <w:vAlign w:val="bottom"/>
          </w:tcPr>
          <w:p>
            <w:pPr>
              <w:ind w:left="240"/>
              <w:spacing w:after="0"/>
              <w:rPr>
                <w:sz w:val="20"/>
                <w:szCs w:val="20"/>
                <w:color w:val="auto"/>
              </w:rPr>
            </w:pPr>
            <w:r>
              <w:rPr>
                <w:rFonts w:ascii="Arial" w:cs="Arial" w:eastAsia="Arial" w:hAnsi="Arial"/>
                <w:sz w:val="14"/>
                <w:szCs w:val="14"/>
                <w:color w:val="FFFFFF"/>
              </w:rPr>
              <w:t>Name</w:t>
            </w:r>
          </w:p>
        </w:tc>
        <w:tc>
          <w:tcPr>
            <w:tcW w:w="1780" w:type="dxa"/>
            <w:vAlign w:val="bottom"/>
            <w:shd w:val="clear" w:color="auto" w:fill="0B3C61"/>
          </w:tcPr>
          <w:p>
            <w:pPr>
              <w:ind w:left="300"/>
              <w:spacing w:after="0"/>
              <w:rPr>
                <w:sz w:val="20"/>
                <w:szCs w:val="20"/>
                <w:color w:val="auto"/>
              </w:rPr>
            </w:pPr>
            <w:r>
              <w:rPr>
                <w:rFonts w:ascii="Arial" w:cs="Arial" w:eastAsia="Arial" w:hAnsi="Arial"/>
                <w:sz w:val="14"/>
                <w:szCs w:val="14"/>
                <w:color w:val="FFFFFF"/>
              </w:rPr>
              <w:t>Total 2025 Award ($)</w:t>
            </w:r>
          </w:p>
        </w:tc>
        <w:tc>
          <w:tcPr>
            <w:tcW w:w="1080" w:type="dxa"/>
            <w:vAlign w:val="bottom"/>
            <w:shd w:val="clear" w:color="auto" w:fill="0B3C61"/>
          </w:tcPr>
          <w:p>
            <w:pPr>
              <w:ind w:left="160"/>
              <w:spacing w:after="0"/>
              <w:rPr>
                <w:sz w:val="20"/>
                <w:szCs w:val="20"/>
                <w:color w:val="auto"/>
              </w:rPr>
            </w:pPr>
            <w:r>
              <w:rPr>
                <w:rFonts w:ascii="Arial" w:cs="Arial" w:eastAsia="Arial" w:hAnsi="Arial"/>
                <w:sz w:val="14"/>
                <w:szCs w:val="14"/>
                <w:color w:val="FFFFFF"/>
              </w:rPr>
              <w:t>Target (%)</w:t>
            </w:r>
          </w:p>
        </w:tc>
        <w:tc>
          <w:tcPr>
            <w:tcW w:w="1140" w:type="dxa"/>
            <w:vAlign w:val="bottom"/>
            <w:shd w:val="clear" w:color="auto" w:fill="0B3C61"/>
          </w:tcPr>
          <w:p>
            <w:pPr>
              <w:jc w:val="right"/>
              <w:spacing w:after="0"/>
              <w:rPr>
                <w:sz w:val="20"/>
                <w:szCs w:val="20"/>
                <w:color w:val="auto"/>
              </w:rPr>
            </w:pPr>
            <w:r>
              <w:rPr>
                <w:rFonts w:ascii="Arial" w:cs="Arial" w:eastAsia="Arial" w:hAnsi="Arial"/>
                <w:sz w:val="14"/>
                <w:szCs w:val="14"/>
                <w:color w:val="FFFFFF"/>
              </w:rPr>
              <w:t>Maximum (%)</w:t>
            </w:r>
          </w:p>
        </w:tc>
        <w:tc>
          <w:tcPr>
            <w:tcW w:w="160" w:type="dxa"/>
            <w:vAlign w:val="bottom"/>
          </w:tcPr>
          <w:p>
            <w:pPr>
              <w:spacing w:after="0"/>
              <w:rPr>
                <w:sz w:val="21"/>
                <w:szCs w:val="21"/>
                <w:color w:val="auto"/>
              </w:rPr>
            </w:pPr>
          </w:p>
        </w:tc>
      </w:tr>
      <w:tr>
        <w:trPr>
          <w:trHeight w:val="62"/>
        </w:trPr>
        <w:tc>
          <w:tcPr>
            <w:tcW w:w="5120" w:type="dxa"/>
            <w:vAlign w:val="bottom"/>
          </w:tcPr>
          <w:p>
            <w:pPr>
              <w:spacing w:after="0"/>
              <w:rPr>
                <w:sz w:val="5"/>
                <w:szCs w:val="5"/>
                <w:color w:val="auto"/>
              </w:rPr>
            </w:pPr>
          </w:p>
        </w:tc>
        <w:tc>
          <w:tcPr>
            <w:tcW w:w="1780" w:type="dxa"/>
            <w:vAlign w:val="bottom"/>
            <w:shd w:val="clear" w:color="auto" w:fill="0B3C61"/>
          </w:tcPr>
          <w:p>
            <w:pPr>
              <w:spacing w:after="0"/>
              <w:rPr>
                <w:sz w:val="5"/>
                <w:szCs w:val="5"/>
                <w:color w:val="auto"/>
              </w:rPr>
            </w:pPr>
          </w:p>
        </w:tc>
        <w:tc>
          <w:tcPr>
            <w:tcW w:w="1080" w:type="dxa"/>
            <w:vAlign w:val="bottom"/>
            <w:shd w:val="clear" w:color="auto" w:fill="0B3C61"/>
          </w:tcPr>
          <w:p>
            <w:pPr>
              <w:spacing w:after="0"/>
              <w:rPr>
                <w:sz w:val="5"/>
                <w:szCs w:val="5"/>
                <w:color w:val="auto"/>
              </w:rPr>
            </w:pPr>
          </w:p>
        </w:tc>
        <w:tc>
          <w:tcPr>
            <w:tcW w:w="1140" w:type="dxa"/>
            <w:vAlign w:val="bottom"/>
            <w:shd w:val="clear" w:color="auto" w:fill="0B3C61"/>
          </w:tcPr>
          <w:p>
            <w:pPr>
              <w:spacing w:after="0"/>
              <w:rPr>
                <w:sz w:val="5"/>
                <w:szCs w:val="5"/>
                <w:color w:val="auto"/>
              </w:rPr>
            </w:pPr>
          </w:p>
        </w:tc>
        <w:tc>
          <w:tcPr>
            <w:tcW w:w="160" w:type="dxa"/>
            <w:vAlign w:val="bottom"/>
          </w:tcPr>
          <w:p>
            <w:pPr>
              <w:spacing w:after="0"/>
              <w:rPr>
                <w:sz w:val="5"/>
                <w:szCs w:val="5"/>
                <w:color w:val="auto"/>
              </w:rPr>
            </w:pPr>
          </w:p>
        </w:tc>
      </w:tr>
      <w:tr>
        <w:trPr>
          <w:trHeight w:val="268"/>
        </w:trPr>
        <w:tc>
          <w:tcPr>
            <w:tcW w:w="5120" w:type="dxa"/>
            <w:vAlign w:val="bottom"/>
          </w:tcPr>
          <w:p>
            <w:pPr>
              <w:ind w:left="240"/>
              <w:spacing w:after="0"/>
              <w:rPr>
                <w:sz w:val="20"/>
                <w:szCs w:val="20"/>
                <w:color w:val="auto"/>
              </w:rPr>
            </w:pPr>
            <w:r>
              <w:rPr>
                <w:rFonts w:ascii="Arial" w:cs="Arial" w:eastAsia="Arial" w:hAnsi="Arial"/>
                <w:sz w:val="14"/>
                <w:szCs w:val="14"/>
                <w:b w:val="1"/>
                <w:bCs w:val="1"/>
                <w:color w:val="54565B"/>
              </w:rPr>
              <w:t>Carl H. Lindner III</w:t>
            </w:r>
          </w:p>
        </w:tc>
        <w:tc>
          <w:tcPr>
            <w:tcW w:w="1780" w:type="dxa"/>
            <w:vAlign w:val="bottom"/>
          </w:tcPr>
          <w:p>
            <w:pPr>
              <w:jc w:val="center"/>
              <w:spacing w:after="0"/>
              <w:rPr>
                <w:sz w:val="20"/>
                <w:szCs w:val="20"/>
                <w:color w:val="auto"/>
              </w:rPr>
            </w:pPr>
            <w:r>
              <w:rPr>
                <w:rFonts w:ascii="Arial" w:cs="Arial" w:eastAsia="Arial" w:hAnsi="Arial"/>
                <w:sz w:val="14"/>
                <w:szCs w:val="14"/>
                <w:color w:val="54565B"/>
              </w:rPr>
              <w:t>2,324,725</w:t>
            </w:r>
          </w:p>
        </w:tc>
        <w:tc>
          <w:tcPr>
            <w:tcW w:w="1080" w:type="dxa"/>
            <w:vAlign w:val="bottom"/>
          </w:tcPr>
          <w:p>
            <w:pPr>
              <w:jc w:val="center"/>
              <w:ind w:right="8"/>
              <w:spacing w:after="0"/>
              <w:rPr>
                <w:sz w:val="20"/>
                <w:szCs w:val="20"/>
                <w:color w:val="auto"/>
              </w:rPr>
            </w:pPr>
            <w:r>
              <w:rPr>
                <w:rFonts w:ascii="Arial" w:cs="Arial" w:eastAsia="Arial" w:hAnsi="Arial"/>
                <w:sz w:val="14"/>
                <w:szCs w:val="14"/>
                <w:color w:val="54565B"/>
              </w:rPr>
              <w:t>101.1</w:t>
            </w:r>
          </w:p>
        </w:tc>
        <w:tc>
          <w:tcPr>
            <w:tcW w:w="1140" w:type="dxa"/>
            <w:vAlign w:val="bottom"/>
          </w:tcPr>
          <w:p>
            <w:pPr>
              <w:jc w:val="right"/>
              <w:ind w:right="328"/>
              <w:spacing w:after="0"/>
              <w:rPr>
                <w:sz w:val="20"/>
                <w:szCs w:val="20"/>
                <w:color w:val="auto"/>
              </w:rPr>
            </w:pPr>
            <w:r>
              <w:rPr>
                <w:rFonts w:ascii="Arial" w:cs="Arial" w:eastAsia="Arial" w:hAnsi="Arial"/>
                <w:sz w:val="14"/>
                <w:szCs w:val="14"/>
                <w:color w:val="54565B"/>
              </w:rPr>
              <w:t>67.4</w:t>
            </w:r>
          </w:p>
        </w:tc>
        <w:tc>
          <w:tcPr>
            <w:tcW w:w="160" w:type="dxa"/>
            <w:vAlign w:val="bottom"/>
          </w:tcPr>
          <w:p>
            <w:pPr>
              <w:spacing w:after="0"/>
              <w:rPr>
                <w:sz w:val="23"/>
                <w:szCs w:val="23"/>
                <w:color w:val="auto"/>
              </w:rPr>
            </w:pPr>
          </w:p>
        </w:tc>
      </w:tr>
      <w:tr>
        <w:trPr>
          <w:trHeight w:val="29"/>
        </w:trPr>
        <w:tc>
          <w:tcPr>
            <w:tcW w:w="5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512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b w:val="1"/>
                <w:bCs w:val="1"/>
                <w:color w:val="54565B"/>
              </w:rPr>
              <w:t>S. Craig Lindner</w:t>
            </w:r>
          </w:p>
        </w:tc>
        <w:tc>
          <w:tcPr>
            <w:tcW w:w="178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2,324,725</w:t>
            </w:r>
          </w:p>
        </w:tc>
        <w:tc>
          <w:tcPr>
            <w:tcW w:w="1080" w:type="dxa"/>
            <w:vAlign w:val="bottom"/>
            <w:tcBorders>
              <w:bottom w:val="single" w:sz="8" w:color="EAF7FA"/>
            </w:tcBorders>
            <w:shd w:val="clear" w:color="auto" w:fill="EAF7FA"/>
          </w:tcPr>
          <w:p>
            <w:pPr>
              <w:jc w:val="center"/>
              <w:ind w:right="8"/>
              <w:spacing w:after="0"/>
              <w:rPr>
                <w:sz w:val="20"/>
                <w:szCs w:val="20"/>
                <w:color w:val="auto"/>
              </w:rPr>
            </w:pPr>
            <w:r>
              <w:rPr>
                <w:rFonts w:ascii="Arial" w:cs="Arial" w:eastAsia="Arial" w:hAnsi="Arial"/>
                <w:sz w:val="14"/>
                <w:szCs w:val="14"/>
                <w:color w:val="54565B"/>
              </w:rPr>
              <w:t>101.1</w:t>
            </w:r>
          </w:p>
        </w:tc>
        <w:tc>
          <w:tcPr>
            <w:tcW w:w="1140" w:type="dxa"/>
            <w:vAlign w:val="bottom"/>
            <w:tcBorders>
              <w:bottom w:val="single" w:sz="8" w:color="EAF7FA"/>
            </w:tcBorders>
            <w:shd w:val="clear" w:color="auto" w:fill="EAF7FA"/>
          </w:tcPr>
          <w:p>
            <w:pPr>
              <w:jc w:val="right"/>
              <w:ind w:right="328"/>
              <w:spacing w:after="0"/>
              <w:rPr>
                <w:sz w:val="20"/>
                <w:szCs w:val="20"/>
                <w:color w:val="auto"/>
              </w:rPr>
            </w:pPr>
            <w:r>
              <w:rPr>
                <w:rFonts w:ascii="Arial" w:cs="Arial" w:eastAsia="Arial" w:hAnsi="Arial"/>
                <w:sz w:val="14"/>
                <w:szCs w:val="14"/>
                <w:color w:val="54565B"/>
              </w:rPr>
              <w:t>67.4</w:t>
            </w:r>
          </w:p>
        </w:tc>
        <w:tc>
          <w:tcPr>
            <w:tcW w:w="160" w:type="dxa"/>
            <w:vAlign w:val="bottom"/>
            <w:tcBorders>
              <w:bottom w:val="single" w:sz="8" w:color="EAF7FA"/>
            </w:tcBorders>
            <w:shd w:val="clear" w:color="auto" w:fill="EAF7FA"/>
          </w:tcPr>
          <w:p>
            <w:pPr>
              <w:spacing w:after="0"/>
              <w:rPr>
                <w:sz w:val="20"/>
                <w:szCs w:val="20"/>
                <w:color w:val="auto"/>
              </w:rPr>
            </w:pPr>
          </w:p>
        </w:tc>
      </w:tr>
      <w:tr>
        <w:trPr>
          <w:trHeight w:val="228"/>
        </w:trPr>
        <w:tc>
          <w:tcPr>
            <w:tcW w:w="5120" w:type="dxa"/>
            <w:vAlign w:val="bottom"/>
          </w:tcPr>
          <w:p>
            <w:pPr>
              <w:ind w:left="240"/>
              <w:spacing w:after="0"/>
              <w:rPr>
                <w:sz w:val="20"/>
                <w:szCs w:val="20"/>
                <w:color w:val="auto"/>
              </w:rPr>
            </w:pPr>
            <w:r>
              <w:rPr>
                <w:rFonts w:ascii="Arial" w:cs="Arial" w:eastAsia="Arial" w:hAnsi="Arial"/>
                <w:sz w:val="14"/>
                <w:szCs w:val="14"/>
                <w:b w:val="1"/>
                <w:bCs w:val="1"/>
                <w:color w:val="54565B"/>
              </w:rPr>
              <w:t>John B. Berding</w:t>
            </w:r>
          </w:p>
        </w:tc>
        <w:tc>
          <w:tcPr>
            <w:tcW w:w="1780" w:type="dxa"/>
            <w:vAlign w:val="bottom"/>
          </w:tcPr>
          <w:p>
            <w:pPr>
              <w:jc w:val="center"/>
              <w:spacing w:after="0"/>
              <w:rPr>
                <w:sz w:val="20"/>
                <w:szCs w:val="20"/>
                <w:color w:val="auto"/>
              </w:rPr>
            </w:pPr>
            <w:r>
              <w:rPr>
                <w:rFonts w:ascii="Arial" w:cs="Arial" w:eastAsia="Arial" w:hAnsi="Arial"/>
                <w:sz w:val="14"/>
                <w:szCs w:val="14"/>
                <w:color w:val="54565B"/>
              </w:rPr>
              <w:t>1,737,050</w:t>
            </w:r>
          </w:p>
        </w:tc>
        <w:tc>
          <w:tcPr>
            <w:tcW w:w="1080" w:type="dxa"/>
            <w:vAlign w:val="bottom"/>
          </w:tcPr>
          <w:p>
            <w:pPr>
              <w:jc w:val="center"/>
              <w:ind w:right="8"/>
              <w:spacing w:after="0"/>
              <w:rPr>
                <w:sz w:val="20"/>
                <w:szCs w:val="20"/>
                <w:color w:val="auto"/>
              </w:rPr>
            </w:pPr>
            <w:r>
              <w:rPr>
                <w:rFonts w:ascii="Arial" w:cs="Arial" w:eastAsia="Arial" w:hAnsi="Arial"/>
                <w:sz w:val="14"/>
                <w:szCs w:val="14"/>
                <w:color w:val="54565B"/>
              </w:rPr>
              <w:t>99.3</w:t>
            </w:r>
          </w:p>
        </w:tc>
        <w:tc>
          <w:tcPr>
            <w:tcW w:w="1140" w:type="dxa"/>
            <w:vAlign w:val="bottom"/>
          </w:tcPr>
          <w:p>
            <w:pPr>
              <w:jc w:val="right"/>
              <w:ind w:right="328"/>
              <w:spacing w:after="0"/>
              <w:rPr>
                <w:sz w:val="20"/>
                <w:szCs w:val="20"/>
                <w:color w:val="auto"/>
              </w:rPr>
            </w:pPr>
            <w:r>
              <w:rPr>
                <w:rFonts w:ascii="Arial" w:cs="Arial" w:eastAsia="Arial" w:hAnsi="Arial"/>
                <w:sz w:val="14"/>
                <w:szCs w:val="14"/>
                <w:color w:val="54565B"/>
              </w:rPr>
              <w:t>70.9</w:t>
            </w:r>
          </w:p>
        </w:tc>
        <w:tc>
          <w:tcPr>
            <w:tcW w:w="160" w:type="dxa"/>
            <w:vAlign w:val="bottom"/>
          </w:tcPr>
          <w:p>
            <w:pPr>
              <w:spacing w:after="0"/>
              <w:rPr>
                <w:sz w:val="19"/>
                <w:szCs w:val="19"/>
                <w:color w:val="auto"/>
              </w:rPr>
            </w:pPr>
          </w:p>
        </w:tc>
      </w:tr>
      <w:tr>
        <w:trPr>
          <w:trHeight w:val="29"/>
        </w:trPr>
        <w:tc>
          <w:tcPr>
            <w:tcW w:w="5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512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b w:val="1"/>
                <w:bCs w:val="1"/>
                <w:color w:val="54565B"/>
              </w:rPr>
              <w:t>Brian H. Hertzman</w:t>
            </w:r>
          </w:p>
        </w:tc>
        <w:tc>
          <w:tcPr>
            <w:tcW w:w="178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453,390</w:t>
            </w:r>
          </w:p>
        </w:tc>
        <w:tc>
          <w:tcPr>
            <w:tcW w:w="1080" w:type="dxa"/>
            <w:vAlign w:val="bottom"/>
            <w:tcBorders>
              <w:bottom w:val="single" w:sz="8" w:color="EAF7FA"/>
            </w:tcBorders>
            <w:shd w:val="clear" w:color="auto" w:fill="EAF7FA"/>
          </w:tcPr>
          <w:p>
            <w:pPr>
              <w:jc w:val="center"/>
              <w:ind w:right="8"/>
              <w:spacing w:after="0"/>
              <w:rPr>
                <w:sz w:val="20"/>
                <w:szCs w:val="20"/>
                <w:color w:val="auto"/>
              </w:rPr>
            </w:pPr>
            <w:r>
              <w:rPr>
                <w:rFonts w:ascii="Arial" w:cs="Arial" w:eastAsia="Arial" w:hAnsi="Arial"/>
                <w:sz w:val="14"/>
                <w:szCs w:val="14"/>
                <w:color w:val="54565B"/>
              </w:rPr>
              <w:t>108.0</w:t>
            </w:r>
          </w:p>
        </w:tc>
        <w:tc>
          <w:tcPr>
            <w:tcW w:w="1140" w:type="dxa"/>
            <w:vAlign w:val="bottom"/>
            <w:tcBorders>
              <w:bottom w:val="single" w:sz="8" w:color="EAF7FA"/>
            </w:tcBorders>
            <w:shd w:val="clear" w:color="auto" w:fill="EAF7FA"/>
          </w:tcPr>
          <w:p>
            <w:pPr>
              <w:jc w:val="right"/>
              <w:ind w:right="328"/>
              <w:spacing w:after="0"/>
              <w:rPr>
                <w:sz w:val="20"/>
                <w:szCs w:val="20"/>
                <w:color w:val="auto"/>
              </w:rPr>
            </w:pPr>
            <w:r>
              <w:rPr>
                <w:rFonts w:ascii="Arial" w:cs="Arial" w:eastAsia="Arial" w:hAnsi="Arial"/>
                <w:sz w:val="14"/>
                <w:szCs w:val="14"/>
                <w:color w:val="54565B"/>
              </w:rPr>
              <w:t>86.4</w:t>
            </w:r>
          </w:p>
        </w:tc>
        <w:tc>
          <w:tcPr>
            <w:tcW w:w="160" w:type="dxa"/>
            <w:vAlign w:val="bottom"/>
            <w:tcBorders>
              <w:bottom w:val="single" w:sz="8" w:color="EAF7FA"/>
            </w:tcBorders>
            <w:shd w:val="clear" w:color="auto" w:fill="EAF7FA"/>
          </w:tcPr>
          <w:p>
            <w:pPr>
              <w:spacing w:after="0"/>
              <w:rPr>
                <w:sz w:val="20"/>
                <w:szCs w:val="20"/>
                <w:color w:val="auto"/>
              </w:rPr>
            </w:pPr>
          </w:p>
        </w:tc>
      </w:tr>
      <w:tr>
        <w:trPr>
          <w:trHeight w:val="228"/>
        </w:trPr>
        <w:tc>
          <w:tcPr>
            <w:tcW w:w="5120" w:type="dxa"/>
            <w:vAlign w:val="bottom"/>
          </w:tcPr>
          <w:p>
            <w:pPr>
              <w:ind w:left="240"/>
              <w:spacing w:after="0"/>
              <w:rPr>
                <w:sz w:val="20"/>
                <w:szCs w:val="20"/>
                <w:color w:val="auto"/>
              </w:rPr>
            </w:pPr>
            <w:r>
              <w:rPr>
                <w:rFonts w:ascii="Arial" w:cs="Arial" w:eastAsia="Arial" w:hAnsi="Arial"/>
                <w:sz w:val="14"/>
                <w:szCs w:val="14"/>
                <w:b w:val="1"/>
                <w:bCs w:val="1"/>
                <w:color w:val="54565B"/>
              </w:rPr>
              <w:t>Mark A. Weiss</w:t>
            </w:r>
          </w:p>
        </w:tc>
        <w:tc>
          <w:tcPr>
            <w:tcW w:w="1780" w:type="dxa"/>
            <w:vAlign w:val="bottom"/>
          </w:tcPr>
          <w:p>
            <w:pPr>
              <w:jc w:val="center"/>
              <w:spacing w:after="0"/>
              <w:rPr>
                <w:sz w:val="20"/>
                <w:szCs w:val="20"/>
                <w:color w:val="auto"/>
              </w:rPr>
            </w:pPr>
            <w:r>
              <w:rPr>
                <w:rFonts w:ascii="Arial" w:cs="Arial" w:eastAsia="Arial" w:hAnsi="Arial"/>
                <w:sz w:val="14"/>
                <w:szCs w:val="14"/>
                <w:color w:val="54565B"/>
              </w:rPr>
              <w:t>431,800</w:t>
            </w:r>
          </w:p>
        </w:tc>
        <w:tc>
          <w:tcPr>
            <w:tcW w:w="1080" w:type="dxa"/>
            <w:vAlign w:val="bottom"/>
          </w:tcPr>
          <w:p>
            <w:pPr>
              <w:jc w:val="center"/>
              <w:ind w:right="8"/>
              <w:spacing w:after="0"/>
              <w:rPr>
                <w:sz w:val="20"/>
                <w:szCs w:val="20"/>
                <w:color w:val="auto"/>
              </w:rPr>
            </w:pPr>
            <w:r>
              <w:rPr>
                <w:rFonts w:ascii="Arial" w:cs="Arial" w:eastAsia="Arial" w:hAnsi="Arial"/>
                <w:sz w:val="14"/>
                <w:szCs w:val="14"/>
                <w:color w:val="54565B"/>
              </w:rPr>
              <w:t>108.0</w:t>
            </w:r>
          </w:p>
        </w:tc>
        <w:tc>
          <w:tcPr>
            <w:tcW w:w="1140" w:type="dxa"/>
            <w:vAlign w:val="bottom"/>
          </w:tcPr>
          <w:p>
            <w:pPr>
              <w:jc w:val="right"/>
              <w:ind w:right="328"/>
              <w:spacing w:after="0"/>
              <w:rPr>
                <w:sz w:val="20"/>
                <w:szCs w:val="20"/>
                <w:color w:val="auto"/>
              </w:rPr>
            </w:pPr>
            <w:r>
              <w:rPr>
                <w:rFonts w:ascii="Arial" w:cs="Arial" w:eastAsia="Arial" w:hAnsi="Arial"/>
                <w:sz w:val="14"/>
                <w:szCs w:val="14"/>
                <w:color w:val="54565B"/>
              </w:rPr>
              <w:t>86.4</w:t>
            </w:r>
          </w:p>
        </w:tc>
        <w:tc>
          <w:tcPr>
            <w:tcW w:w="160" w:type="dxa"/>
            <w:vAlign w:val="bottom"/>
          </w:tcPr>
          <w:p>
            <w:pPr>
              <w:spacing w:after="0"/>
              <w:rPr>
                <w:sz w:val="19"/>
                <w:szCs w:val="19"/>
                <w:color w:val="auto"/>
              </w:rPr>
            </w:pPr>
          </w:p>
        </w:tc>
      </w:tr>
      <w:tr>
        <w:trPr>
          <w:trHeight w:val="29"/>
        </w:trPr>
        <w:tc>
          <w:tcPr>
            <w:tcW w:w="5120" w:type="dxa"/>
            <w:vAlign w:val="bottom"/>
            <w:tcBorders>
              <w:bottom w:val="single" w:sz="8" w:color="0B3C61"/>
            </w:tcBorders>
          </w:tcPr>
          <w:p>
            <w:pPr>
              <w:spacing w:after="0"/>
              <w:rPr>
                <w:sz w:val="2"/>
                <w:szCs w:val="2"/>
                <w:color w:val="auto"/>
              </w:rPr>
            </w:pPr>
          </w:p>
        </w:tc>
        <w:tc>
          <w:tcPr>
            <w:tcW w:w="1780" w:type="dxa"/>
            <w:vAlign w:val="bottom"/>
            <w:tcBorders>
              <w:bottom w:val="single" w:sz="8" w:color="0B3C61"/>
            </w:tcBorders>
          </w:tcPr>
          <w:p>
            <w:pPr>
              <w:spacing w:after="0"/>
              <w:rPr>
                <w:sz w:val="2"/>
                <w:szCs w:val="2"/>
                <w:color w:val="auto"/>
              </w:rPr>
            </w:pPr>
          </w:p>
        </w:tc>
        <w:tc>
          <w:tcPr>
            <w:tcW w:w="1080" w:type="dxa"/>
            <w:vAlign w:val="bottom"/>
            <w:tcBorders>
              <w:bottom w:val="single" w:sz="8" w:color="0B3C61"/>
            </w:tcBorders>
          </w:tcPr>
          <w:p>
            <w:pPr>
              <w:spacing w:after="0"/>
              <w:rPr>
                <w:sz w:val="2"/>
                <w:szCs w:val="2"/>
                <w:color w:val="auto"/>
              </w:rPr>
            </w:pPr>
          </w:p>
        </w:tc>
        <w:tc>
          <w:tcPr>
            <w:tcW w:w="1140" w:type="dxa"/>
            <w:vAlign w:val="bottom"/>
            <w:tcBorders>
              <w:bottom w:val="single" w:sz="8" w:color="0B3C61"/>
            </w:tcBorders>
          </w:tcPr>
          <w:p>
            <w:pPr>
              <w:spacing w:after="0"/>
              <w:rPr>
                <w:sz w:val="2"/>
                <w:szCs w:val="2"/>
                <w:color w:val="auto"/>
              </w:rPr>
            </w:pPr>
          </w:p>
        </w:tc>
        <w:tc>
          <w:tcPr>
            <w:tcW w:w="160" w:type="dxa"/>
            <w:vAlign w:val="bottom"/>
            <w:tcBorders>
              <w:bottom w:val="single" w:sz="8" w:color="0B3C61"/>
            </w:tcBorders>
          </w:tcPr>
          <w:p>
            <w:pPr>
              <w:spacing w:after="0"/>
              <w:rPr>
                <w:sz w:val="2"/>
                <w:szCs w:val="2"/>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0B3C61"/>
        </w:rPr>
        <w:t xml:space="preserve">2026 Proxy Statement | American Financial Group   </w:t>
      </w:r>
      <w:r>
        <w:rPr>
          <w:rFonts w:ascii="Arial" w:cs="Arial" w:eastAsia="Arial" w:hAnsi="Arial"/>
          <w:sz w:val="13"/>
          <w:szCs w:val="13"/>
          <w:b w:val="1"/>
          <w:bCs w:val="1"/>
          <w:color w:val="EA1D2D"/>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Senior Executive Long Term Incentive Compensation Plan</w:t>
      </w:r>
    </w:p>
    <w:p>
      <w:pPr>
        <w:spacing w:after="0" w:line="85"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54565B"/>
        </w:rPr>
        <w:t>The Senior Executive Long Term Incentive Compensation Plan (the “Senior Executive LTIC”) rewards long-term Company performance through cash awards payable upon the achievement of three-year performance goals determined annually by the Compensation Committee. The Compensation Committee sets these three-year performance goals during the first quarter of each three-year period. As such, the Senior Executive LTIC performance goals for the 2023-2025 period discussed below were determined by the Compensation Committee in the first quarter of 2023.</w:t>
      </w:r>
    </w:p>
    <w:p>
      <w:pPr>
        <w:spacing w:after="0" w:line="58"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54565B"/>
        </w:rPr>
        <w:t>Awards under the Senior Executive LTIC utilize two evenly weighted performance criteria: (1) book value per share growth versus the book value per share growth of a larger group of 22 companies (the “Comparison Companies”); and (2) average annual return on equity.</w:t>
      </w:r>
    </w:p>
    <w:p>
      <w:pPr>
        <w:spacing w:after="0" w:line="5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54565B"/>
        </w:rPr>
        <w:t xml:space="preserve">The </w:t>
      </w:r>
      <w:r>
        <w:rPr>
          <w:rFonts w:ascii="Arial" w:cs="Arial" w:eastAsia="Arial" w:hAnsi="Arial"/>
          <w:sz w:val="16"/>
          <w:szCs w:val="16"/>
          <w:b w:val="1"/>
          <w:bCs w:val="1"/>
          <w:color w:val="54565B"/>
        </w:rPr>
        <w:t>long-term book value per share (“Long-Term Relative GBVPS”)</w:t>
      </w:r>
      <w:r>
        <w:rPr>
          <w:rFonts w:ascii="Arial" w:cs="Arial" w:eastAsia="Arial" w:hAnsi="Arial"/>
          <w:sz w:val="16"/>
          <w:szCs w:val="16"/>
          <w:color w:val="54565B"/>
        </w:rPr>
        <w:t xml:space="preserve"> calculations for the Company and each of the Comparison Companies, are adjusted to add dividends and other capital distributions made on common shares, exclude accumulated other comprehensive income, and negate the effects of any accounting changes. The awards provide for such adjustments so that accounting changes do not artificially affect book value per share and so that other comprehensive income and the impact of distributions do not influence Company decisions like, for example, the timing and amount of dividends paid in a manner not consistent with a goal of continuing to increase shareholder value.</w:t>
      </w:r>
    </w:p>
    <w:p>
      <w:pPr>
        <w:spacing w:after="0" w:line="4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b w:val="1"/>
          <w:bCs w:val="1"/>
          <w:color w:val="54565B"/>
        </w:rPr>
        <w:t xml:space="preserve">Long-term average annual return on equity (“Long-Term ROE”) </w:t>
      </w:r>
      <w:r>
        <w:rPr>
          <w:rFonts w:ascii="Arial" w:cs="Arial" w:eastAsia="Arial" w:hAnsi="Arial"/>
          <w:sz w:val="16"/>
          <w:szCs w:val="16"/>
          <w:color w:val="54565B"/>
        </w:rPr>
        <w:t>is defined as the percentage equal to the Company’s core</w:t>
      </w:r>
      <w:r>
        <w:rPr>
          <w:rFonts w:ascii="Arial" w:cs="Arial" w:eastAsia="Arial" w:hAnsi="Arial"/>
          <w:sz w:val="16"/>
          <w:szCs w:val="16"/>
          <w:b w:val="1"/>
          <w:bCs w:val="1"/>
          <w:color w:val="54565B"/>
        </w:rPr>
        <w:t xml:space="preserve"> </w:t>
      </w:r>
      <w:r>
        <w:rPr>
          <w:rFonts w:ascii="Arial" w:cs="Arial" w:eastAsia="Arial" w:hAnsi="Arial"/>
          <w:sz w:val="16"/>
          <w:szCs w:val="16"/>
          <w:color w:val="54565B"/>
        </w:rPr>
        <w:t>operating earnings divided by the Company’s shareholders’ equity (excluding accumulated other comprehensive income), and the applicable percentage in determining award amounts, if any, is the average return on equity for each of the three years in the performance period.</w:t>
      </w:r>
    </w:p>
    <w:p>
      <w:pPr>
        <w:spacing w:after="0" w:line="56"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54565B"/>
        </w:rPr>
        <w:t>Awards granted under the Senior Executive LTIC to the Co-CEOs and Mr. Berding for the period ending December 31, 2025, are provided in the table below. Each of the performance components are equally weighted with one-half of the target amount and maximum amount allocated to each of Long-Term Relative GBVPS and Long-Term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5966460" cy="5226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6460" cy="522605"/>
                    </a:xfrm>
                    <a:prstGeom prst="rect">
                      <a:avLst/>
                    </a:prstGeom>
                    <a:noFill/>
                  </pic:spPr>
                </pic:pic>
              </a:graphicData>
            </a:graphic>
          </wp:anchor>
        </w:drawing>
      </w:r>
    </w:p>
    <w:p>
      <w:pPr>
        <w:spacing w:after="0" w:line="224" w:lineRule="exact"/>
        <w:rPr>
          <w:sz w:val="20"/>
          <w:szCs w:val="20"/>
          <w:color w:val="auto"/>
        </w:rPr>
      </w:pPr>
    </w:p>
    <w:p>
      <w:pPr>
        <w:ind w:left="7380"/>
        <w:spacing w:after="0"/>
        <w:rPr>
          <w:sz w:val="20"/>
          <w:szCs w:val="20"/>
          <w:color w:val="auto"/>
        </w:rPr>
      </w:pPr>
      <w:r>
        <w:rPr>
          <w:rFonts w:ascii="Arial" w:cs="Arial" w:eastAsia="Arial" w:hAnsi="Arial"/>
          <w:sz w:val="14"/>
          <w:szCs w:val="14"/>
          <w:color w:val="FFFFFF"/>
        </w:rPr>
        <w:t>Potential Payments</w:t>
      </w:r>
    </w:p>
    <w:tbl>
      <w:tblPr>
        <w:tblLayout w:type="fixed"/>
        <w:tblInd w:w="0" w:type="dxa"/>
        <w:tblCellMar>
          <w:top w:w="0" w:type="dxa"/>
          <w:left w:w="0" w:type="dxa"/>
          <w:bottom w:w="0" w:type="dxa"/>
          <w:right w:w="0" w:type="dxa"/>
        </w:tblCellMar>
      </w:tblPr>
      <w:tr>
        <w:trPr>
          <w:trHeight w:val="130"/>
        </w:trPr>
        <w:tc>
          <w:tcPr>
            <w:tcW w:w="4060" w:type="dxa"/>
            <w:vAlign w:val="bottom"/>
          </w:tcPr>
          <w:p>
            <w:pPr>
              <w:spacing w:after="0"/>
              <w:rPr>
                <w:sz w:val="11"/>
                <w:szCs w:val="11"/>
                <w:color w:val="auto"/>
              </w:rPr>
            </w:pPr>
          </w:p>
        </w:tc>
        <w:tc>
          <w:tcPr>
            <w:tcW w:w="1340" w:type="dxa"/>
            <w:vAlign w:val="bottom"/>
            <w:tcBorders>
              <w:bottom w:val="single" w:sz="8" w:color="0B3C61"/>
            </w:tcBorders>
          </w:tcPr>
          <w:p>
            <w:pPr>
              <w:spacing w:after="0"/>
              <w:rPr>
                <w:sz w:val="11"/>
                <w:szCs w:val="11"/>
                <w:color w:val="auto"/>
              </w:rPr>
            </w:pPr>
          </w:p>
        </w:tc>
        <w:tc>
          <w:tcPr>
            <w:tcW w:w="1360" w:type="dxa"/>
            <w:vAlign w:val="bottom"/>
          </w:tcPr>
          <w:p>
            <w:pPr>
              <w:ind w:left="500"/>
              <w:spacing w:after="0" w:line="130" w:lineRule="exact"/>
              <w:rPr>
                <w:sz w:val="20"/>
                <w:szCs w:val="20"/>
                <w:color w:val="auto"/>
              </w:rPr>
            </w:pPr>
            <w:r>
              <w:rPr>
                <w:rFonts w:ascii="Arial" w:cs="Arial" w:eastAsia="Arial" w:hAnsi="Arial"/>
                <w:sz w:val="14"/>
                <w:szCs w:val="14"/>
                <w:color w:val="FFFFFF"/>
              </w:rPr>
              <w:t>Three-Year</w:t>
            </w:r>
          </w:p>
        </w:tc>
        <w:tc>
          <w:tcPr>
            <w:tcW w:w="1240" w:type="dxa"/>
            <w:vAlign w:val="bottom"/>
            <w:tcBorders>
              <w:bottom w:val="single" w:sz="8" w:color="0B3C61"/>
            </w:tcBorders>
          </w:tcPr>
          <w:p>
            <w:pPr>
              <w:spacing w:after="0"/>
              <w:rPr>
                <w:sz w:val="11"/>
                <w:szCs w:val="11"/>
                <w:color w:val="auto"/>
              </w:rPr>
            </w:pPr>
          </w:p>
        </w:tc>
        <w:tc>
          <w:tcPr>
            <w:tcW w:w="1240" w:type="dxa"/>
            <w:vAlign w:val="bottom"/>
            <w:tcBorders>
              <w:bottom w:val="single" w:sz="8" w:color="0B3C61"/>
            </w:tcBorders>
          </w:tcPr>
          <w:p>
            <w:pPr>
              <w:spacing w:after="0"/>
              <w:rPr>
                <w:sz w:val="11"/>
                <w:szCs w:val="11"/>
                <w:color w:val="auto"/>
              </w:rPr>
            </w:pPr>
          </w:p>
        </w:tc>
        <w:tc>
          <w:tcPr>
            <w:tcW w:w="160" w:type="dxa"/>
            <w:vAlign w:val="bottom"/>
          </w:tcPr>
          <w:p>
            <w:pPr>
              <w:spacing w:after="0"/>
              <w:rPr>
                <w:sz w:val="11"/>
                <w:szCs w:val="11"/>
                <w:color w:val="auto"/>
              </w:rPr>
            </w:pPr>
          </w:p>
        </w:tc>
      </w:tr>
      <w:tr>
        <w:trPr>
          <w:trHeight w:val="162"/>
        </w:trPr>
        <w:tc>
          <w:tcPr>
            <w:tcW w:w="4060" w:type="dxa"/>
            <w:vAlign w:val="bottom"/>
          </w:tcPr>
          <w:p>
            <w:pPr>
              <w:spacing w:after="0"/>
              <w:rPr>
                <w:sz w:val="14"/>
                <w:szCs w:val="14"/>
                <w:color w:val="auto"/>
              </w:rPr>
            </w:pPr>
          </w:p>
        </w:tc>
        <w:tc>
          <w:tcPr>
            <w:tcW w:w="1340" w:type="dxa"/>
            <w:vAlign w:val="bottom"/>
            <w:shd w:val="clear" w:color="auto" w:fill="0B3C61"/>
          </w:tcPr>
          <w:p>
            <w:pPr>
              <w:jc w:val="right"/>
              <w:ind w:right="8"/>
              <w:spacing w:after="0"/>
              <w:rPr>
                <w:sz w:val="20"/>
                <w:szCs w:val="20"/>
                <w:color w:val="auto"/>
              </w:rPr>
            </w:pPr>
            <w:r>
              <w:rPr>
                <w:rFonts w:ascii="Arial" w:cs="Arial" w:eastAsia="Arial" w:hAnsi="Arial"/>
                <w:sz w:val="14"/>
                <w:szCs w:val="14"/>
                <w:color w:val="FFFFFF"/>
              </w:rPr>
              <w:t>Grant</w:t>
            </w:r>
          </w:p>
        </w:tc>
        <w:tc>
          <w:tcPr>
            <w:tcW w:w="1360" w:type="dxa"/>
            <w:vAlign w:val="bottom"/>
          </w:tcPr>
          <w:p>
            <w:pPr>
              <w:ind w:left="380"/>
              <w:spacing w:after="0"/>
              <w:rPr>
                <w:sz w:val="20"/>
                <w:szCs w:val="20"/>
                <w:color w:val="auto"/>
              </w:rPr>
            </w:pPr>
            <w:r>
              <w:rPr>
                <w:rFonts w:ascii="Arial" w:cs="Arial" w:eastAsia="Arial" w:hAnsi="Arial"/>
                <w:sz w:val="14"/>
                <w:szCs w:val="14"/>
                <w:color w:val="FFFFFF"/>
              </w:rPr>
              <w:t>Performance</w:t>
            </w:r>
          </w:p>
        </w:tc>
        <w:tc>
          <w:tcPr>
            <w:tcW w:w="1240" w:type="dxa"/>
            <w:vAlign w:val="bottom"/>
            <w:shd w:val="clear" w:color="auto" w:fill="0B3C61"/>
          </w:tcPr>
          <w:p>
            <w:pPr>
              <w:ind w:left="380"/>
              <w:spacing w:after="0"/>
              <w:rPr>
                <w:sz w:val="20"/>
                <w:szCs w:val="20"/>
                <w:color w:val="auto"/>
              </w:rPr>
            </w:pPr>
            <w:r>
              <w:rPr>
                <w:rFonts w:ascii="Arial" w:cs="Arial" w:eastAsia="Arial" w:hAnsi="Arial"/>
                <w:sz w:val="14"/>
                <w:szCs w:val="14"/>
                <w:color w:val="FFFFFF"/>
              </w:rPr>
              <w:t>Target</w:t>
            </w:r>
          </w:p>
        </w:tc>
        <w:tc>
          <w:tcPr>
            <w:tcW w:w="1240" w:type="dxa"/>
            <w:vAlign w:val="bottom"/>
            <w:shd w:val="clear" w:color="auto" w:fill="0B3C61"/>
          </w:tcPr>
          <w:p>
            <w:pPr>
              <w:ind w:left="320"/>
              <w:spacing w:after="0"/>
              <w:rPr>
                <w:sz w:val="20"/>
                <w:szCs w:val="20"/>
                <w:color w:val="auto"/>
              </w:rPr>
            </w:pPr>
            <w:r>
              <w:rPr>
                <w:rFonts w:ascii="Arial" w:cs="Arial" w:eastAsia="Arial" w:hAnsi="Arial"/>
                <w:sz w:val="14"/>
                <w:szCs w:val="14"/>
                <w:color w:val="FFFFFF"/>
              </w:rPr>
              <w:t>Maximum</w:t>
            </w:r>
          </w:p>
        </w:tc>
        <w:tc>
          <w:tcPr>
            <w:tcW w:w="160" w:type="dxa"/>
            <w:vAlign w:val="bottom"/>
          </w:tcPr>
          <w:p>
            <w:pPr>
              <w:spacing w:after="0"/>
              <w:rPr>
                <w:sz w:val="14"/>
                <w:szCs w:val="14"/>
                <w:color w:val="auto"/>
              </w:rPr>
            </w:pPr>
          </w:p>
        </w:tc>
      </w:tr>
      <w:tr>
        <w:trPr>
          <w:trHeight w:val="190"/>
        </w:trPr>
        <w:tc>
          <w:tcPr>
            <w:tcW w:w="4060" w:type="dxa"/>
            <w:vAlign w:val="bottom"/>
          </w:tcPr>
          <w:p>
            <w:pPr>
              <w:ind w:left="240"/>
              <w:spacing w:after="0"/>
              <w:rPr>
                <w:sz w:val="20"/>
                <w:szCs w:val="20"/>
                <w:color w:val="auto"/>
              </w:rPr>
            </w:pPr>
            <w:r>
              <w:rPr>
                <w:rFonts w:ascii="Arial" w:cs="Arial" w:eastAsia="Arial" w:hAnsi="Arial"/>
                <w:sz w:val="14"/>
                <w:szCs w:val="14"/>
                <w:color w:val="FFFFFF"/>
              </w:rPr>
              <w:t>Name</w:t>
            </w:r>
          </w:p>
        </w:tc>
        <w:tc>
          <w:tcPr>
            <w:tcW w:w="1340" w:type="dxa"/>
            <w:vAlign w:val="bottom"/>
            <w:shd w:val="clear" w:color="auto" w:fill="0B3C61"/>
          </w:tcPr>
          <w:p>
            <w:pPr>
              <w:jc w:val="right"/>
              <w:spacing w:after="0"/>
              <w:rPr>
                <w:sz w:val="20"/>
                <w:szCs w:val="20"/>
                <w:color w:val="auto"/>
              </w:rPr>
            </w:pPr>
            <w:r>
              <w:rPr>
                <w:rFonts w:ascii="Arial" w:cs="Arial" w:eastAsia="Arial" w:hAnsi="Arial"/>
                <w:sz w:val="14"/>
                <w:szCs w:val="14"/>
                <w:color w:val="FFFFFF"/>
              </w:rPr>
              <w:t>Year</w:t>
            </w:r>
          </w:p>
        </w:tc>
        <w:tc>
          <w:tcPr>
            <w:tcW w:w="1360" w:type="dxa"/>
            <w:vAlign w:val="bottom"/>
          </w:tcPr>
          <w:p>
            <w:pPr>
              <w:ind w:left="340"/>
              <w:spacing w:after="0"/>
              <w:rPr>
                <w:sz w:val="20"/>
                <w:szCs w:val="20"/>
                <w:color w:val="auto"/>
              </w:rPr>
            </w:pPr>
            <w:r>
              <w:rPr>
                <w:rFonts w:ascii="Arial" w:cs="Arial" w:eastAsia="Arial" w:hAnsi="Arial"/>
                <w:sz w:val="14"/>
                <w:szCs w:val="14"/>
                <w:color w:val="FFFFFF"/>
              </w:rPr>
              <w:t>Period Ending</w:t>
            </w:r>
          </w:p>
        </w:tc>
        <w:tc>
          <w:tcPr>
            <w:tcW w:w="124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w:t>
            </w:r>
          </w:p>
        </w:tc>
        <w:tc>
          <w:tcPr>
            <w:tcW w:w="124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w:t>
            </w:r>
          </w:p>
        </w:tc>
        <w:tc>
          <w:tcPr>
            <w:tcW w:w="160" w:type="dxa"/>
            <w:vAlign w:val="bottom"/>
          </w:tcPr>
          <w:p>
            <w:pPr>
              <w:spacing w:after="0"/>
              <w:rPr>
                <w:sz w:val="16"/>
                <w:szCs w:val="16"/>
                <w:color w:val="auto"/>
              </w:rPr>
            </w:pPr>
          </w:p>
        </w:tc>
      </w:tr>
      <w:tr>
        <w:trPr>
          <w:trHeight w:val="62"/>
        </w:trPr>
        <w:tc>
          <w:tcPr>
            <w:tcW w:w="4060" w:type="dxa"/>
            <w:vAlign w:val="bottom"/>
          </w:tcPr>
          <w:p>
            <w:pPr>
              <w:spacing w:after="0"/>
              <w:rPr>
                <w:sz w:val="5"/>
                <w:szCs w:val="5"/>
                <w:color w:val="auto"/>
              </w:rPr>
            </w:pPr>
          </w:p>
        </w:tc>
        <w:tc>
          <w:tcPr>
            <w:tcW w:w="1340" w:type="dxa"/>
            <w:vAlign w:val="bottom"/>
            <w:shd w:val="clear" w:color="auto" w:fill="0B3C61"/>
          </w:tcPr>
          <w:p>
            <w:pPr>
              <w:spacing w:after="0"/>
              <w:rPr>
                <w:sz w:val="5"/>
                <w:szCs w:val="5"/>
                <w:color w:val="auto"/>
              </w:rPr>
            </w:pPr>
          </w:p>
        </w:tc>
        <w:tc>
          <w:tcPr>
            <w:tcW w:w="1360" w:type="dxa"/>
            <w:vAlign w:val="bottom"/>
          </w:tcPr>
          <w:p>
            <w:pPr>
              <w:spacing w:after="0"/>
              <w:rPr>
                <w:sz w:val="5"/>
                <w:szCs w:val="5"/>
                <w:color w:val="auto"/>
              </w:rPr>
            </w:pPr>
          </w:p>
        </w:tc>
        <w:tc>
          <w:tcPr>
            <w:tcW w:w="1240" w:type="dxa"/>
            <w:vAlign w:val="bottom"/>
            <w:shd w:val="clear" w:color="auto" w:fill="0B3C61"/>
          </w:tcPr>
          <w:p>
            <w:pPr>
              <w:spacing w:after="0"/>
              <w:rPr>
                <w:sz w:val="5"/>
                <w:szCs w:val="5"/>
                <w:color w:val="auto"/>
              </w:rPr>
            </w:pPr>
          </w:p>
        </w:tc>
        <w:tc>
          <w:tcPr>
            <w:tcW w:w="1240" w:type="dxa"/>
            <w:vAlign w:val="bottom"/>
            <w:shd w:val="clear" w:color="auto" w:fill="0B3C61"/>
          </w:tcPr>
          <w:p>
            <w:pPr>
              <w:spacing w:after="0"/>
              <w:rPr>
                <w:sz w:val="5"/>
                <w:szCs w:val="5"/>
                <w:color w:val="auto"/>
              </w:rPr>
            </w:pPr>
          </w:p>
        </w:tc>
        <w:tc>
          <w:tcPr>
            <w:tcW w:w="160" w:type="dxa"/>
            <w:vAlign w:val="bottom"/>
          </w:tcPr>
          <w:p>
            <w:pPr>
              <w:spacing w:after="0"/>
              <w:rPr>
                <w:sz w:val="5"/>
                <w:szCs w:val="5"/>
                <w:color w:val="auto"/>
              </w:rPr>
            </w:pPr>
          </w:p>
        </w:tc>
      </w:tr>
      <w:tr>
        <w:trPr>
          <w:trHeight w:val="289"/>
        </w:trPr>
        <w:tc>
          <w:tcPr>
            <w:tcW w:w="4060" w:type="dxa"/>
            <w:vAlign w:val="bottom"/>
          </w:tcPr>
          <w:p>
            <w:pPr>
              <w:ind w:left="240"/>
              <w:spacing w:after="0"/>
              <w:rPr>
                <w:sz w:val="20"/>
                <w:szCs w:val="20"/>
                <w:color w:val="auto"/>
              </w:rPr>
            </w:pPr>
            <w:r>
              <w:rPr>
                <w:rFonts w:ascii="Arial" w:cs="Arial" w:eastAsia="Arial" w:hAnsi="Arial"/>
                <w:sz w:val="14"/>
                <w:szCs w:val="14"/>
                <w:b w:val="1"/>
                <w:bCs w:val="1"/>
                <w:color w:val="54565B"/>
              </w:rPr>
              <w:t>Carl H. Lindner III</w:t>
            </w:r>
          </w:p>
        </w:tc>
        <w:tc>
          <w:tcPr>
            <w:tcW w:w="1340" w:type="dxa"/>
            <w:vAlign w:val="bottom"/>
          </w:tcPr>
          <w:p>
            <w:pPr>
              <w:jc w:val="right"/>
              <w:spacing w:after="0"/>
              <w:rPr>
                <w:sz w:val="20"/>
                <w:szCs w:val="20"/>
                <w:color w:val="auto"/>
              </w:rPr>
            </w:pPr>
            <w:r>
              <w:rPr>
                <w:rFonts w:ascii="Arial" w:cs="Arial" w:eastAsia="Arial" w:hAnsi="Arial"/>
                <w:sz w:val="14"/>
                <w:szCs w:val="14"/>
                <w:color w:val="54565B"/>
              </w:rPr>
              <w:t>2023</w:t>
            </w:r>
          </w:p>
        </w:tc>
        <w:tc>
          <w:tcPr>
            <w:tcW w:w="1360" w:type="dxa"/>
            <w:vAlign w:val="bottom"/>
          </w:tcPr>
          <w:p>
            <w:pPr>
              <w:ind w:left="520"/>
              <w:spacing w:after="0"/>
              <w:rPr>
                <w:sz w:val="20"/>
                <w:szCs w:val="20"/>
                <w:color w:val="auto"/>
              </w:rPr>
            </w:pPr>
            <w:r>
              <w:rPr>
                <w:rFonts w:ascii="Arial" w:cs="Arial" w:eastAsia="Arial" w:hAnsi="Arial"/>
                <w:sz w:val="14"/>
                <w:szCs w:val="14"/>
                <w:color w:val="54565B"/>
              </w:rPr>
              <w:t>12/31/2025</w:t>
            </w:r>
          </w:p>
        </w:tc>
        <w:tc>
          <w:tcPr>
            <w:tcW w:w="1240" w:type="dxa"/>
            <w:vAlign w:val="bottom"/>
          </w:tcPr>
          <w:p>
            <w:pPr>
              <w:jc w:val="center"/>
              <w:spacing w:after="0"/>
              <w:rPr>
                <w:sz w:val="20"/>
                <w:szCs w:val="20"/>
                <w:color w:val="auto"/>
              </w:rPr>
            </w:pPr>
            <w:r>
              <w:rPr>
                <w:rFonts w:ascii="Arial" w:cs="Arial" w:eastAsia="Arial" w:hAnsi="Arial"/>
                <w:sz w:val="14"/>
                <w:szCs w:val="14"/>
                <w:color w:val="54565B"/>
              </w:rPr>
              <w:t>2,500,000</w:t>
            </w:r>
          </w:p>
        </w:tc>
        <w:tc>
          <w:tcPr>
            <w:tcW w:w="1240" w:type="dxa"/>
            <w:vAlign w:val="bottom"/>
          </w:tcPr>
          <w:p>
            <w:pPr>
              <w:jc w:val="center"/>
              <w:spacing w:after="0"/>
              <w:rPr>
                <w:sz w:val="20"/>
                <w:szCs w:val="20"/>
                <w:color w:val="auto"/>
              </w:rPr>
            </w:pPr>
            <w:r>
              <w:rPr>
                <w:rFonts w:ascii="Arial" w:cs="Arial" w:eastAsia="Arial" w:hAnsi="Arial"/>
                <w:sz w:val="14"/>
                <w:szCs w:val="14"/>
                <w:color w:val="54565B"/>
              </w:rPr>
              <w:t>5,000,000</w:t>
            </w:r>
          </w:p>
        </w:tc>
        <w:tc>
          <w:tcPr>
            <w:tcW w:w="160" w:type="dxa"/>
            <w:vAlign w:val="bottom"/>
          </w:tcPr>
          <w:p>
            <w:pPr>
              <w:spacing w:after="0"/>
              <w:rPr>
                <w:sz w:val="24"/>
                <w:szCs w:val="24"/>
                <w:color w:val="auto"/>
              </w:rPr>
            </w:pPr>
          </w:p>
        </w:tc>
      </w:tr>
      <w:tr>
        <w:trPr>
          <w:trHeight w:val="244"/>
        </w:trPr>
        <w:tc>
          <w:tcPr>
            <w:tcW w:w="406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b w:val="1"/>
                <w:bCs w:val="1"/>
                <w:color w:val="54565B"/>
              </w:rPr>
              <w:t>S. Craig Lindner</w:t>
            </w:r>
          </w:p>
        </w:tc>
        <w:tc>
          <w:tcPr>
            <w:tcW w:w="1340" w:type="dxa"/>
            <w:vAlign w:val="bottom"/>
            <w:tcBorders>
              <w:bottom w:val="single" w:sz="8" w:color="EAF7FA"/>
            </w:tcBorders>
            <w:shd w:val="clear" w:color="auto" w:fill="EAF7FA"/>
          </w:tcPr>
          <w:p>
            <w:pPr>
              <w:jc w:val="right"/>
              <w:spacing w:after="0"/>
              <w:rPr>
                <w:sz w:val="20"/>
                <w:szCs w:val="20"/>
                <w:color w:val="auto"/>
              </w:rPr>
            </w:pPr>
            <w:r>
              <w:rPr>
                <w:rFonts w:ascii="Arial" w:cs="Arial" w:eastAsia="Arial" w:hAnsi="Arial"/>
                <w:sz w:val="14"/>
                <w:szCs w:val="14"/>
                <w:b w:val="1"/>
                <w:bCs w:val="1"/>
                <w:color w:val="54565B"/>
              </w:rPr>
              <w:t>​</w:t>
            </w:r>
            <w:r>
              <w:rPr>
                <w:rFonts w:ascii="Arial" w:cs="Arial" w:eastAsia="Arial" w:hAnsi="Arial"/>
                <w:sz w:val="14"/>
                <w:szCs w:val="14"/>
                <w:color w:val="54565B"/>
              </w:rPr>
              <w:t>2023</w:t>
            </w:r>
          </w:p>
        </w:tc>
        <w:tc>
          <w:tcPr>
            <w:tcW w:w="1360" w:type="dxa"/>
            <w:vAlign w:val="bottom"/>
            <w:tcBorders>
              <w:bottom w:val="single" w:sz="8" w:color="EAF7FA"/>
            </w:tcBorders>
            <w:shd w:val="clear" w:color="auto" w:fill="EAF7FA"/>
          </w:tcPr>
          <w:p>
            <w:pPr>
              <w:ind w:left="520"/>
              <w:spacing w:after="0"/>
              <w:rPr>
                <w:sz w:val="20"/>
                <w:szCs w:val="20"/>
                <w:color w:val="auto"/>
              </w:rPr>
            </w:pPr>
            <w:r>
              <w:rPr>
                <w:rFonts w:ascii="Arial" w:cs="Arial" w:eastAsia="Arial" w:hAnsi="Arial"/>
                <w:sz w:val="14"/>
                <w:szCs w:val="14"/>
                <w:color w:val="54565B"/>
              </w:rPr>
              <w:t>12/31/2025</w:t>
            </w:r>
          </w:p>
        </w:tc>
        <w:tc>
          <w:tcPr>
            <w:tcW w:w="124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2,500,000</w:t>
            </w:r>
          </w:p>
        </w:tc>
        <w:tc>
          <w:tcPr>
            <w:tcW w:w="124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rPr>
              <w:t>5,000,000</w:t>
            </w:r>
          </w:p>
        </w:tc>
        <w:tc>
          <w:tcPr>
            <w:tcW w:w="160" w:type="dxa"/>
            <w:vAlign w:val="bottom"/>
            <w:tcBorders>
              <w:bottom w:val="single" w:sz="8" w:color="EAF7FA"/>
            </w:tcBorders>
            <w:shd w:val="clear" w:color="auto" w:fill="EAF7FA"/>
          </w:tcPr>
          <w:p>
            <w:pPr>
              <w:spacing w:after="0"/>
              <w:rPr>
                <w:sz w:val="21"/>
                <w:szCs w:val="21"/>
                <w:color w:val="auto"/>
              </w:rPr>
            </w:pPr>
          </w:p>
        </w:tc>
      </w:tr>
      <w:tr>
        <w:trPr>
          <w:trHeight w:val="228"/>
        </w:trPr>
        <w:tc>
          <w:tcPr>
            <w:tcW w:w="4060" w:type="dxa"/>
            <w:vAlign w:val="bottom"/>
          </w:tcPr>
          <w:p>
            <w:pPr>
              <w:ind w:left="240"/>
              <w:spacing w:after="0"/>
              <w:rPr>
                <w:sz w:val="20"/>
                <w:szCs w:val="20"/>
                <w:color w:val="auto"/>
              </w:rPr>
            </w:pPr>
            <w:r>
              <w:rPr>
                <w:rFonts w:ascii="Arial" w:cs="Arial" w:eastAsia="Arial" w:hAnsi="Arial"/>
                <w:sz w:val="14"/>
                <w:szCs w:val="14"/>
                <w:b w:val="1"/>
                <w:bCs w:val="1"/>
                <w:color w:val="54565B"/>
              </w:rPr>
              <w:t>John B. Berding</w:t>
            </w:r>
          </w:p>
        </w:tc>
        <w:tc>
          <w:tcPr>
            <w:tcW w:w="1340" w:type="dxa"/>
            <w:vAlign w:val="bottom"/>
          </w:tcPr>
          <w:p>
            <w:pPr>
              <w:jc w:val="right"/>
              <w:spacing w:after="0"/>
              <w:rPr>
                <w:sz w:val="20"/>
                <w:szCs w:val="20"/>
                <w:color w:val="auto"/>
              </w:rPr>
            </w:pPr>
            <w:r>
              <w:rPr>
                <w:rFonts w:ascii="Arial" w:cs="Arial" w:eastAsia="Arial" w:hAnsi="Arial"/>
                <w:sz w:val="14"/>
                <w:szCs w:val="14"/>
                <w:color w:val="54565B"/>
              </w:rPr>
              <w:t>2023</w:t>
            </w:r>
          </w:p>
        </w:tc>
        <w:tc>
          <w:tcPr>
            <w:tcW w:w="1360" w:type="dxa"/>
            <w:vAlign w:val="bottom"/>
          </w:tcPr>
          <w:p>
            <w:pPr>
              <w:ind w:left="520"/>
              <w:spacing w:after="0"/>
              <w:rPr>
                <w:sz w:val="20"/>
                <w:szCs w:val="20"/>
                <w:color w:val="auto"/>
              </w:rPr>
            </w:pPr>
            <w:r>
              <w:rPr>
                <w:rFonts w:ascii="Arial" w:cs="Arial" w:eastAsia="Arial" w:hAnsi="Arial"/>
                <w:sz w:val="14"/>
                <w:szCs w:val="14"/>
                <w:color w:val="54565B"/>
              </w:rPr>
              <w:t>12/31/2025</w:t>
            </w:r>
          </w:p>
        </w:tc>
        <w:tc>
          <w:tcPr>
            <w:tcW w:w="1240" w:type="dxa"/>
            <w:vAlign w:val="bottom"/>
          </w:tcPr>
          <w:p>
            <w:pPr>
              <w:jc w:val="center"/>
              <w:spacing w:after="0"/>
              <w:rPr>
                <w:sz w:val="20"/>
                <w:szCs w:val="20"/>
                <w:color w:val="auto"/>
              </w:rPr>
            </w:pPr>
            <w:r>
              <w:rPr>
                <w:rFonts w:ascii="Arial" w:cs="Arial" w:eastAsia="Arial" w:hAnsi="Arial"/>
                <w:sz w:val="14"/>
                <w:szCs w:val="14"/>
                <w:color w:val="54565B"/>
              </w:rPr>
              <w:t>1,600,000</w:t>
            </w:r>
          </w:p>
        </w:tc>
        <w:tc>
          <w:tcPr>
            <w:tcW w:w="1240" w:type="dxa"/>
            <w:vAlign w:val="bottom"/>
          </w:tcPr>
          <w:p>
            <w:pPr>
              <w:jc w:val="center"/>
              <w:spacing w:after="0"/>
              <w:rPr>
                <w:sz w:val="20"/>
                <w:szCs w:val="20"/>
                <w:color w:val="auto"/>
              </w:rPr>
            </w:pPr>
            <w:r>
              <w:rPr>
                <w:rFonts w:ascii="Arial" w:cs="Arial" w:eastAsia="Arial" w:hAnsi="Arial"/>
                <w:sz w:val="14"/>
                <w:szCs w:val="14"/>
                <w:color w:val="54565B"/>
              </w:rPr>
              <w:t>3,200,000</w:t>
            </w:r>
          </w:p>
        </w:tc>
        <w:tc>
          <w:tcPr>
            <w:tcW w:w="160" w:type="dxa"/>
            <w:vAlign w:val="bottom"/>
          </w:tcPr>
          <w:p>
            <w:pPr>
              <w:spacing w:after="0"/>
              <w:rPr>
                <w:sz w:val="19"/>
                <w:szCs w:val="19"/>
                <w:color w:val="auto"/>
              </w:rPr>
            </w:pPr>
          </w:p>
        </w:tc>
      </w:tr>
      <w:tr>
        <w:trPr>
          <w:trHeight w:val="29"/>
        </w:trPr>
        <w:tc>
          <w:tcPr>
            <w:tcW w:w="4060" w:type="dxa"/>
            <w:vAlign w:val="bottom"/>
            <w:tcBorders>
              <w:bottom w:val="single" w:sz="8" w:color="0B3C61"/>
            </w:tcBorders>
          </w:tcPr>
          <w:p>
            <w:pPr>
              <w:spacing w:after="0"/>
              <w:rPr>
                <w:sz w:val="2"/>
                <w:szCs w:val="2"/>
                <w:color w:val="auto"/>
              </w:rPr>
            </w:pPr>
          </w:p>
        </w:tc>
        <w:tc>
          <w:tcPr>
            <w:tcW w:w="1340" w:type="dxa"/>
            <w:vAlign w:val="bottom"/>
            <w:tcBorders>
              <w:bottom w:val="single" w:sz="8" w:color="0B3C61"/>
            </w:tcBorders>
          </w:tcPr>
          <w:p>
            <w:pPr>
              <w:spacing w:after="0"/>
              <w:rPr>
                <w:sz w:val="2"/>
                <w:szCs w:val="2"/>
                <w:color w:val="auto"/>
              </w:rPr>
            </w:pPr>
          </w:p>
        </w:tc>
        <w:tc>
          <w:tcPr>
            <w:tcW w:w="1360" w:type="dxa"/>
            <w:vAlign w:val="bottom"/>
            <w:tcBorders>
              <w:bottom w:val="single" w:sz="8" w:color="0B3C61"/>
            </w:tcBorders>
          </w:tcPr>
          <w:p>
            <w:pPr>
              <w:spacing w:after="0"/>
              <w:rPr>
                <w:sz w:val="2"/>
                <w:szCs w:val="2"/>
                <w:color w:val="auto"/>
              </w:rPr>
            </w:pPr>
          </w:p>
        </w:tc>
        <w:tc>
          <w:tcPr>
            <w:tcW w:w="1240" w:type="dxa"/>
            <w:vAlign w:val="bottom"/>
            <w:tcBorders>
              <w:bottom w:val="single" w:sz="8" w:color="0B3C61"/>
            </w:tcBorders>
          </w:tcPr>
          <w:p>
            <w:pPr>
              <w:spacing w:after="0"/>
              <w:rPr>
                <w:sz w:val="2"/>
                <w:szCs w:val="2"/>
                <w:color w:val="auto"/>
              </w:rPr>
            </w:pPr>
          </w:p>
        </w:tc>
        <w:tc>
          <w:tcPr>
            <w:tcW w:w="1240" w:type="dxa"/>
            <w:vAlign w:val="bottom"/>
            <w:tcBorders>
              <w:bottom w:val="single" w:sz="8" w:color="0B3C61"/>
            </w:tcBorders>
          </w:tcPr>
          <w:p>
            <w:pPr>
              <w:spacing w:after="0"/>
              <w:rPr>
                <w:sz w:val="2"/>
                <w:szCs w:val="2"/>
                <w:color w:val="auto"/>
              </w:rPr>
            </w:pPr>
          </w:p>
        </w:tc>
        <w:tc>
          <w:tcPr>
            <w:tcW w:w="160" w:type="dxa"/>
            <w:vAlign w:val="bottom"/>
            <w:tcBorders>
              <w:bottom w:val="single" w:sz="8" w:color="0B3C61"/>
            </w:tcBorders>
          </w:tcPr>
          <w:p>
            <w:pPr>
              <w:spacing w:after="0"/>
              <w:rPr>
                <w:sz w:val="2"/>
                <w:szCs w:val="2"/>
                <w:color w:val="auto"/>
              </w:rPr>
            </w:pPr>
          </w:p>
        </w:tc>
      </w:tr>
    </w:tbl>
    <w:p>
      <w:pPr>
        <w:spacing w:after="0" w:line="18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54565B"/>
        </w:rPr>
        <w:t>The following table shows the performance targets established to earn the threshold and maximum awards under the Senior Executive LTIC for the performance periods ending 2022 through 2025, during which the Compensation Committee increased both the threshold and maximum goals.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140" w:type="dxa"/>
            <w:vAlign w:val="bottom"/>
            <w:shd w:val="clear" w:color="auto" w:fill="0B3C61"/>
          </w:tcPr>
          <w:p>
            <w:pPr>
              <w:spacing w:after="0"/>
              <w:rPr>
                <w:sz w:val="24"/>
                <w:szCs w:val="24"/>
                <w:color w:val="auto"/>
              </w:rPr>
            </w:pPr>
          </w:p>
        </w:tc>
        <w:tc>
          <w:tcPr>
            <w:tcW w:w="2160" w:type="dxa"/>
            <w:vAlign w:val="bottom"/>
            <w:shd w:val="clear" w:color="auto" w:fill="0B3C61"/>
          </w:tcPr>
          <w:p>
            <w:pPr>
              <w:spacing w:after="0"/>
              <w:rPr>
                <w:sz w:val="24"/>
                <w:szCs w:val="24"/>
                <w:color w:val="auto"/>
              </w:rPr>
            </w:pPr>
          </w:p>
        </w:tc>
        <w:tc>
          <w:tcPr>
            <w:tcW w:w="1960" w:type="dxa"/>
            <w:vAlign w:val="bottom"/>
            <w:shd w:val="clear" w:color="auto" w:fill="0B3C61"/>
          </w:tcPr>
          <w:p>
            <w:pPr>
              <w:spacing w:after="0"/>
              <w:rPr>
                <w:sz w:val="24"/>
                <w:szCs w:val="24"/>
                <w:color w:val="auto"/>
              </w:rPr>
            </w:pPr>
          </w:p>
        </w:tc>
        <w:tc>
          <w:tcPr>
            <w:tcW w:w="2640" w:type="dxa"/>
            <w:vAlign w:val="bottom"/>
            <w:shd w:val="clear" w:color="auto" w:fill="0B3C61"/>
          </w:tcPr>
          <w:p>
            <w:pPr>
              <w:ind w:left="640"/>
              <w:spacing w:after="0"/>
              <w:rPr>
                <w:sz w:val="20"/>
                <w:szCs w:val="20"/>
                <w:color w:val="auto"/>
              </w:rPr>
            </w:pPr>
            <w:r>
              <w:rPr>
                <w:rFonts w:ascii="Arial" w:cs="Arial" w:eastAsia="Arial" w:hAnsi="Arial"/>
                <w:sz w:val="14"/>
                <w:szCs w:val="14"/>
                <w:color w:val="FFFFFF"/>
              </w:rPr>
              <w:t>Calculation of Award Amount</w:t>
            </w:r>
          </w:p>
        </w:tc>
        <w:tc>
          <w:tcPr>
            <w:tcW w:w="980" w:type="dxa"/>
            <w:vAlign w:val="bottom"/>
            <w:shd w:val="clear" w:color="auto" w:fill="0B3C61"/>
          </w:tcPr>
          <w:p>
            <w:pPr>
              <w:spacing w:after="0"/>
              <w:rPr>
                <w:sz w:val="24"/>
                <w:szCs w:val="24"/>
                <w:color w:val="auto"/>
              </w:rPr>
            </w:pPr>
          </w:p>
        </w:tc>
        <w:tc>
          <w:tcPr>
            <w:tcW w:w="1520" w:type="dxa"/>
            <w:vAlign w:val="bottom"/>
            <w:shd w:val="clear" w:color="auto" w:fill="0B3C61"/>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0" w:type="dxa"/>
            <w:vAlign w:val="bottom"/>
            <w:shd w:val="clear" w:color="auto" w:fill="0B3C61"/>
          </w:tcPr>
          <w:p>
            <w:pPr>
              <w:spacing w:after="0"/>
              <w:rPr>
                <w:sz w:val="24"/>
                <w:szCs w:val="24"/>
                <w:color w:val="auto"/>
              </w:rPr>
            </w:pPr>
          </w:p>
        </w:tc>
        <w:tc>
          <w:tcPr>
            <w:tcW w:w="2160" w:type="dxa"/>
            <w:vAlign w:val="bottom"/>
            <w:shd w:val="clear" w:color="auto" w:fill="0B3C61"/>
          </w:tcPr>
          <w:p>
            <w:pPr>
              <w:spacing w:after="0"/>
              <w:rPr>
                <w:sz w:val="24"/>
                <w:szCs w:val="24"/>
                <w:color w:val="auto"/>
              </w:rPr>
            </w:pPr>
          </w:p>
        </w:tc>
        <w:tc>
          <w:tcPr>
            <w:tcW w:w="4600" w:type="dxa"/>
            <w:vAlign w:val="bottom"/>
            <w:gridSpan w:val="2"/>
            <w:shd w:val="clear" w:color="auto" w:fill="0B3C61"/>
          </w:tcPr>
          <w:p>
            <w:pPr>
              <w:jc w:val="center"/>
              <w:spacing w:after="0"/>
              <w:rPr>
                <w:sz w:val="20"/>
                <w:szCs w:val="20"/>
                <w:color w:val="auto"/>
              </w:rPr>
            </w:pPr>
            <w:r>
              <w:rPr>
                <w:rFonts w:ascii="Arial" w:cs="Arial" w:eastAsia="Arial" w:hAnsi="Arial"/>
                <w:sz w:val="14"/>
                <w:szCs w:val="14"/>
                <w:color w:val="FFFFFF"/>
              </w:rPr>
              <w:t>Long-Term Relative</w:t>
            </w:r>
          </w:p>
        </w:tc>
        <w:tc>
          <w:tcPr>
            <w:tcW w:w="2500" w:type="dxa"/>
            <w:vAlign w:val="bottom"/>
            <w:gridSpan w:val="2"/>
            <w:shd w:val="clear" w:color="auto" w:fill="0B3C61"/>
          </w:tcPr>
          <w:p>
            <w:pPr>
              <w:jc w:val="center"/>
              <w:spacing w:after="0"/>
              <w:rPr>
                <w:sz w:val="20"/>
                <w:szCs w:val="20"/>
                <w:color w:val="auto"/>
              </w:rPr>
            </w:pPr>
            <w:r>
              <w:rPr>
                <w:rFonts w:ascii="Arial" w:cs="Arial" w:eastAsia="Arial" w:hAnsi="Arial"/>
                <w:sz w:val="14"/>
                <w:szCs w:val="14"/>
                <w:color w:val="FFFFFF"/>
                <w:w w:val="99"/>
              </w:rPr>
              <w:t>Long-Term</w:t>
            </w:r>
          </w:p>
        </w:tc>
        <w:tc>
          <w:tcPr>
            <w:tcW w:w="0" w:type="dxa"/>
            <w:vAlign w:val="bottom"/>
          </w:tcPr>
          <w:p>
            <w:pPr>
              <w:spacing w:after="0"/>
              <w:rPr>
                <w:sz w:val="1"/>
                <w:szCs w:val="1"/>
                <w:color w:val="auto"/>
              </w:rPr>
            </w:pPr>
          </w:p>
        </w:tc>
      </w:tr>
      <w:tr>
        <w:trPr>
          <w:trHeight w:val="282"/>
        </w:trPr>
        <w:tc>
          <w:tcPr>
            <w:tcW w:w="140" w:type="dxa"/>
            <w:vAlign w:val="bottom"/>
            <w:shd w:val="clear" w:color="auto" w:fill="0B3C61"/>
          </w:tcPr>
          <w:p>
            <w:pPr>
              <w:spacing w:after="0"/>
              <w:rPr>
                <w:sz w:val="24"/>
                <w:szCs w:val="24"/>
                <w:color w:val="auto"/>
              </w:rPr>
            </w:pPr>
          </w:p>
        </w:tc>
        <w:tc>
          <w:tcPr>
            <w:tcW w:w="2160" w:type="dxa"/>
            <w:vAlign w:val="bottom"/>
            <w:vMerge w:val="restart"/>
            <w:shd w:val="clear" w:color="auto" w:fill="0B3C61"/>
          </w:tcPr>
          <w:p>
            <w:pPr>
              <w:ind w:left="80"/>
              <w:spacing w:after="0"/>
              <w:rPr>
                <w:sz w:val="20"/>
                <w:szCs w:val="20"/>
                <w:color w:val="auto"/>
              </w:rPr>
            </w:pPr>
            <w:r>
              <w:rPr>
                <w:rFonts w:ascii="Arial" w:cs="Arial" w:eastAsia="Arial" w:hAnsi="Arial"/>
                <w:sz w:val="14"/>
                <w:szCs w:val="14"/>
                <w:color w:val="FFFFFF"/>
              </w:rPr>
              <w:t>Three-Year Performance Period</w:t>
            </w:r>
          </w:p>
        </w:tc>
        <w:tc>
          <w:tcPr>
            <w:tcW w:w="1960" w:type="dxa"/>
            <w:vAlign w:val="bottom"/>
            <w:shd w:val="clear" w:color="auto" w:fill="0B3C61"/>
          </w:tcPr>
          <w:p>
            <w:pPr>
              <w:spacing w:after="0"/>
              <w:rPr>
                <w:sz w:val="24"/>
                <w:szCs w:val="24"/>
                <w:color w:val="auto"/>
              </w:rPr>
            </w:pPr>
          </w:p>
        </w:tc>
        <w:tc>
          <w:tcPr>
            <w:tcW w:w="2640" w:type="dxa"/>
            <w:vAlign w:val="bottom"/>
            <w:shd w:val="clear" w:color="auto" w:fill="0B3C61"/>
          </w:tcPr>
          <w:p>
            <w:pPr>
              <w:jc w:val="center"/>
              <w:ind w:right="1788"/>
              <w:spacing w:after="0"/>
              <w:rPr>
                <w:sz w:val="20"/>
                <w:szCs w:val="20"/>
                <w:color w:val="auto"/>
              </w:rPr>
            </w:pPr>
            <w:r>
              <w:rPr>
                <w:rFonts w:ascii="Arial" w:cs="Arial" w:eastAsia="Arial" w:hAnsi="Arial"/>
                <w:sz w:val="14"/>
                <w:szCs w:val="14"/>
                <w:color w:val="FFFFFF"/>
                <w:w w:val="98"/>
              </w:rPr>
              <w:t>GBVPS</w:t>
            </w:r>
            <w:r>
              <w:rPr>
                <w:rFonts w:ascii="Arial" w:cs="Arial" w:eastAsia="Arial" w:hAnsi="Arial"/>
                <w:sz w:val="23"/>
                <w:szCs w:val="23"/>
                <w:color w:val="FFFFFF"/>
                <w:w w:val="98"/>
                <w:vertAlign w:val="superscript"/>
              </w:rPr>
              <w:t>(1)</w:t>
            </w:r>
          </w:p>
        </w:tc>
        <w:tc>
          <w:tcPr>
            <w:tcW w:w="980" w:type="dxa"/>
            <w:vAlign w:val="bottom"/>
            <w:shd w:val="clear" w:color="auto" w:fill="0B3C61"/>
          </w:tcPr>
          <w:p>
            <w:pPr>
              <w:spacing w:after="0"/>
              <w:rPr>
                <w:sz w:val="24"/>
                <w:szCs w:val="24"/>
                <w:color w:val="auto"/>
              </w:rPr>
            </w:pPr>
          </w:p>
        </w:tc>
        <w:tc>
          <w:tcPr>
            <w:tcW w:w="1520" w:type="dxa"/>
            <w:vAlign w:val="bottom"/>
            <w:shd w:val="clear" w:color="auto" w:fill="0B3C61"/>
          </w:tcPr>
          <w:p>
            <w:pPr>
              <w:jc w:val="center"/>
              <w:ind w:right="968"/>
              <w:spacing w:after="0"/>
              <w:rPr>
                <w:sz w:val="20"/>
                <w:szCs w:val="20"/>
                <w:color w:val="auto"/>
              </w:rPr>
            </w:pPr>
            <w:r>
              <w:rPr>
                <w:rFonts w:ascii="Arial" w:cs="Arial" w:eastAsia="Arial" w:hAnsi="Arial"/>
                <w:sz w:val="14"/>
                <w:szCs w:val="14"/>
                <w:color w:val="FFFFFF"/>
                <w:w w:val="89"/>
              </w:rPr>
              <w:t>ROE</w:t>
            </w:r>
            <w:r>
              <w:rPr>
                <w:rFonts w:ascii="Arial" w:cs="Arial" w:eastAsia="Arial" w:hAnsi="Arial"/>
                <w:sz w:val="23"/>
                <w:szCs w:val="23"/>
                <w:color w:val="FFFFFF"/>
                <w:w w:val="89"/>
                <w:vertAlign w:val="superscript"/>
              </w:rPr>
              <w:t>(2)</w:t>
            </w:r>
          </w:p>
        </w:tc>
        <w:tc>
          <w:tcPr>
            <w:tcW w:w="0" w:type="dxa"/>
            <w:vAlign w:val="bottom"/>
          </w:tcPr>
          <w:p>
            <w:pPr>
              <w:spacing w:after="0"/>
              <w:rPr>
                <w:sz w:val="1"/>
                <w:szCs w:val="1"/>
                <w:color w:val="auto"/>
              </w:rPr>
            </w:pPr>
          </w:p>
        </w:tc>
      </w:tr>
      <w:tr>
        <w:trPr>
          <w:trHeight w:val="58"/>
        </w:trPr>
        <w:tc>
          <w:tcPr>
            <w:tcW w:w="140" w:type="dxa"/>
            <w:vAlign w:val="bottom"/>
            <w:shd w:val="clear" w:color="auto" w:fill="0B3C61"/>
          </w:tcPr>
          <w:p>
            <w:pPr>
              <w:spacing w:after="0"/>
              <w:rPr>
                <w:sz w:val="5"/>
                <w:szCs w:val="5"/>
                <w:color w:val="auto"/>
              </w:rPr>
            </w:pPr>
          </w:p>
        </w:tc>
        <w:tc>
          <w:tcPr>
            <w:tcW w:w="2160" w:type="dxa"/>
            <w:vAlign w:val="bottom"/>
            <w:vMerge w:val="continue"/>
            <w:shd w:val="clear" w:color="auto" w:fill="0B3C61"/>
          </w:tcPr>
          <w:p>
            <w:pPr>
              <w:spacing w:after="0"/>
              <w:rPr>
                <w:sz w:val="5"/>
                <w:szCs w:val="5"/>
                <w:color w:val="auto"/>
              </w:rPr>
            </w:pPr>
          </w:p>
        </w:tc>
        <w:tc>
          <w:tcPr>
            <w:tcW w:w="1960" w:type="dxa"/>
            <w:vAlign w:val="bottom"/>
            <w:shd w:val="clear" w:color="auto" w:fill="0B3C61"/>
          </w:tcPr>
          <w:p>
            <w:pPr>
              <w:spacing w:after="0"/>
              <w:rPr>
                <w:sz w:val="5"/>
                <w:szCs w:val="5"/>
                <w:color w:val="auto"/>
              </w:rPr>
            </w:pPr>
          </w:p>
        </w:tc>
        <w:tc>
          <w:tcPr>
            <w:tcW w:w="2640" w:type="dxa"/>
            <w:vAlign w:val="bottom"/>
            <w:shd w:val="clear" w:color="auto" w:fill="0B3C61"/>
          </w:tcPr>
          <w:p>
            <w:pPr>
              <w:spacing w:after="0"/>
              <w:rPr>
                <w:sz w:val="5"/>
                <w:szCs w:val="5"/>
                <w:color w:val="auto"/>
              </w:rPr>
            </w:pPr>
          </w:p>
        </w:tc>
        <w:tc>
          <w:tcPr>
            <w:tcW w:w="980" w:type="dxa"/>
            <w:vAlign w:val="bottom"/>
            <w:shd w:val="clear" w:color="auto" w:fill="0B3C61"/>
          </w:tcPr>
          <w:p>
            <w:pPr>
              <w:spacing w:after="0"/>
              <w:rPr>
                <w:sz w:val="5"/>
                <w:szCs w:val="5"/>
                <w:color w:val="auto"/>
              </w:rPr>
            </w:pPr>
          </w:p>
        </w:tc>
        <w:tc>
          <w:tcPr>
            <w:tcW w:w="1520" w:type="dxa"/>
            <w:vAlign w:val="bottom"/>
            <w:shd w:val="clear" w:color="auto" w:fill="0B3C61"/>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0" w:type="dxa"/>
            <w:vAlign w:val="bottom"/>
            <w:shd w:val="clear" w:color="auto" w:fill="0B3C61"/>
          </w:tcPr>
          <w:p>
            <w:pPr>
              <w:spacing w:after="0"/>
              <w:rPr>
                <w:sz w:val="16"/>
                <w:szCs w:val="16"/>
                <w:color w:val="auto"/>
              </w:rPr>
            </w:pPr>
          </w:p>
        </w:tc>
        <w:tc>
          <w:tcPr>
            <w:tcW w:w="2160" w:type="dxa"/>
            <w:vAlign w:val="bottom"/>
            <w:shd w:val="clear" w:color="auto" w:fill="0B3C61"/>
          </w:tcPr>
          <w:p>
            <w:pPr>
              <w:ind w:left="80"/>
              <w:spacing w:after="0"/>
              <w:rPr>
                <w:sz w:val="20"/>
                <w:szCs w:val="20"/>
                <w:color w:val="auto"/>
              </w:rPr>
            </w:pPr>
            <w:r>
              <w:rPr>
                <w:rFonts w:ascii="Arial" w:cs="Arial" w:eastAsia="Arial" w:hAnsi="Arial"/>
                <w:sz w:val="14"/>
                <w:szCs w:val="14"/>
                <w:color w:val="FFFFFF"/>
              </w:rPr>
              <w:t>Ending</w:t>
            </w:r>
          </w:p>
        </w:tc>
        <w:tc>
          <w:tcPr>
            <w:tcW w:w="1960" w:type="dxa"/>
            <w:vAlign w:val="bottom"/>
            <w:shd w:val="clear" w:color="auto" w:fill="0B3C61"/>
          </w:tcPr>
          <w:p>
            <w:pPr>
              <w:jc w:val="center"/>
              <w:ind w:left="288"/>
              <w:spacing w:after="0"/>
              <w:rPr>
                <w:sz w:val="20"/>
                <w:szCs w:val="20"/>
                <w:color w:val="auto"/>
              </w:rPr>
            </w:pPr>
            <w:r>
              <w:rPr>
                <w:rFonts w:ascii="Arial" w:cs="Arial" w:eastAsia="Arial" w:hAnsi="Arial"/>
                <w:sz w:val="14"/>
                <w:szCs w:val="14"/>
                <w:color w:val="FFFFFF"/>
              </w:rPr>
              <w:t>Threshold</w:t>
            </w:r>
          </w:p>
        </w:tc>
        <w:tc>
          <w:tcPr>
            <w:tcW w:w="2640" w:type="dxa"/>
            <w:vAlign w:val="bottom"/>
            <w:shd w:val="clear" w:color="auto" w:fill="0B3C61"/>
          </w:tcPr>
          <w:p>
            <w:pPr>
              <w:jc w:val="center"/>
              <w:ind w:left="308"/>
              <w:spacing w:after="0"/>
              <w:rPr>
                <w:sz w:val="20"/>
                <w:szCs w:val="20"/>
                <w:color w:val="auto"/>
              </w:rPr>
            </w:pPr>
            <w:r>
              <w:rPr>
                <w:rFonts w:ascii="Arial" w:cs="Arial" w:eastAsia="Arial" w:hAnsi="Arial"/>
                <w:sz w:val="14"/>
                <w:szCs w:val="14"/>
                <w:color w:val="FFFFFF"/>
              </w:rPr>
              <w:t>Maximum</w:t>
            </w:r>
          </w:p>
        </w:tc>
        <w:tc>
          <w:tcPr>
            <w:tcW w:w="980" w:type="dxa"/>
            <w:vAlign w:val="bottom"/>
            <w:shd w:val="clear" w:color="auto" w:fill="0B3C61"/>
          </w:tcPr>
          <w:p>
            <w:pPr>
              <w:jc w:val="center"/>
              <w:ind w:left="228"/>
              <w:spacing w:after="0"/>
              <w:rPr>
                <w:sz w:val="20"/>
                <w:szCs w:val="20"/>
                <w:color w:val="auto"/>
              </w:rPr>
            </w:pPr>
            <w:r>
              <w:rPr>
                <w:rFonts w:ascii="Arial" w:cs="Arial" w:eastAsia="Arial" w:hAnsi="Arial"/>
                <w:sz w:val="14"/>
                <w:szCs w:val="14"/>
                <w:color w:val="FFFFFF"/>
              </w:rPr>
              <w:t>Threshold</w:t>
            </w:r>
          </w:p>
        </w:tc>
        <w:tc>
          <w:tcPr>
            <w:tcW w:w="1520" w:type="dxa"/>
            <w:vAlign w:val="bottom"/>
            <w:shd w:val="clear" w:color="auto" w:fill="0B3C61"/>
          </w:tcPr>
          <w:p>
            <w:pPr>
              <w:jc w:val="center"/>
              <w:ind w:left="68"/>
              <w:spacing w:after="0"/>
              <w:rPr>
                <w:sz w:val="20"/>
                <w:szCs w:val="20"/>
                <w:color w:val="auto"/>
              </w:rPr>
            </w:pPr>
            <w:r>
              <w:rPr>
                <w:rFonts w:ascii="Arial" w:cs="Arial" w:eastAsia="Arial" w:hAnsi="Arial"/>
                <w:sz w:val="14"/>
                <w:szCs w:val="14"/>
                <w:color w:val="FFFFFF"/>
              </w:rPr>
              <w:t>Maximum</w:t>
            </w:r>
          </w:p>
        </w:tc>
        <w:tc>
          <w:tcPr>
            <w:tcW w:w="0" w:type="dxa"/>
            <w:vAlign w:val="bottom"/>
          </w:tcPr>
          <w:p>
            <w:pPr>
              <w:spacing w:after="0"/>
              <w:rPr>
                <w:sz w:val="1"/>
                <w:szCs w:val="1"/>
                <w:color w:val="auto"/>
              </w:rPr>
            </w:pPr>
          </w:p>
        </w:tc>
      </w:tr>
      <w:tr>
        <w:trPr>
          <w:trHeight w:val="62"/>
        </w:trPr>
        <w:tc>
          <w:tcPr>
            <w:tcW w:w="140" w:type="dxa"/>
            <w:vAlign w:val="bottom"/>
            <w:shd w:val="clear" w:color="auto" w:fill="0B3C61"/>
          </w:tcPr>
          <w:p>
            <w:pPr>
              <w:spacing w:after="0"/>
              <w:rPr>
                <w:sz w:val="5"/>
                <w:szCs w:val="5"/>
                <w:color w:val="auto"/>
              </w:rPr>
            </w:pPr>
          </w:p>
        </w:tc>
        <w:tc>
          <w:tcPr>
            <w:tcW w:w="2160" w:type="dxa"/>
            <w:vAlign w:val="bottom"/>
            <w:shd w:val="clear" w:color="auto" w:fill="0B3C61"/>
          </w:tcPr>
          <w:p>
            <w:pPr>
              <w:spacing w:after="0"/>
              <w:rPr>
                <w:sz w:val="5"/>
                <w:szCs w:val="5"/>
                <w:color w:val="auto"/>
              </w:rPr>
            </w:pPr>
          </w:p>
        </w:tc>
        <w:tc>
          <w:tcPr>
            <w:tcW w:w="1960" w:type="dxa"/>
            <w:vAlign w:val="bottom"/>
            <w:shd w:val="clear" w:color="auto" w:fill="0B3C61"/>
          </w:tcPr>
          <w:p>
            <w:pPr>
              <w:spacing w:after="0"/>
              <w:rPr>
                <w:sz w:val="5"/>
                <w:szCs w:val="5"/>
                <w:color w:val="auto"/>
              </w:rPr>
            </w:pPr>
          </w:p>
        </w:tc>
        <w:tc>
          <w:tcPr>
            <w:tcW w:w="2640" w:type="dxa"/>
            <w:vAlign w:val="bottom"/>
            <w:shd w:val="clear" w:color="auto" w:fill="0B3C61"/>
          </w:tcPr>
          <w:p>
            <w:pPr>
              <w:spacing w:after="0"/>
              <w:rPr>
                <w:sz w:val="5"/>
                <w:szCs w:val="5"/>
                <w:color w:val="auto"/>
              </w:rPr>
            </w:pPr>
          </w:p>
        </w:tc>
        <w:tc>
          <w:tcPr>
            <w:tcW w:w="980" w:type="dxa"/>
            <w:vAlign w:val="bottom"/>
            <w:shd w:val="clear" w:color="auto" w:fill="0B3C61"/>
          </w:tcPr>
          <w:p>
            <w:pPr>
              <w:spacing w:after="0"/>
              <w:rPr>
                <w:sz w:val="5"/>
                <w:szCs w:val="5"/>
                <w:color w:val="auto"/>
              </w:rPr>
            </w:pPr>
          </w:p>
        </w:tc>
        <w:tc>
          <w:tcPr>
            <w:tcW w:w="1520" w:type="dxa"/>
            <w:vAlign w:val="bottom"/>
            <w:shd w:val="clear" w:color="auto" w:fill="0B3C61"/>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2300" w:type="dxa"/>
            <w:vAlign w:val="bottom"/>
            <w:gridSpan w:val="2"/>
          </w:tcPr>
          <w:p>
            <w:pPr>
              <w:ind w:left="220"/>
              <w:spacing w:after="0"/>
              <w:rPr>
                <w:sz w:val="20"/>
                <w:szCs w:val="20"/>
                <w:color w:val="auto"/>
              </w:rPr>
            </w:pPr>
            <w:r>
              <w:rPr>
                <w:rFonts w:ascii="Arial" w:cs="Arial" w:eastAsia="Arial" w:hAnsi="Arial"/>
                <w:sz w:val="14"/>
                <w:szCs w:val="14"/>
                <w:color w:val="54565B"/>
              </w:rPr>
              <w:t>12/31/2022</w:t>
            </w:r>
          </w:p>
        </w:tc>
        <w:tc>
          <w:tcPr>
            <w:tcW w:w="1960" w:type="dxa"/>
            <w:vAlign w:val="bottom"/>
          </w:tcPr>
          <w:p>
            <w:pPr>
              <w:jc w:val="center"/>
              <w:ind w:left="288"/>
              <w:spacing w:after="0"/>
              <w:rPr>
                <w:sz w:val="20"/>
                <w:szCs w:val="20"/>
                <w:color w:val="auto"/>
              </w:rPr>
            </w:pPr>
            <w:r>
              <w:rPr>
                <w:rFonts w:ascii="Arial" w:cs="Arial" w:eastAsia="Arial" w:hAnsi="Arial"/>
                <w:sz w:val="14"/>
                <w:szCs w:val="14"/>
                <w:color w:val="54565B"/>
              </w:rPr>
              <w:t>Exceed lowest quartile</w:t>
            </w:r>
          </w:p>
        </w:tc>
        <w:tc>
          <w:tcPr>
            <w:tcW w:w="2640" w:type="dxa"/>
            <w:vAlign w:val="bottom"/>
          </w:tcPr>
          <w:p>
            <w:pPr>
              <w:jc w:val="center"/>
              <w:ind w:left="288"/>
              <w:spacing w:after="0"/>
              <w:rPr>
                <w:sz w:val="20"/>
                <w:szCs w:val="20"/>
                <w:color w:val="auto"/>
              </w:rPr>
            </w:pPr>
            <w:r>
              <w:rPr>
                <w:rFonts w:ascii="Arial" w:cs="Arial" w:eastAsia="Arial" w:hAnsi="Arial"/>
                <w:sz w:val="14"/>
                <w:szCs w:val="14"/>
                <w:color w:val="54565B"/>
              </w:rPr>
              <w:t>Exceed all Comparison Companies</w:t>
            </w:r>
          </w:p>
        </w:tc>
        <w:tc>
          <w:tcPr>
            <w:tcW w:w="980" w:type="dxa"/>
            <w:vAlign w:val="bottom"/>
          </w:tcPr>
          <w:p>
            <w:pPr>
              <w:jc w:val="center"/>
              <w:ind w:left="208"/>
              <w:spacing w:after="0"/>
              <w:rPr>
                <w:sz w:val="20"/>
                <w:szCs w:val="20"/>
                <w:color w:val="auto"/>
              </w:rPr>
            </w:pPr>
            <w:r>
              <w:rPr>
                <w:rFonts w:ascii="Arial" w:cs="Arial" w:eastAsia="Arial" w:hAnsi="Arial"/>
                <w:sz w:val="14"/>
                <w:szCs w:val="14"/>
                <w:color w:val="54565B"/>
              </w:rPr>
              <w:t>10.0%</w:t>
            </w:r>
          </w:p>
        </w:tc>
        <w:tc>
          <w:tcPr>
            <w:tcW w:w="1520" w:type="dxa"/>
            <w:vAlign w:val="bottom"/>
          </w:tcPr>
          <w:p>
            <w:pPr>
              <w:jc w:val="center"/>
              <w:ind w:left="68"/>
              <w:spacing w:after="0"/>
              <w:rPr>
                <w:sz w:val="20"/>
                <w:szCs w:val="20"/>
                <w:color w:val="auto"/>
              </w:rPr>
            </w:pPr>
            <w:r>
              <w:rPr>
                <w:rFonts w:ascii="Arial" w:cs="Arial" w:eastAsia="Arial" w:hAnsi="Arial"/>
                <w:sz w:val="14"/>
                <w:szCs w:val="14"/>
                <w:color w:val="54565B"/>
              </w:rPr>
              <w:t>14.00%</w:t>
            </w:r>
          </w:p>
        </w:tc>
        <w:tc>
          <w:tcPr>
            <w:tcW w:w="0" w:type="dxa"/>
            <w:vAlign w:val="bottom"/>
          </w:tcPr>
          <w:p>
            <w:pPr>
              <w:spacing w:after="0"/>
              <w:rPr>
                <w:sz w:val="1"/>
                <w:szCs w:val="1"/>
                <w:color w:val="auto"/>
              </w:rPr>
            </w:pPr>
          </w:p>
        </w:tc>
      </w:tr>
      <w:tr>
        <w:trPr>
          <w:trHeight w:val="22"/>
        </w:trPr>
        <w:tc>
          <w:tcPr>
            <w:tcW w:w="23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tcBorders>
              <w:bottom w:val="single" w:sz="8" w:color="EAF7FA"/>
            </w:tcBorders>
            <w:gridSpan w:val="2"/>
            <w:shd w:val="clear" w:color="auto" w:fill="EAF7FA"/>
          </w:tcPr>
          <w:p>
            <w:pPr>
              <w:ind w:left="220"/>
              <w:spacing w:after="0"/>
              <w:rPr>
                <w:sz w:val="20"/>
                <w:szCs w:val="20"/>
                <w:color w:val="auto"/>
              </w:rPr>
            </w:pPr>
            <w:r>
              <w:rPr>
                <w:rFonts w:ascii="Arial" w:cs="Arial" w:eastAsia="Arial" w:hAnsi="Arial"/>
                <w:sz w:val="14"/>
                <w:szCs w:val="14"/>
                <w:color w:val="54565B"/>
              </w:rPr>
              <w:t>12/31/2023</w:t>
            </w:r>
          </w:p>
        </w:tc>
        <w:tc>
          <w:tcPr>
            <w:tcW w:w="1960" w:type="dxa"/>
            <w:vAlign w:val="bottom"/>
            <w:tcBorders>
              <w:bottom w:val="single" w:sz="8" w:color="EAF7FA"/>
            </w:tcBorders>
            <w:shd w:val="clear" w:color="auto" w:fill="EAF7FA"/>
          </w:tcPr>
          <w:p>
            <w:pPr>
              <w:jc w:val="center"/>
              <w:ind w:left="288"/>
              <w:spacing w:after="0"/>
              <w:rPr>
                <w:sz w:val="20"/>
                <w:szCs w:val="20"/>
                <w:color w:val="auto"/>
              </w:rPr>
            </w:pPr>
            <w:r>
              <w:rPr>
                <w:rFonts w:ascii="Arial" w:cs="Arial" w:eastAsia="Arial" w:hAnsi="Arial"/>
                <w:sz w:val="14"/>
                <w:szCs w:val="14"/>
                <w:color w:val="54565B"/>
              </w:rPr>
              <w:t>Exceed lowest quartile</w:t>
            </w:r>
          </w:p>
        </w:tc>
        <w:tc>
          <w:tcPr>
            <w:tcW w:w="2640" w:type="dxa"/>
            <w:vAlign w:val="bottom"/>
            <w:tcBorders>
              <w:bottom w:val="single" w:sz="8" w:color="EAF7FA"/>
            </w:tcBorders>
            <w:shd w:val="clear" w:color="auto" w:fill="EAF7FA"/>
          </w:tcPr>
          <w:p>
            <w:pPr>
              <w:jc w:val="center"/>
              <w:ind w:left="288"/>
              <w:spacing w:after="0"/>
              <w:rPr>
                <w:sz w:val="20"/>
                <w:szCs w:val="20"/>
                <w:color w:val="auto"/>
              </w:rPr>
            </w:pPr>
            <w:r>
              <w:rPr>
                <w:rFonts w:ascii="Arial" w:cs="Arial" w:eastAsia="Arial" w:hAnsi="Arial"/>
                <w:sz w:val="14"/>
                <w:szCs w:val="14"/>
                <w:color w:val="54565B"/>
              </w:rPr>
              <w:t>Exceed all Comparison Companies</w:t>
            </w:r>
          </w:p>
        </w:tc>
        <w:tc>
          <w:tcPr>
            <w:tcW w:w="980" w:type="dxa"/>
            <w:vAlign w:val="bottom"/>
            <w:tcBorders>
              <w:bottom w:val="single" w:sz="8" w:color="EAF7FA"/>
            </w:tcBorders>
            <w:shd w:val="clear" w:color="auto" w:fill="EAF7FA"/>
          </w:tcPr>
          <w:p>
            <w:pPr>
              <w:jc w:val="center"/>
              <w:ind w:left="208"/>
              <w:spacing w:after="0"/>
              <w:rPr>
                <w:sz w:val="20"/>
                <w:szCs w:val="20"/>
                <w:color w:val="auto"/>
              </w:rPr>
            </w:pPr>
            <w:r>
              <w:rPr>
                <w:rFonts w:ascii="Arial" w:cs="Arial" w:eastAsia="Arial" w:hAnsi="Arial"/>
                <w:sz w:val="14"/>
                <w:szCs w:val="14"/>
                <w:color w:val="54565B"/>
              </w:rPr>
              <w:t>10.0%</w:t>
            </w:r>
          </w:p>
        </w:tc>
        <w:tc>
          <w:tcPr>
            <w:tcW w:w="1520" w:type="dxa"/>
            <w:vAlign w:val="bottom"/>
            <w:tcBorders>
              <w:bottom w:val="single" w:sz="8" w:color="EAF7FA"/>
            </w:tcBorders>
            <w:shd w:val="clear" w:color="auto" w:fill="EAF7FA"/>
          </w:tcPr>
          <w:p>
            <w:pPr>
              <w:jc w:val="center"/>
              <w:ind w:left="68"/>
              <w:spacing w:after="0"/>
              <w:rPr>
                <w:sz w:val="20"/>
                <w:szCs w:val="20"/>
                <w:color w:val="auto"/>
              </w:rPr>
            </w:pPr>
            <w:r>
              <w:rPr>
                <w:rFonts w:ascii="Arial" w:cs="Arial" w:eastAsia="Arial" w:hAnsi="Arial"/>
                <w:sz w:val="14"/>
                <w:szCs w:val="14"/>
                <w:color w:val="54565B"/>
              </w:rPr>
              <w:t>14.50%</w:t>
            </w:r>
          </w:p>
        </w:tc>
        <w:tc>
          <w:tcPr>
            <w:tcW w:w="0" w:type="dxa"/>
            <w:vAlign w:val="bottom"/>
          </w:tcPr>
          <w:p>
            <w:pPr>
              <w:spacing w:after="0"/>
              <w:rPr>
                <w:sz w:val="1"/>
                <w:szCs w:val="1"/>
                <w:color w:val="auto"/>
              </w:rPr>
            </w:pPr>
          </w:p>
        </w:tc>
      </w:tr>
      <w:tr>
        <w:trPr>
          <w:trHeight w:val="221"/>
        </w:trPr>
        <w:tc>
          <w:tcPr>
            <w:tcW w:w="2300" w:type="dxa"/>
            <w:vAlign w:val="bottom"/>
            <w:gridSpan w:val="2"/>
          </w:tcPr>
          <w:p>
            <w:pPr>
              <w:ind w:left="220"/>
              <w:spacing w:after="0"/>
              <w:rPr>
                <w:sz w:val="20"/>
                <w:szCs w:val="20"/>
                <w:color w:val="auto"/>
              </w:rPr>
            </w:pPr>
            <w:r>
              <w:rPr>
                <w:rFonts w:ascii="Arial" w:cs="Arial" w:eastAsia="Arial" w:hAnsi="Arial"/>
                <w:sz w:val="14"/>
                <w:szCs w:val="14"/>
                <w:color w:val="54565B"/>
              </w:rPr>
              <w:t>12/31/2024</w:t>
            </w:r>
          </w:p>
        </w:tc>
        <w:tc>
          <w:tcPr>
            <w:tcW w:w="1960" w:type="dxa"/>
            <w:vAlign w:val="bottom"/>
          </w:tcPr>
          <w:p>
            <w:pPr>
              <w:jc w:val="center"/>
              <w:ind w:left="288"/>
              <w:spacing w:after="0"/>
              <w:rPr>
                <w:sz w:val="20"/>
                <w:szCs w:val="20"/>
                <w:color w:val="auto"/>
              </w:rPr>
            </w:pPr>
            <w:r>
              <w:rPr>
                <w:rFonts w:ascii="Arial" w:cs="Arial" w:eastAsia="Arial" w:hAnsi="Arial"/>
                <w:sz w:val="14"/>
                <w:szCs w:val="14"/>
                <w:color w:val="54565B"/>
              </w:rPr>
              <w:t>Exceed lowest quartile</w:t>
            </w:r>
          </w:p>
        </w:tc>
        <w:tc>
          <w:tcPr>
            <w:tcW w:w="2640" w:type="dxa"/>
            <w:vAlign w:val="bottom"/>
          </w:tcPr>
          <w:p>
            <w:pPr>
              <w:jc w:val="center"/>
              <w:ind w:left="288"/>
              <w:spacing w:after="0"/>
              <w:rPr>
                <w:sz w:val="20"/>
                <w:szCs w:val="20"/>
                <w:color w:val="auto"/>
              </w:rPr>
            </w:pPr>
            <w:r>
              <w:rPr>
                <w:rFonts w:ascii="Arial" w:cs="Arial" w:eastAsia="Arial" w:hAnsi="Arial"/>
                <w:sz w:val="14"/>
                <w:szCs w:val="14"/>
                <w:color w:val="54565B"/>
              </w:rPr>
              <w:t>Exceed all Comparison Companies</w:t>
            </w:r>
          </w:p>
        </w:tc>
        <w:tc>
          <w:tcPr>
            <w:tcW w:w="980" w:type="dxa"/>
            <w:vAlign w:val="bottom"/>
          </w:tcPr>
          <w:p>
            <w:pPr>
              <w:jc w:val="center"/>
              <w:ind w:left="228"/>
              <w:spacing w:after="0"/>
              <w:rPr>
                <w:sz w:val="20"/>
                <w:szCs w:val="20"/>
                <w:color w:val="auto"/>
              </w:rPr>
            </w:pPr>
            <w:r>
              <w:rPr>
                <w:rFonts w:ascii="Arial" w:cs="Arial" w:eastAsia="Arial" w:hAnsi="Arial"/>
                <w:sz w:val="14"/>
                <w:szCs w:val="14"/>
                <w:color w:val="54565B"/>
              </w:rPr>
              <w:t>11.0%</w:t>
            </w:r>
          </w:p>
        </w:tc>
        <w:tc>
          <w:tcPr>
            <w:tcW w:w="1520" w:type="dxa"/>
            <w:vAlign w:val="bottom"/>
          </w:tcPr>
          <w:p>
            <w:pPr>
              <w:jc w:val="center"/>
              <w:ind w:left="68"/>
              <w:spacing w:after="0"/>
              <w:rPr>
                <w:sz w:val="20"/>
                <w:szCs w:val="20"/>
                <w:color w:val="auto"/>
              </w:rPr>
            </w:pPr>
            <w:r>
              <w:rPr>
                <w:rFonts w:ascii="Arial" w:cs="Arial" w:eastAsia="Arial" w:hAnsi="Arial"/>
                <w:sz w:val="14"/>
                <w:szCs w:val="14"/>
                <w:color w:val="54565B"/>
              </w:rPr>
              <w:t>15.25%</w:t>
            </w:r>
          </w:p>
        </w:tc>
        <w:tc>
          <w:tcPr>
            <w:tcW w:w="0" w:type="dxa"/>
            <w:vAlign w:val="bottom"/>
          </w:tcPr>
          <w:p>
            <w:pPr>
              <w:spacing w:after="0"/>
              <w:rPr>
                <w:sz w:val="1"/>
                <w:szCs w:val="1"/>
                <w:color w:val="auto"/>
              </w:rPr>
            </w:pPr>
          </w:p>
        </w:tc>
      </w:tr>
      <w:tr>
        <w:trPr>
          <w:trHeight w:val="35"/>
        </w:trPr>
        <w:tc>
          <w:tcPr>
            <w:tcW w:w="2300" w:type="dxa"/>
            <w:vAlign w:val="bottom"/>
            <w:gridSpan w:val="2"/>
          </w:tcPr>
          <w:p>
            <w:pPr>
              <w:spacing w:after="0"/>
              <w:rPr>
                <w:sz w:val="3"/>
                <w:szCs w:val="3"/>
                <w:color w:val="auto"/>
              </w:rPr>
            </w:pPr>
          </w:p>
        </w:tc>
        <w:tc>
          <w:tcPr>
            <w:tcW w:w="1960" w:type="dxa"/>
            <w:vAlign w:val="bottom"/>
          </w:tcPr>
          <w:p>
            <w:pPr>
              <w:spacing w:after="0"/>
              <w:rPr>
                <w:sz w:val="3"/>
                <w:szCs w:val="3"/>
                <w:color w:val="auto"/>
              </w:rPr>
            </w:pPr>
          </w:p>
        </w:tc>
        <w:tc>
          <w:tcPr>
            <w:tcW w:w="26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Borders>
              <w:bottom w:val="single" w:sz="8" w:color="EAF7FA"/>
            </w:tcBorders>
            <w:shd w:val="clear" w:color="auto" w:fill="EAF7FA"/>
          </w:tcPr>
          <w:p>
            <w:pPr>
              <w:spacing w:after="0"/>
              <w:rPr>
                <w:sz w:val="20"/>
                <w:szCs w:val="20"/>
                <w:color w:val="auto"/>
              </w:rPr>
            </w:pPr>
          </w:p>
        </w:tc>
        <w:tc>
          <w:tcPr>
            <w:tcW w:w="2160" w:type="dxa"/>
            <w:vAlign w:val="bottom"/>
            <w:tcBorders>
              <w:bottom w:val="single" w:sz="8" w:color="EAF7FA"/>
            </w:tcBorders>
            <w:shd w:val="clear" w:color="auto" w:fill="EAF7FA"/>
          </w:tcPr>
          <w:p>
            <w:pPr>
              <w:ind w:left="80"/>
              <w:spacing w:after="0"/>
              <w:rPr>
                <w:sz w:val="20"/>
                <w:szCs w:val="20"/>
                <w:color w:val="auto"/>
              </w:rPr>
            </w:pPr>
            <w:r>
              <w:rPr>
                <w:rFonts w:ascii="Arial" w:cs="Arial" w:eastAsia="Arial" w:hAnsi="Arial"/>
                <w:sz w:val="14"/>
                <w:szCs w:val="14"/>
                <w:color w:val="54565B"/>
              </w:rPr>
              <w:t>12/31/2025</w:t>
            </w:r>
          </w:p>
        </w:tc>
        <w:tc>
          <w:tcPr>
            <w:tcW w:w="1960" w:type="dxa"/>
            <w:vAlign w:val="bottom"/>
            <w:tcBorders>
              <w:bottom w:val="single" w:sz="8" w:color="EAF7FA"/>
            </w:tcBorders>
            <w:shd w:val="clear" w:color="auto" w:fill="EAF7FA"/>
          </w:tcPr>
          <w:p>
            <w:pPr>
              <w:jc w:val="center"/>
              <w:ind w:left="288"/>
              <w:spacing w:after="0"/>
              <w:rPr>
                <w:sz w:val="20"/>
                <w:szCs w:val="20"/>
                <w:color w:val="auto"/>
              </w:rPr>
            </w:pPr>
            <w:r>
              <w:rPr>
                <w:rFonts w:ascii="Arial" w:cs="Arial" w:eastAsia="Arial" w:hAnsi="Arial"/>
                <w:sz w:val="14"/>
                <w:szCs w:val="14"/>
                <w:color w:val="54565B"/>
              </w:rPr>
              <w:t>Exceed lowest quartile</w:t>
            </w:r>
          </w:p>
        </w:tc>
        <w:tc>
          <w:tcPr>
            <w:tcW w:w="2640" w:type="dxa"/>
            <w:vAlign w:val="bottom"/>
            <w:tcBorders>
              <w:bottom w:val="single" w:sz="8" w:color="EAF7FA"/>
            </w:tcBorders>
            <w:shd w:val="clear" w:color="auto" w:fill="EAF7FA"/>
          </w:tcPr>
          <w:p>
            <w:pPr>
              <w:jc w:val="center"/>
              <w:ind w:left="288"/>
              <w:spacing w:after="0"/>
              <w:rPr>
                <w:sz w:val="20"/>
                <w:szCs w:val="20"/>
                <w:color w:val="auto"/>
              </w:rPr>
            </w:pPr>
            <w:r>
              <w:rPr>
                <w:rFonts w:ascii="Arial" w:cs="Arial" w:eastAsia="Arial" w:hAnsi="Arial"/>
                <w:sz w:val="14"/>
                <w:szCs w:val="14"/>
                <w:color w:val="54565B"/>
              </w:rPr>
              <w:t>Exceed all Comparison Companies</w:t>
            </w:r>
          </w:p>
        </w:tc>
        <w:tc>
          <w:tcPr>
            <w:tcW w:w="980" w:type="dxa"/>
            <w:vAlign w:val="bottom"/>
            <w:tcBorders>
              <w:bottom w:val="single" w:sz="8" w:color="EAF7FA"/>
            </w:tcBorders>
            <w:shd w:val="clear" w:color="auto" w:fill="EAF7FA"/>
          </w:tcPr>
          <w:p>
            <w:pPr>
              <w:jc w:val="center"/>
              <w:ind w:left="228"/>
              <w:spacing w:after="0"/>
              <w:rPr>
                <w:sz w:val="20"/>
                <w:szCs w:val="20"/>
                <w:color w:val="auto"/>
              </w:rPr>
            </w:pPr>
            <w:r>
              <w:rPr>
                <w:rFonts w:ascii="Arial" w:cs="Arial" w:eastAsia="Arial" w:hAnsi="Arial"/>
                <w:sz w:val="14"/>
                <w:szCs w:val="14"/>
                <w:color w:val="54565B"/>
              </w:rPr>
              <w:t>11.0%</w:t>
            </w:r>
          </w:p>
        </w:tc>
        <w:tc>
          <w:tcPr>
            <w:tcW w:w="1520" w:type="dxa"/>
            <w:vAlign w:val="bottom"/>
            <w:tcBorders>
              <w:bottom w:val="single" w:sz="8" w:color="EAF7FA"/>
            </w:tcBorders>
            <w:shd w:val="clear" w:color="auto" w:fill="EAF7FA"/>
          </w:tcPr>
          <w:p>
            <w:pPr>
              <w:jc w:val="center"/>
              <w:ind w:left="68"/>
              <w:spacing w:after="0"/>
              <w:rPr>
                <w:sz w:val="20"/>
                <w:szCs w:val="20"/>
                <w:color w:val="auto"/>
              </w:rPr>
            </w:pPr>
            <w:r>
              <w:rPr>
                <w:rFonts w:ascii="Arial" w:cs="Arial" w:eastAsia="Arial" w:hAnsi="Arial"/>
                <w:sz w:val="14"/>
                <w:szCs w:val="14"/>
                <w:color w:val="54565B"/>
              </w:rPr>
              <w:t>16.50%</w:t>
            </w:r>
          </w:p>
        </w:tc>
        <w:tc>
          <w:tcPr>
            <w:tcW w:w="0" w:type="dxa"/>
            <w:vAlign w:val="bottom"/>
          </w:tcPr>
          <w:p>
            <w:pPr>
              <w:spacing w:after="0"/>
              <w:rPr>
                <w:sz w:val="1"/>
                <w:szCs w:val="1"/>
                <w:color w:val="auto"/>
              </w:rPr>
            </w:pPr>
          </w:p>
        </w:tc>
      </w:tr>
      <w:tr>
        <w:trPr>
          <w:trHeight w:val="20"/>
        </w:trPr>
        <w:tc>
          <w:tcPr>
            <w:tcW w:w="140" w:type="dxa"/>
            <w:vAlign w:val="bottom"/>
            <w:shd w:val="clear" w:color="auto" w:fill="0B3C61"/>
          </w:tcPr>
          <w:p>
            <w:pPr>
              <w:spacing w:after="0" w:line="20" w:lineRule="exact"/>
              <w:rPr>
                <w:sz w:val="1"/>
                <w:szCs w:val="1"/>
                <w:color w:val="auto"/>
              </w:rPr>
            </w:pPr>
          </w:p>
        </w:tc>
        <w:tc>
          <w:tcPr>
            <w:tcW w:w="2160" w:type="dxa"/>
            <w:vAlign w:val="bottom"/>
            <w:shd w:val="clear" w:color="auto" w:fill="0B3C61"/>
          </w:tcPr>
          <w:p>
            <w:pPr>
              <w:spacing w:after="0" w:line="20" w:lineRule="exact"/>
              <w:rPr>
                <w:sz w:val="1"/>
                <w:szCs w:val="1"/>
                <w:color w:val="auto"/>
              </w:rPr>
            </w:pPr>
          </w:p>
        </w:tc>
        <w:tc>
          <w:tcPr>
            <w:tcW w:w="1960" w:type="dxa"/>
            <w:vAlign w:val="bottom"/>
            <w:shd w:val="clear" w:color="auto" w:fill="0B3C61"/>
          </w:tcPr>
          <w:p>
            <w:pPr>
              <w:spacing w:after="0" w:line="20" w:lineRule="exact"/>
              <w:rPr>
                <w:sz w:val="1"/>
                <w:szCs w:val="1"/>
                <w:color w:val="auto"/>
              </w:rPr>
            </w:pPr>
          </w:p>
        </w:tc>
        <w:tc>
          <w:tcPr>
            <w:tcW w:w="2640" w:type="dxa"/>
            <w:vAlign w:val="bottom"/>
            <w:shd w:val="clear" w:color="auto" w:fill="0B3C61"/>
          </w:tcPr>
          <w:p>
            <w:pPr>
              <w:spacing w:after="0" w:line="20" w:lineRule="exact"/>
              <w:rPr>
                <w:sz w:val="1"/>
                <w:szCs w:val="1"/>
                <w:color w:val="auto"/>
              </w:rPr>
            </w:pPr>
          </w:p>
        </w:tc>
        <w:tc>
          <w:tcPr>
            <w:tcW w:w="980" w:type="dxa"/>
            <w:vAlign w:val="bottom"/>
            <w:shd w:val="clear" w:color="auto" w:fill="0B3C61"/>
          </w:tcPr>
          <w:p>
            <w:pPr>
              <w:spacing w:after="0" w:line="20" w:lineRule="exact"/>
              <w:rPr>
                <w:sz w:val="1"/>
                <w:szCs w:val="1"/>
                <w:color w:val="auto"/>
              </w:rPr>
            </w:pPr>
          </w:p>
        </w:tc>
        <w:tc>
          <w:tcPr>
            <w:tcW w:w="1520" w:type="dxa"/>
            <w:vAlign w:val="bottom"/>
            <w:shd w:val="clear" w:color="auto" w:fill="0B3C6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1529715</wp:posOffset>
            </wp:positionH>
            <wp:positionV relativeFrom="paragraph">
              <wp:posOffset>-1207770</wp:posOffset>
            </wp:positionV>
            <wp:extent cx="433768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37685" cy="8255"/>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-890905</wp:posOffset>
            </wp:positionV>
            <wp:extent cx="433768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124" w:lineRule="exact"/>
        <w:rPr>
          <w:sz w:val="20"/>
          <w:szCs w:val="20"/>
          <w:color w:val="auto"/>
        </w:rPr>
      </w:pPr>
    </w:p>
    <w:p>
      <w:pPr>
        <w:jc w:val="both"/>
        <w:ind w:left="440" w:right="500" w:hanging="272"/>
        <w:spacing w:after="0" w:line="233" w:lineRule="auto"/>
        <w:tabs>
          <w:tab w:leader="none" w:pos="440" w:val="left"/>
        </w:tabs>
        <w:numPr>
          <w:ilvl w:val="0"/>
          <w:numId w:val="20"/>
        </w:numPr>
        <w:rPr>
          <w:rFonts w:ascii="Arial" w:cs="Arial" w:eastAsia="Arial" w:hAnsi="Arial"/>
          <w:sz w:val="13"/>
          <w:szCs w:val="13"/>
          <w:color w:val="54565B"/>
        </w:rPr>
      </w:pPr>
      <w:r>
        <w:rPr>
          <w:rFonts w:ascii="Arial" w:cs="Arial" w:eastAsia="Arial" w:hAnsi="Arial"/>
          <w:sz w:val="13"/>
          <w:szCs w:val="13"/>
          <w:color w:val="54565B"/>
        </w:rPr>
        <w:t>No award will be paid for results below the threshold. For a Relative GBVPS greater than the threshold but less than the maximum, the award amount is calculated by applying straight-line interpolation, rounded to the nearest whole dollar amount. The target amount is payable at the midpoint between the threshold and maximum.</w:t>
      </w: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50 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440" w:right="20" w:hanging="272"/>
        <w:spacing w:after="0" w:line="233" w:lineRule="auto"/>
        <w:tabs>
          <w:tab w:leader="none" w:pos="440" w:val="left"/>
        </w:tabs>
        <w:numPr>
          <w:ilvl w:val="0"/>
          <w:numId w:val="21"/>
        </w:numPr>
        <w:rPr>
          <w:rFonts w:ascii="Arial" w:cs="Arial" w:eastAsia="Arial" w:hAnsi="Arial"/>
          <w:sz w:val="13"/>
          <w:szCs w:val="13"/>
          <w:color w:val="54565B"/>
        </w:rPr>
      </w:pPr>
      <w:r>
        <w:rPr>
          <w:rFonts w:ascii="Arial" w:cs="Arial" w:eastAsia="Arial" w:hAnsi="Arial"/>
          <w:sz w:val="13"/>
          <w:szCs w:val="13"/>
          <w:color w:val="54565B"/>
        </w:rPr>
        <w:t>No award will be paid for results below the threshold. For a Long-Term ROE greater than the threshold but less than the target, or greater than the target but less than the maximum, the award amount is calculated by applying straight-line interpolation, rounded to the nearest whole dollar amount. The target amount is payable at the midpoint between the threshold and maximum.</w:t>
      </w:r>
    </w:p>
    <w:p>
      <w:pPr>
        <w:spacing w:after="0" w:line="5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54565B"/>
        </w:rPr>
        <w:t xml:space="preserve">Consistent with its pay-for-performance philosophy, the Committee determined that </w:t>
      </w:r>
      <w:r>
        <w:rPr>
          <w:rFonts w:ascii="Arial" w:cs="Arial" w:eastAsia="Arial" w:hAnsi="Arial"/>
          <w:sz w:val="16"/>
          <w:szCs w:val="16"/>
          <w:b w:val="1"/>
          <w:bCs w:val="1"/>
          <w:color w:val="54565B"/>
        </w:rPr>
        <w:t>Long-Term Relative GBVPS</w:t>
      </w:r>
      <w:r>
        <w:rPr>
          <w:rFonts w:ascii="Arial" w:cs="Arial" w:eastAsia="Arial" w:hAnsi="Arial"/>
          <w:sz w:val="16"/>
          <w:szCs w:val="16"/>
          <w:color w:val="54565B"/>
        </w:rPr>
        <w:t xml:space="preserve"> performance in the bottom quartile of the Comparison Companies would not be consistent with the Company’s focus on long-term shareholder value creation and, as such, would result in no award under the Senior LTIC. The Committee similarly concluded that Long-Term Relative GBVPS performance above all Comparison Companies would represent extraordinary performance and earn a maximum award. To earn an award in excess of the target level, the Company would need to place at least ninth versus the 22 Comparison Companies, representing strong performance. Long-Term Relative GBVPS exceeding the fourth (lowest) quartile of the Comparison Companies but not all Comparison Companies would entitle each participant to an award (expressed as a percentage of target) calculated by applying straight-line interpolation for growth in book value per share between 0% and the maximum award of 200%. As provided in the Senior Executive LTIC, one plan company that was acquired during the three-year performance period was excluded when calculating awards. After excluding that acquired company, the Comparison Companies for the three-year period ended December 31, 2025, were:</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242"/>
        </w:trPr>
        <w:tc>
          <w:tcPr>
            <w:tcW w:w="3820" w:type="dxa"/>
            <w:vAlign w:val="bottom"/>
            <w:gridSpan w:val="2"/>
          </w:tcPr>
          <w:p>
            <w:pPr>
              <w:spacing w:after="0"/>
              <w:rPr>
                <w:sz w:val="20"/>
                <w:szCs w:val="20"/>
                <w:color w:val="auto"/>
              </w:rPr>
            </w:pPr>
            <w:r>
              <w:rPr>
                <w:rFonts w:ascii="Arial" w:cs="Arial" w:eastAsia="Arial" w:hAnsi="Arial"/>
                <w:sz w:val="16"/>
                <w:szCs w:val="16"/>
                <w:color w:val="54565B"/>
              </w:rPr>
              <w:t>1.   American International Group, Inc.</w:t>
            </w:r>
          </w:p>
        </w:tc>
        <w:tc>
          <w:tcPr>
            <w:tcW w:w="4120" w:type="dxa"/>
            <w:vAlign w:val="bottom"/>
            <w:gridSpan w:val="2"/>
          </w:tcPr>
          <w:p>
            <w:pPr>
              <w:ind w:left="980"/>
              <w:spacing w:after="0"/>
              <w:rPr>
                <w:sz w:val="20"/>
                <w:szCs w:val="20"/>
                <w:color w:val="auto"/>
              </w:rPr>
            </w:pPr>
            <w:r>
              <w:rPr>
                <w:rFonts w:ascii="Arial" w:cs="Arial" w:eastAsia="Arial" w:hAnsi="Arial"/>
                <w:sz w:val="16"/>
                <w:szCs w:val="16"/>
                <w:color w:val="54565B"/>
              </w:rPr>
              <w:t>12.   The Hartford Insurance Group, Inc.</w:t>
            </w:r>
          </w:p>
        </w:tc>
      </w:tr>
      <w:tr>
        <w:trPr>
          <w:trHeight w:val="283"/>
        </w:trPr>
        <w:tc>
          <w:tcPr>
            <w:tcW w:w="3820" w:type="dxa"/>
            <w:vAlign w:val="bottom"/>
            <w:gridSpan w:val="2"/>
          </w:tcPr>
          <w:p>
            <w:pPr>
              <w:spacing w:after="0"/>
              <w:rPr>
                <w:sz w:val="20"/>
                <w:szCs w:val="20"/>
                <w:color w:val="auto"/>
              </w:rPr>
            </w:pPr>
            <w:r>
              <w:rPr>
                <w:rFonts w:ascii="Arial" w:cs="Arial" w:eastAsia="Arial" w:hAnsi="Arial"/>
                <w:sz w:val="16"/>
                <w:szCs w:val="16"/>
                <w:color w:val="54565B"/>
              </w:rPr>
              <w:t>2.   Arch Capital Group Ltd.</w:t>
            </w:r>
          </w:p>
        </w:tc>
        <w:tc>
          <w:tcPr>
            <w:tcW w:w="4120" w:type="dxa"/>
            <w:vAlign w:val="bottom"/>
            <w:gridSpan w:val="2"/>
          </w:tcPr>
          <w:p>
            <w:pPr>
              <w:ind w:left="980"/>
              <w:spacing w:after="0"/>
              <w:rPr>
                <w:sz w:val="20"/>
                <w:szCs w:val="20"/>
                <w:color w:val="auto"/>
              </w:rPr>
            </w:pPr>
            <w:r>
              <w:rPr>
                <w:rFonts w:ascii="Arial" w:cs="Arial" w:eastAsia="Arial" w:hAnsi="Arial"/>
                <w:sz w:val="16"/>
                <w:szCs w:val="16"/>
                <w:color w:val="54565B"/>
              </w:rPr>
              <w:t>13.   Horace Mann Educators Corp.</w:t>
            </w:r>
          </w:p>
        </w:tc>
      </w:tr>
      <w:tr>
        <w:trPr>
          <w:trHeight w:val="283"/>
        </w:trPr>
        <w:tc>
          <w:tcPr>
            <w:tcW w:w="240" w:type="dxa"/>
            <w:vAlign w:val="bottom"/>
          </w:tcPr>
          <w:p>
            <w:pPr>
              <w:spacing w:after="0"/>
              <w:rPr>
                <w:sz w:val="20"/>
                <w:szCs w:val="20"/>
                <w:color w:val="auto"/>
              </w:rPr>
            </w:pPr>
            <w:r>
              <w:rPr>
                <w:rFonts w:ascii="Arial" w:cs="Arial" w:eastAsia="Arial" w:hAnsi="Arial"/>
                <w:sz w:val="16"/>
                <w:szCs w:val="16"/>
                <w:color w:val="54565B"/>
                <w:w w:val="74"/>
              </w:rPr>
              <w:t>3. </w:t>
            </w:r>
          </w:p>
        </w:tc>
        <w:tc>
          <w:tcPr>
            <w:tcW w:w="3580" w:type="dxa"/>
            <w:vAlign w:val="bottom"/>
          </w:tcPr>
          <w:p>
            <w:pPr>
              <w:ind w:left="60"/>
              <w:spacing w:after="0"/>
              <w:rPr>
                <w:sz w:val="20"/>
                <w:szCs w:val="20"/>
                <w:color w:val="auto"/>
              </w:rPr>
            </w:pPr>
            <w:r>
              <w:rPr>
                <w:rFonts w:ascii="Arial" w:cs="Arial" w:eastAsia="Arial" w:hAnsi="Arial"/>
                <w:sz w:val="16"/>
                <w:szCs w:val="16"/>
                <w:color w:val="54565B"/>
              </w:rPr>
              <w:t>Assurant, Inc.</w:t>
            </w:r>
          </w:p>
        </w:tc>
        <w:tc>
          <w:tcPr>
            <w:tcW w:w="1300" w:type="dxa"/>
            <w:vAlign w:val="bottom"/>
          </w:tcPr>
          <w:p>
            <w:pPr>
              <w:ind w:left="980"/>
              <w:spacing w:after="0"/>
              <w:rPr>
                <w:sz w:val="20"/>
                <w:szCs w:val="20"/>
                <w:color w:val="auto"/>
              </w:rPr>
            </w:pPr>
            <w:r>
              <w:rPr>
                <w:rFonts w:ascii="Arial" w:cs="Arial" w:eastAsia="Arial" w:hAnsi="Arial"/>
                <w:sz w:val="16"/>
                <w:szCs w:val="16"/>
                <w:color w:val="54565B"/>
                <w:w w:val="78"/>
              </w:rPr>
              <w:t>14. </w:t>
            </w:r>
          </w:p>
        </w:tc>
        <w:tc>
          <w:tcPr>
            <w:tcW w:w="2820" w:type="dxa"/>
            <w:vAlign w:val="bottom"/>
          </w:tcPr>
          <w:p>
            <w:pPr>
              <w:ind w:left="60"/>
              <w:spacing w:after="0"/>
              <w:rPr>
                <w:sz w:val="20"/>
                <w:szCs w:val="20"/>
                <w:color w:val="auto"/>
              </w:rPr>
            </w:pPr>
            <w:r>
              <w:rPr>
                <w:rFonts w:ascii="Arial" w:cs="Arial" w:eastAsia="Arial" w:hAnsi="Arial"/>
                <w:sz w:val="16"/>
                <w:szCs w:val="16"/>
                <w:color w:val="54565B"/>
              </w:rPr>
              <w:t>Markel Corporation</w:t>
            </w:r>
          </w:p>
        </w:tc>
      </w:tr>
      <w:tr>
        <w:trPr>
          <w:trHeight w:val="283"/>
        </w:trPr>
        <w:tc>
          <w:tcPr>
            <w:tcW w:w="3820" w:type="dxa"/>
            <w:vAlign w:val="bottom"/>
            <w:gridSpan w:val="2"/>
          </w:tcPr>
          <w:p>
            <w:pPr>
              <w:spacing w:after="0"/>
              <w:rPr>
                <w:sz w:val="20"/>
                <w:szCs w:val="20"/>
                <w:color w:val="auto"/>
              </w:rPr>
            </w:pPr>
            <w:r>
              <w:rPr>
                <w:rFonts w:ascii="Arial" w:cs="Arial" w:eastAsia="Arial" w:hAnsi="Arial"/>
                <w:sz w:val="16"/>
                <w:szCs w:val="16"/>
                <w:color w:val="54565B"/>
              </w:rPr>
              <w:t>4.   Axis Capital Holdings Ltd.</w:t>
            </w:r>
          </w:p>
        </w:tc>
        <w:tc>
          <w:tcPr>
            <w:tcW w:w="4120" w:type="dxa"/>
            <w:vAlign w:val="bottom"/>
            <w:gridSpan w:val="2"/>
          </w:tcPr>
          <w:p>
            <w:pPr>
              <w:ind w:left="980"/>
              <w:spacing w:after="0"/>
              <w:rPr>
                <w:sz w:val="20"/>
                <w:szCs w:val="20"/>
                <w:color w:val="auto"/>
              </w:rPr>
            </w:pPr>
            <w:r>
              <w:rPr>
                <w:rFonts w:ascii="Arial" w:cs="Arial" w:eastAsia="Arial" w:hAnsi="Arial"/>
                <w:sz w:val="16"/>
                <w:szCs w:val="16"/>
                <w:color w:val="54565B"/>
                <w:w w:val="97"/>
              </w:rPr>
              <w:t>15.   Old Republic International Corporation</w:t>
            </w:r>
          </w:p>
        </w:tc>
      </w:tr>
      <w:tr>
        <w:trPr>
          <w:trHeight w:val="284"/>
        </w:trPr>
        <w:tc>
          <w:tcPr>
            <w:tcW w:w="240" w:type="dxa"/>
            <w:vAlign w:val="bottom"/>
          </w:tcPr>
          <w:p>
            <w:pPr>
              <w:spacing w:after="0"/>
              <w:rPr>
                <w:sz w:val="20"/>
                <w:szCs w:val="20"/>
                <w:color w:val="auto"/>
              </w:rPr>
            </w:pPr>
            <w:r>
              <w:rPr>
                <w:rFonts w:ascii="Arial" w:cs="Arial" w:eastAsia="Arial" w:hAnsi="Arial"/>
                <w:sz w:val="16"/>
                <w:szCs w:val="16"/>
                <w:color w:val="54565B"/>
                <w:w w:val="74"/>
              </w:rPr>
              <w:t>5. </w:t>
            </w:r>
          </w:p>
        </w:tc>
        <w:tc>
          <w:tcPr>
            <w:tcW w:w="3580" w:type="dxa"/>
            <w:vAlign w:val="bottom"/>
          </w:tcPr>
          <w:p>
            <w:pPr>
              <w:ind w:left="60"/>
              <w:spacing w:after="0"/>
              <w:rPr>
                <w:sz w:val="20"/>
                <w:szCs w:val="20"/>
                <w:color w:val="auto"/>
              </w:rPr>
            </w:pPr>
            <w:r>
              <w:rPr>
                <w:rFonts w:ascii="Arial" w:cs="Arial" w:eastAsia="Arial" w:hAnsi="Arial"/>
                <w:sz w:val="16"/>
                <w:szCs w:val="16"/>
                <w:color w:val="54565B"/>
              </w:rPr>
              <w:t>Chubb Limited</w:t>
            </w:r>
          </w:p>
        </w:tc>
        <w:tc>
          <w:tcPr>
            <w:tcW w:w="1300" w:type="dxa"/>
            <w:vAlign w:val="bottom"/>
          </w:tcPr>
          <w:p>
            <w:pPr>
              <w:ind w:left="980"/>
              <w:spacing w:after="0"/>
              <w:rPr>
                <w:sz w:val="20"/>
                <w:szCs w:val="20"/>
                <w:color w:val="auto"/>
              </w:rPr>
            </w:pPr>
            <w:r>
              <w:rPr>
                <w:rFonts w:ascii="Arial" w:cs="Arial" w:eastAsia="Arial" w:hAnsi="Arial"/>
                <w:sz w:val="16"/>
                <w:szCs w:val="16"/>
                <w:color w:val="54565B"/>
                <w:w w:val="78"/>
              </w:rPr>
              <w:t>16. </w:t>
            </w:r>
          </w:p>
        </w:tc>
        <w:tc>
          <w:tcPr>
            <w:tcW w:w="2820" w:type="dxa"/>
            <w:vAlign w:val="bottom"/>
          </w:tcPr>
          <w:p>
            <w:pPr>
              <w:ind w:left="60"/>
              <w:spacing w:after="0"/>
              <w:rPr>
                <w:sz w:val="20"/>
                <w:szCs w:val="20"/>
                <w:color w:val="auto"/>
              </w:rPr>
            </w:pPr>
            <w:r>
              <w:rPr>
                <w:rFonts w:ascii="Arial" w:cs="Arial" w:eastAsia="Arial" w:hAnsi="Arial"/>
                <w:sz w:val="16"/>
                <w:szCs w:val="16"/>
                <w:color w:val="54565B"/>
              </w:rPr>
              <w:t>ProAssurance Corporation</w:t>
            </w:r>
          </w:p>
        </w:tc>
      </w:tr>
      <w:tr>
        <w:trPr>
          <w:trHeight w:val="283"/>
        </w:trPr>
        <w:tc>
          <w:tcPr>
            <w:tcW w:w="240" w:type="dxa"/>
            <w:vAlign w:val="bottom"/>
          </w:tcPr>
          <w:p>
            <w:pPr>
              <w:spacing w:after="0"/>
              <w:rPr>
                <w:sz w:val="20"/>
                <w:szCs w:val="20"/>
                <w:color w:val="auto"/>
              </w:rPr>
            </w:pPr>
            <w:r>
              <w:rPr>
                <w:rFonts w:ascii="Arial" w:cs="Arial" w:eastAsia="Arial" w:hAnsi="Arial"/>
                <w:sz w:val="16"/>
                <w:szCs w:val="16"/>
                <w:color w:val="54565B"/>
                <w:w w:val="74"/>
              </w:rPr>
              <w:t>6. </w:t>
            </w:r>
          </w:p>
        </w:tc>
        <w:tc>
          <w:tcPr>
            <w:tcW w:w="3580" w:type="dxa"/>
            <w:vAlign w:val="bottom"/>
          </w:tcPr>
          <w:p>
            <w:pPr>
              <w:ind w:left="60"/>
              <w:spacing w:after="0"/>
              <w:rPr>
                <w:sz w:val="20"/>
                <w:szCs w:val="20"/>
                <w:color w:val="auto"/>
              </w:rPr>
            </w:pPr>
            <w:r>
              <w:rPr>
                <w:rFonts w:ascii="Arial" w:cs="Arial" w:eastAsia="Arial" w:hAnsi="Arial"/>
                <w:sz w:val="16"/>
                <w:szCs w:val="16"/>
                <w:color w:val="54565B"/>
              </w:rPr>
              <w:t>Cincinnati Financial Corp.</w:t>
            </w:r>
          </w:p>
        </w:tc>
        <w:tc>
          <w:tcPr>
            <w:tcW w:w="1300" w:type="dxa"/>
            <w:vAlign w:val="bottom"/>
          </w:tcPr>
          <w:p>
            <w:pPr>
              <w:ind w:left="980"/>
              <w:spacing w:after="0"/>
              <w:rPr>
                <w:sz w:val="20"/>
                <w:szCs w:val="20"/>
                <w:color w:val="auto"/>
              </w:rPr>
            </w:pPr>
            <w:r>
              <w:rPr>
                <w:rFonts w:ascii="Arial" w:cs="Arial" w:eastAsia="Arial" w:hAnsi="Arial"/>
                <w:sz w:val="16"/>
                <w:szCs w:val="16"/>
                <w:color w:val="54565B"/>
                <w:w w:val="78"/>
              </w:rPr>
              <w:t>17. </w:t>
            </w:r>
          </w:p>
        </w:tc>
        <w:tc>
          <w:tcPr>
            <w:tcW w:w="2820" w:type="dxa"/>
            <w:vAlign w:val="bottom"/>
          </w:tcPr>
          <w:p>
            <w:pPr>
              <w:ind w:left="60"/>
              <w:spacing w:after="0"/>
              <w:rPr>
                <w:sz w:val="20"/>
                <w:szCs w:val="20"/>
                <w:color w:val="auto"/>
              </w:rPr>
            </w:pPr>
            <w:r>
              <w:rPr>
                <w:rFonts w:ascii="Arial" w:cs="Arial" w:eastAsia="Arial" w:hAnsi="Arial"/>
                <w:sz w:val="16"/>
                <w:szCs w:val="16"/>
                <w:color w:val="54565B"/>
              </w:rPr>
              <w:t>RenaissanceRe Holdings Ltd.</w:t>
            </w:r>
          </w:p>
        </w:tc>
      </w:tr>
      <w:tr>
        <w:trPr>
          <w:trHeight w:val="283"/>
        </w:trPr>
        <w:tc>
          <w:tcPr>
            <w:tcW w:w="240" w:type="dxa"/>
            <w:vAlign w:val="bottom"/>
          </w:tcPr>
          <w:p>
            <w:pPr>
              <w:spacing w:after="0"/>
              <w:rPr>
                <w:sz w:val="20"/>
                <w:szCs w:val="20"/>
                <w:color w:val="auto"/>
              </w:rPr>
            </w:pPr>
            <w:r>
              <w:rPr>
                <w:rFonts w:ascii="Arial" w:cs="Arial" w:eastAsia="Arial" w:hAnsi="Arial"/>
                <w:sz w:val="16"/>
                <w:szCs w:val="16"/>
                <w:color w:val="54565B"/>
                <w:w w:val="74"/>
              </w:rPr>
              <w:t>7. </w:t>
            </w:r>
          </w:p>
        </w:tc>
        <w:tc>
          <w:tcPr>
            <w:tcW w:w="3580" w:type="dxa"/>
            <w:vAlign w:val="bottom"/>
          </w:tcPr>
          <w:p>
            <w:pPr>
              <w:ind w:left="60"/>
              <w:spacing w:after="0"/>
              <w:rPr>
                <w:sz w:val="20"/>
                <w:szCs w:val="20"/>
                <w:color w:val="auto"/>
              </w:rPr>
            </w:pPr>
            <w:r>
              <w:rPr>
                <w:rFonts w:ascii="Arial" w:cs="Arial" w:eastAsia="Arial" w:hAnsi="Arial"/>
                <w:sz w:val="16"/>
                <w:szCs w:val="16"/>
                <w:color w:val="54565B"/>
              </w:rPr>
              <w:t>CNA Financial Corporation</w:t>
            </w:r>
          </w:p>
        </w:tc>
        <w:tc>
          <w:tcPr>
            <w:tcW w:w="1300" w:type="dxa"/>
            <w:vAlign w:val="bottom"/>
          </w:tcPr>
          <w:p>
            <w:pPr>
              <w:ind w:left="980"/>
              <w:spacing w:after="0"/>
              <w:rPr>
                <w:sz w:val="20"/>
                <w:szCs w:val="20"/>
                <w:color w:val="auto"/>
              </w:rPr>
            </w:pPr>
            <w:r>
              <w:rPr>
                <w:rFonts w:ascii="Arial" w:cs="Arial" w:eastAsia="Arial" w:hAnsi="Arial"/>
                <w:sz w:val="16"/>
                <w:szCs w:val="16"/>
                <w:color w:val="54565B"/>
                <w:w w:val="78"/>
              </w:rPr>
              <w:t>18. </w:t>
            </w:r>
          </w:p>
        </w:tc>
        <w:tc>
          <w:tcPr>
            <w:tcW w:w="2820" w:type="dxa"/>
            <w:vAlign w:val="bottom"/>
          </w:tcPr>
          <w:p>
            <w:pPr>
              <w:ind w:left="60"/>
              <w:spacing w:after="0"/>
              <w:rPr>
                <w:sz w:val="20"/>
                <w:szCs w:val="20"/>
                <w:color w:val="auto"/>
              </w:rPr>
            </w:pPr>
            <w:r>
              <w:rPr>
                <w:rFonts w:ascii="Arial" w:cs="Arial" w:eastAsia="Arial" w:hAnsi="Arial"/>
                <w:sz w:val="16"/>
                <w:szCs w:val="16"/>
                <w:color w:val="54565B"/>
              </w:rPr>
              <w:t>RLI Corp.</w:t>
            </w:r>
          </w:p>
        </w:tc>
      </w:tr>
      <w:tr>
        <w:trPr>
          <w:trHeight w:val="283"/>
        </w:trPr>
        <w:tc>
          <w:tcPr>
            <w:tcW w:w="240" w:type="dxa"/>
            <w:vAlign w:val="bottom"/>
          </w:tcPr>
          <w:p>
            <w:pPr>
              <w:spacing w:after="0"/>
              <w:rPr>
                <w:sz w:val="20"/>
                <w:szCs w:val="20"/>
                <w:color w:val="auto"/>
              </w:rPr>
            </w:pPr>
            <w:r>
              <w:rPr>
                <w:rFonts w:ascii="Arial" w:cs="Arial" w:eastAsia="Arial" w:hAnsi="Arial"/>
                <w:sz w:val="16"/>
                <w:szCs w:val="16"/>
                <w:color w:val="54565B"/>
                <w:w w:val="74"/>
              </w:rPr>
              <w:t>8. </w:t>
            </w:r>
          </w:p>
        </w:tc>
        <w:tc>
          <w:tcPr>
            <w:tcW w:w="3580" w:type="dxa"/>
            <w:vAlign w:val="bottom"/>
          </w:tcPr>
          <w:p>
            <w:pPr>
              <w:ind w:left="60"/>
              <w:spacing w:after="0"/>
              <w:rPr>
                <w:sz w:val="20"/>
                <w:szCs w:val="20"/>
                <w:color w:val="auto"/>
              </w:rPr>
            </w:pPr>
            <w:r>
              <w:rPr>
                <w:rFonts w:ascii="Arial" w:cs="Arial" w:eastAsia="Arial" w:hAnsi="Arial"/>
                <w:sz w:val="16"/>
                <w:szCs w:val="16"/>
                <w:color w:val="54565B"/>
              </w:rPr>
              <w:t>Employers Holdings, Inc.</w:t>
            </w:r>
          </w:p>
        </w:tc>
        <w:tc>
          <w:tcPr>
            <w:tcW w:w="4120" w:type="dxa"/>
            <w:vAlign w:val="bottom"/>
            <w:gridSpan w:val="2"/>
          </w:tcPr>
          <w:p>
            <w:pPr>
              <w:ind w:left="980"/>
              <w:spacing w:after="0"/>
              <w:rPr>
                <w:sz w:val="20"/>
                <w:szCs w:val="20"/>
                <w:color w:val="auto"/>
              </w:rPr>
            </w:pPr>
            <w:r>
              <w:rPr>
                <w:rFonts w:ascii="Arial" w:cs="Arial" w:eastAsia="Arial" w:hAnsi="Arial"/>
                <w:sz w:val="16"/>
                <w:szCs w:val="16"/>
                <w:color w:val="54565B"/>
              </w:rPr>
              <w:t>19.   Safety Insurance Group, Inc.</w:t>
            </w:r>
          </w:p>
        </w:tc>
      </w:tr>
      <w:tr>
        <w:trPr>
          <w:trHeight w:val="283"/>
        </w:trPr>
        <w:tc>
          <w:tcPr>
            <w:tcW w:w="3820" w:type="dxa"/>
            <w:vAlign w:val="bottom"/>
            <w:gridSpan w:val="2"/>
          </w:tcPr>
          <w:p>
            <w:pPr>
              <w:spacing w:after="0"/>
              <w:rPr>
                <w:sz w:val="20"/>
                <w:szCs w:val="20"/>
                <w:color w:val="auto"/>
              </w:rPr>
            </w:pPr>
            <w:r>
              <w:rPr>
                <w:rFonts w:ascii="Arial" w:cs="Arial" w:eastAsia="Arial" w:hAnsi="Arial"/>
                <w:sz w:val="16"/>
                <w:szCs w:val="16"/>
                <w:color w:val="54565B"/>
              </w:rPr>
              <w:t>9.   Fairfax Financial Holdings Limited</w:t>
            </w:r>
          </w:p>
        </w:tc>
        <w:tc>
          <w:tcPr>
            <w:tcW w:w="1300" w:type="dxa"/>
            <w:vAlign w:val="bottom"/>
          </w:tcPr>
          <w:p>
            <w:pPr>
              <w:ind w:left="980"/>
              <w:spacing w:after="0"/>
              <w:rPr>
                <w:sz w:val="20"/>
                <w:szCs w:val="20"/>
                <w:color w:val="auto"/>
              </w:rPr>
            </w:pPr>
            <w:r>
              <w:rPr>
                <w:rFonts w:ascii="Arial" w:cs="Arial" w:eastAsia="Arial" w:hAnsi="Arial"/>
                <w:sz w:val="16"/>
                <w:szCs w:val="16"/>
                <w:color w:val="54565B"/>
                <w:w w:val="78"/>
              </w:rPr>
              <w:t>20. </w:t>
            </w:r>
          </w:p>
        </w:tc>
        <w:tc>
          <w:tcPr>
            <w:tcW w:w="2820" w:type="dxa"/>
            <w:vAlign w:val="bottom"/>
          </w:tcPr>
          <w:p>
            <w:pPr>
              <w:ind w:left="60"/>
              <w:spacing w:after="0"/>
              <w:rPr>
                <w:sz w:val="20"/>
                <w:szCs w:val="20"/>
                <w:color w:val="auto"/>
              </w:rPr>
            </w:pPr>
            <w:r>
              <w:rPr>
                <w:rFonts w:ascii="Arial" w:cs="Arial" w:eastAsia="Arial" w:hAnsi="Arial"/>
                <w:sz w:val="16"/>
                <w:szCs w:val="16"/>
                <w:color w:val="54565B"/>
              </w:rPr>
              <w:t>Selective Insurance</w:t>
            </w:r>
          </w:p>
        </w:tc>
      </w:tr>
      <w:tr>
        <w:trPr>
          <w:trHeight w:val="284"/>
        </w:trPr>
        <w:tc>
          <w:tcPr>
            <w:tcW w:w="3820" w:type="dxa"/>
            <w:vAlign w:val="bottom"/>
            <w:gridSpan w:val="2"/>
          </w:tcPr>
          <w:p>
            <w:pPr>
              <w:spacing w:after="0"/>
              <w:rPr>
                <w:sz w:val="20"/>
                <w:szCs w:val="20"/>
                <w:color w:val="auto"/>
              </w:rPr>
            </w:pPr>
            <w:r>
              <w:rPr>
                <w:rFonts w:ascii="Arial" w:cs="Arial" w:eastAsia="Arial" w:hAnsi="Arial"/>
                <w:sz w:val="16"/>
                <w:szCs w:val="16"/>
                <w:color w:val="54565B"/>
              </w:rPr>
              <w:t>10.  Global Indemnity Group, LLC</w:t>
            </w:r>
          </w:p>
        </w:tc>
        <w:tc>
          <w:tcPr>
            <w:tcW w:w="1300" w:type="dxa"/>
            <w:vAlign w:val="bottom"/>
          </w:tcPr>
          <w:p>
            <w:pPr>
              <w:ind w:left="980"/>
              <w:spacing w:after="0"/>
              <w:rPr>
                <w:sz w:val="20"/>
                <w:szCs w:val="20"/>
                <w:color w:val="auto"/>
              </w:rPr>
            </w:pPr>
            <w:r>
              <w:rPr>
                <w:rFonts w:ascii="Arial" w:cs="Arial" w:eastAsia="Arial" w:hAnsi="Arial"/>
                <w:sz w:val="16"/>
                <w:szCs w:val="16"/>
                <w:color w:val="54565B"/>
                <w:w w:val="78"/>
              </w:rPr>
              <w:t>21. </w:t>
            </w:r>
          </w:p>
        </w:tc>
        <w:tc>
          <w:tcPr>
            <w:tcW w:w="2820" w:type="dxa"/>
            <w:vAlign w:val="bottom"/>
          </w:tcPr>
          <w:p>
            <w:pPr>
              <w:ind w:left="60"/>
              <w:spacing w:after="0"/>
              <w:rPr>
                <w:sz w:val="20"/>
                <w:szCs w:val="20"/>
                <w:color w:val="auto"/>
              </w:rPr>
            </w:pPr>
            <w:r>
              <w:rPr>
                <w:rFonts w:ascii="Arial" w:cs="Arial" w:eastAsia="Arial" w:hAnsi="Arial"/>
                <w:sz w:val="16"/>
                <w:szCs w:val="16"/>
                <w:color w:val="54565B"/>
              </w:rPr>
              <w:t>Travelers Companies, Inc.</w:t>
            </w:r>
          </w:p>
        </w:tc>
      </w:tr>
      <w:tr>
        <w:trPr>
          <w:trHeight w:val="283"/>
        </w:trPr>
        <w:tc>
          <w:tcPr>
            <w:tcW w:w="3820" w:type="dxa"/>
            <w:vAlign w:val="bottom"/>
            <w:gridSpan w:val="2"/>
          </w:tcPr>
          <w:p>
            <w:pPr>
              <w:spacing w:after="0"/>
              <w:rPr>
                <w:sz w:val="20"/>
                <w:szCs w:val="20"/>
                <w:color w:val="auto"/>
              </w:rPr>
            </w:pPr>
            <w:r>
              <w:rPr>
                <w:rFonts w:ascii="Arial" w:cs="Arial" w:eastAsia="Arial" w:hAnsi="Arial"/>
                <w:sz w:val="16"/>
                <w:szCs w:val="16"/>
                <w:color w:val="54565B"/>
              </w:rPr>
              <w:t>11.  The Hanover Insurance Group, Inc.</w:t>
            </w:r>
          </w:p>
        </w:tc>
        <w:tc>
          <w:tcPr>
            <w:tcW w:w="1300" w:type="dxa"/>
            <w:vAlign w:val="bottom"/>
          </w:tcPr>
          <w:p>
            <w:pPr>
              <w:ind w:left="980"/>
              <w:spacing w:after="0"/>
              <w:rPr>
                <w:sz w:val="20"/>
                <w:szCs w:val="20"/>
                <w:color w:val="auto"/>
              </w:rPr>
            </w:pPr>
            <w:r>
              <w:rPr>
                <w:rFonts w:ascii="Arial" w:cs="Arial" w:eastAsia="Arial" w:hAnsi="Arial"/>
                <w:sz w:val="16"/>
                <w:szCs w:val="16"/>
                <w:color w:val="54565B"/>
                <w:w w:val="78"/>
              </w:rPr>
              <w:t>22. </w:t>
            </w:r>
          </w:p>
        </w:tc>
        <w:tc>
          <w:tcPr>
            <w:tcW w:w="2820" w:type="dxa"/>
            <w:vAlign w:val="bottom"/>
          </w:tcPr>
          <w:p>
            <w:pPr>
              <w:ind w:left="60"/>
              <w:spacing w:after="0"/>
              <w:rPr>
                <w:sz w:val="20"/>
                <w:szCs w:val="20"/>
                <w:color w:val="auto"/>
              </w:rPr>
            </w:pPr>
            <w:r>
              <w:rPr>
                <w:rFonts w:ascii="Arial" w:cs="Arial" w:eastAsia="Arial" w:hAnsi="Arial"/>
                <w:sz w:val="16"/>
                <w:szCs w:val="16"/>
                <w:color w:val="54565B"/>
              </w:rPr>
              <w:t>W.R. Berkley Corporation</w:t>
            </w:r>
          </w:p>
        </w:tc>
      </w:tr>
    </w:tbl>
    <w:p>
      <w:pPr>
        <w:spacing w:after="0" w:line="13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54565B"/>
        </w:rPr>
        <w:t>The Company’s growth in book value per share for the period from January 1, 2023 through December 31, 2025 placed it seventh in comparison to the Comparison Companies (entitling each participant to 65.2% of the maximum award for this component). Each Co-CEO received an award of $1,630,045 and Mr. Berding received an award for this component of $1,043,478 for the performance period.</w:t>
      </w:r>
    </w:p>
    <w:p>
      <w:pPr>
        <w:spacing w:after="0" w:line="56" w:lineRule="exact"/>
        <w:rPr>
          <w:sz w:val="20"/>
          <w:szCs w:val="20"/>
          <w:color w:val="auto"/>
        </w:rPr>
      </w:pPr>
    </w:p>
    <w:p>
      <w:pPr>
        <w:ind w:right="600"/>
        <w:spacing w:after="0" w:line="266" w:lineRule="auto"/>
        <w:rPr>
          <w:sz w:val="20"/>
          <w:szCs w:val="20"/>
          <w:color w:val="auto"/>
        </w:rPr>
      </w:pPr>
      <w:r>
        <w:rPr>
          <w:rFonts w:ascii="Arial" w:cs="Arial" w:eastAsia="Arial" w:hAnsi="Arial"/>
          <w:sz w:val="16"/>
          <w:szCs w:val="16"/>
          <w:b w:val="1"/>
          <w:bCs w:val="1"/>
          <w:color w:val="54565B"/>
        </w:rPr>
        <w:t xml:space="preserve">Long-Term ROE awards </w:t>
      </w:r>
      <w:r>
        <w:rPr>
          <w:rFonts w:ascii="Arial" w:cs="Arial" w:eastAsia="Arial" w:hAnsi="Arial"/>
          <w:sz w:val="16"/>
          <w:szCs w:val="16"/>
          <w:color w:val="54565B"/>
        </w:rPr>
        <w:t>are based on average annual return on equity for the performance period. For the 2023-2025</w:t>
      </w:r>
      <w:r>
        <w:rPr>
          <w:rFonts w:ascii="Arial" w:cs="Arial" w:eastAsia="Arial" w:hAnsi="Arial"/>
          <w:sz w:val="16"/>
          <w:szCs w:val="16"/>
          <w:b w:val="1"/>
          <w:bCs w:val="1"/>
          <w:color w:val="54565B"/>
        </w:rPr>
        <w:t xml:space="preserve"> </w:t>
      </w:r>
      <w:r>
        <w:rPr>
          <w:rFonts w:ascii="Arial" w:cs="Arial" w:eastAsia="Arial" w:hAnsi="Arial"/>
          <w:sz w:val="16"/>
          <w:szCs w:val="16"/>
          <w:color w:val="54565B"/>
        </w:rPr>
        <w:t>performance period, the Committee set the threshold, target and maximum performance goals at 11%, 13.75% and 16.5%, respectively. If Long-Term ROE does not exceed 11%, the participant would receive no award amount.</w:t>
      </w:r>
    </w:p>
    <w:p>
      <w:pPr>
        <w:spacing w:after="0" w:line="50" w:lineRule="exact"/>
        <w:rPr>
          <w:sz w:val="20"/>
          <w:szCs w:val="20"/>
          <w:color w:val="auto"/>
        </w:rPr>
      </w:pPr>
    </w:p>
    <w:p>
      <w:pPr>
        <w:spacing w:after="0" w:line="249" w:lineRule="auto"/>
        <w:rPr>
          <w:sz w:val="20"/>
          <w:szCs w:val="20"/>
          <w:color w:val="auto"/>
        </w:rPr>
      </w:pPr>
      <w:r>
        <w:rPr>
          <w:rFonts w:ascii="Arial" w:cs="Arial" w:eastAsia="Arial" w:hAnsi="Arial"/>
          <w:sz w:val="16"/>
          <w:szCs w:val="16"/>
          <w:color w:val="54565B"/>
        </w:rPr>
        <w:t>The Compensation Committee recognizes that there is inherent uncertainty in forecasting financial results—particularly over a three-year period—and evaluates the best information available when considering potential Long-Term ROE goals to ensure an appropriate level of rigor. This includes a review of the Company’s ROE projections in its then-current business plan (covering the first year of the three year period) and, for reference purposes historical and forecasted ROEs for companies in the Comparison Group for the next two year period, for which forward-looking projections are available (as prepared by our in-house investment professionals). The Committee uses this information to calibrate what may constitute a reasonably possible range of ROEs among industry players in the coming years based upon factors such as the competitive environment, macroeconomic conditions and the property and casualty insurance cycle, and other key influences. In the first quarter of 2023, when the Long-Term ROE goals for the 2023-2025 period were set, the Committee weighed all of the principal relevant factors, including projected average ROEs for the Comparison Companies over the forthcoming two-year period (i.e., 2023 and 2024), for which projected first quartile performance was 12.9% and the highest overall was 16.8%. Upon consideration of the various forecasts, the Committee selected a target and maximum level of 13.75% and 16.5%, respectively, which would represent strong and extraordinary performance, both objectively and compared to projected Compensation Peer Group performance based on available data.</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3"/>
          <w:szCs w:val="13"/>
          <w:color w:val="0B3C61"/>
        </w:rPr>
        <w:t xml:space="preserve">2026 Proxy Statement | American Financial Group   </w:t>
      </w:r>
      <w:r>
        <w:rPr>
          <w:rFonts w:ascii="Arial" w:cs="Arial" w:eastAsia="Arial" w:hAnsi="Arial"/>
          <w:sz w:val="13"/>
          <w:szCs w:val="13"/>
          <w:b w:val="1"/>
          <w:bCs w:val="1"/>
          <w:color w:val="EA1D2D"/>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54565B"/>
        </w:rPr>
        <w:t>The Company’s Long-Term ROE for the 2023-2025 period was 19.1%, representing outstanding performance, both objectively and compared to peers. For illustration purposes, during each annual period spanning the 2023-2025 Senior LTIC period, the Company’s Annual ROE placed it in the top quartile versus the Comparison Companies. As a result of this extraordinary performance, each participant earned the maximum award for this component. Each Co-CEO earned an award of $2,500,000 and Mr. Berding earned an award of $1,250,000.</w:t>
      </w:r>
    </w:p>
    <w:p>
      <w:pPr>
        <w:spacing w:after="0" w:line="45" w:lineRule="exact"/>
        <w:rPr>
          <w:sz w:val="20"/>
          <w:szCs w:val="20"/>
          <w:color w:val="auto"/>
        </w:rPr>
      </w:pPr>
    </w:p>
    <w:p>
      <w:pPr>
        <w:spacing w:after="0" w:line="286" w:lineRule="auto"/>
        <w:rPr>
          <w:sz w:val="20"/>
          <w:szCs w:val="20"/>
          <w:color w:val="auto"/>
        </w:rPr>
      </w:pPr>
      <w:r>
        <w:rPr>
          <w:rFonts w:ascii="Arial" w:cs="Arial" w:eastAsia="Arial" w:hAnsi="Arial"/>
          <w:sz w:val="16"/>
          <w:szCs w:val="16"/>
          <w:color w:val="54565B"/>
        </w:rPr>
        <w:t>After combining the two components, each of the Co-CEOs received an award of $4,130,045 and Mr. Berding received an award of $2,643,200, representing 165.2% of the target award and 82.6% of the maximum award.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0B3C61"/>
        </w:rPr>
        <w:t>LONG-TERM EQUITY INCENTIVE COMPENSATION—BROAD-BASED EQUITY AWARD</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54565B"/>
        </w:rPr>
        <w:t>The Compensation Committee believes long-term equity incentive compensation encourages management to focus on long-term Company performance and provides an opportunity for the NEOs and certain designated key employees to increase their stake in the Company through equity awards that vest over time. The Compensation Committee believes that equity awards represent an important part of AFG’s performance-based compensation system and that they align AFG’s senior executives’ interests with those of its shareholders.</w:t>
      </w:r>
    </w:p>
    <w:p>
      <w:pPr>
        <w:spacing w:after="0" w:line="58"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54565B"/>
        </w:rPr>
        <w:t>Equity awards are generally granted at a regularly scheduled Compensation Committee meeting in February after the market has had the opportunity to assess AFG’s announcement of results of the recently ended year and fourth quarter and key points of the Company’s business plan for the coming year. The Company does not currently grant new awards of stock options, stock appreciation rights or similar option-like instruments. Accordingly, the Company has no specific policy or practice on the timing of such awards in relation to the disclosure of material public information.</w:t>
      </w:r>
    </w:p>
    <w:p>
      <w:pPr>
        <w:spacing w:after="0" w:line="58"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54565B"/>
        </w:rPr>
        <w:t>Annual grants by the Compensation Committee consist of restricted shares awarded to executive officers and certain designated key employees. All restricted shares cliff-vest after four years and contain double-trigger vesting, which limits acceleration of awards to situations where a change in control is accompanied by a qualified termination of employment.</w:t>
      </w:r>
    </w:p>
    <w:p>
      <w:pPr>
        <w:spacing w:after="0" w:line="36" w:lineRule="exact"/>
        <w:rPr>
          <w:sz w:val="20"/>
          <w:szCs w:val="20"/>
          <w:color w:val="auto"/>
        </w:rPr>
      </w:pPr>
    </w:p>
    <w:p>
      <w:pPr>
        <w:jc w:val="both"/>
        <w:ind w:right="320"/>
        <w:spacing w:after="0" w:line="253" w:lineRule="auto"/>
        <w:rPr>
          <w:sz w:val="20"/>
          <w:szCs w:val="20"/>
          <w:color w:val="auto"/>
        </w:rPr>
      </w:pPr>
      <w:r>
        <w:rPr>
          <w:rFonts w:ascii="Arial" w:cs="Arial" w:eastAsia="Arial" w:hAnsi="Arial"/>
          <w:sz w:val="16"/>
          <w:szCs w:val="16"/>
          <w:color w:val="54565B"/>
        </w:rPr>
        <w:t>In determining the value of annual grants to key employees, the Compensation Committee takes into consideration the dilutive effect to shareholders as well as the expense to AFG as stock-based awards vest. The Compensation Committee believes that several features present in stock-based awards give recipients substantial incentive to maximize AFG’s long-term success.</w:t>
      </w:r>
    </w:p>
    <w:p>
      <w:pPr>
        <w:spacing w:after="0" w:line="1" w:lineRule="exact"/>
        <w:rPr>
          <w:sz w:val="20"/>
          <w:szCs w:val="20"/>
          <w:color w:val="auto"/>
        </w:rPr>
      </w:pPr>
    </w:p>
    <w:p>
      <w:pPr>
        <w:jc w:val="both"/>
        <w:ind w:right="400"/>
        <w:spacing w:after="0" w:line="256" w:lineRule="auto"/>
        <w:rPr>
          <w:sz w:val="20"/>
          <w:szCs w:val="20"/>
          <w:color w:val="auto"/>
        </w:rPr>
      </w:pPr>
      <w:r>
        <w:rPr>
          <w:rFonts w:ascii="Arial" w:cs="Arial" w:eastAsia="Arial" w:hAnsi="Arial"/>
          <w:sz w:val="16"/>
          <w:szCs w:val="16"/>
          <w:color w:val="54565B"/>
        </w:rPr>
        <w:t>Specifically, the Compensation Committee believes that, because all awards vest over time, with restricted stock awards “cliff” vesting in four years, these awards promote executive retention due to the potential for forfeiture of awards that have not fully vested upon departure from AFG.</w:t>
      </w:r>
    </w:p>
    <w:p>
      <w:pPr>
        <w:spacing w:after="0" w:line="57"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54565B"/>
        </w:rPr>
        <w:t xml:space="preserve">Equity award levels for participants are determined based on market and compensation peer company data, expense to AFG, the relative benefits to participants of such expense, the performance and overall compensation level of participants and award amounts from previous years. Equity grants vary among participants based on their positions within the Company, and AFG believes that the consideration of these factors results in reasonable grant levels to its NEOs and other employees. Restricted shares granted in 2025 to the NEOs, which are scheduled to vest in 2029 under the terms of their award agreements, are set forth in the Grants of Plan-Based Awards Table on page </w:t>
      </w:r>
      <w:r>
        <w:rPr>
          <w:rFonts w:ascii="Arial" w:cs="Arial" w:eastAsia="Arial" w:hAnsi="Arial"/>
          <w:sz w:val="16"/>
          <w:szCs w:val="16"/>
          <w:u w:val="single" w:color="auto"/>
          <w:color w:val="0000EE"/>
        </w:rPr>
        <w:t>56</w:t>
      </w:r>
      <w:r>
        <w:rPr>
          <w:rFonts w:ascii="Arial" w:cs="Arial" w:eastAsia="Arial" w:hAnsi="Arial"/>
          <w:sz w:val="16"/>
          <w:szCs w:val="16"/>
          <w:color w:val="54565B"/>
        </w:rPr>
        <w:t xml:space="preserve"> of this proxy statement.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0B3C61"/>
        </w:rPr>
        <w:t>PERQUISITES AND OTHER PERSONAL BENEFITS</w:t>
      </w:r>
    </w:p>
    <w:p>
      <w:pPr>
        <w:spacing w:after="0" w:line="83"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54565B"/>
        </w:rPr>
        <w:t xml:space="preserve">Perquisites, such as insurance coverage, the personal use of corporate aircraft, executive security services, certain entertainment expenses and administrative staff attending to occasional personal matters are made available to AFG’s executive officers. The Compensation Committee views the perquisites provided to the NEOs together with all other compensation elements as a component of total compensation and believes that diminishing or eliminating any perquisites may require a corresponding increase in other compensation components. Therefore, the Compensation Committee believes these perquisites, as a component of total executive compensation, to be reasonable and consistent with the overall goal of offering competitive compensation programs. The benefits and the estimated costs to the Company of such benefits are included in the All Other Compensation table below on page </w:t>
      </w:r>
      <w:r>
        <w:rPr>
          <w:rFonts w:ascii="Arial" w:cs="Arial" w:eastAsia="Arial" w:hAnsi="Arial"/>
          <w:sz w:val="16"/>
          <w:szCs w:val="16"/>
          <w:u w:val="single" w:color="auto"/>
          <w:color w:val="0000EE"/>
        </w:rPr>
        <w:t>55</w:t>
      </w:r>
      <w:r>
        <w:rPr>
          <w:rFonts w:ascii="Arial" w:cs="Arial" w:eastAsia="Arial" w:hAnsi="Arial"/>
          <w:sz w:val="16"/>
          <w:szCs w:val="16"/>
          <w:color w:val="54565B"/>
        </w:rPr>
        <w:t>.</w:t>
      </w:r>
    </w:p>
    <w:p>
      <w:pPr>
        <w:spacing w:after="0" w:line="61"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54565B"/>
        </w:rPr>
        <w:t>During 2025, as in prior years, the Company operated corporate aircraft used for the business travel of management and staff of the Company and its subsidiaries. The Board has encouraged the Co-CEOs to use corporate aircraft for all travel whenever practicable for</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52 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line="249" w:lineRule="auto"/>
        <w:rPr>
          <w:sz w:val="20"/>
          <w:szCs w:val="20"/>
          <w:color w:val="auto"/>
        </w:rPr>
      </w:pPr>
      <w:r>
        <w:rPr>
          <w:rFonts w:ascii="Arial" w:cs="Arial" w:eastAsia="Arial" w:hAnsi="Arial"/>
          <w:sz w:val="16"/>
          <w:szCs w:val="16"/>
          <w:color w:val="54565B"/>
        </w:rPr>
        <w:t xml:space="preserve">security, productivity, health, safety and confidentiality reasons. Notwithstanding the increased focus on executive safety and protection, the Compensation Committee and the Co-CEOs jointly acknowledge that personal aircraft use is a personal benefit. Each Co-CEO and the President is provided a fixed number of hours per year for personal use (140 flight hours for each Co-CEO and 40 hours for the President, with the ability to carryover unused hours to the succeeding year) to replace additional cash compensation that would have been paid. In utilizing personal flight hours, an executive’s spouse, other family members or guests may fly on the corporate aircraft. Members of the Co-CEOs family can use up to an additional four flight legs or ten flight hours on the corporate aircraft annually (neither Co-CEO may use these flight legs or hours). The flight hour benefit for the Co-CEOs has remained the same since 2020. For taxable benefits, the dollar amounts are included as taxable income to the NEOs, and the Company does not provide tax gross-up payments for any perquisites. See footnote (2) to the “All Other Compensation” table below on page </w:t>
      </w:r>
      <w:r>
        <w:rPr>
          <w:rFonts w:ascii="Arial" w:cs="Arial" w:eastAsia="Arial" w:hAnsi="Arial"/>
          <w:sz w:val="16"/>
          <w:szCs w:val="16"/>
          <w:u w:val="single" w:color="auto"/>
          <w:color w:val="0000EE"/>
        </w:rPr>
        <w:t>55</w:t>
      </w:r>
      <w:r>
        <w:rPr>
          <w:rFonts w:ascii="Arial" w:cs="Arial" w:eastAsia="Arial" w:hAnsi="Arial"/>
          <w:sz w:val="16"/>
          <w:szCs w:val="16"/>
          <w:color w:val="54565B"/>
        </w:rPr>
        <w:t xml:space="preserve"> for a discussion of the tax treatment of aircraft benefits. In 2025, in response to the increased threat level to executives, the Company also enhanced its executive security to provide broader personal security services beyond its existing personal and business-related security and protection program. The Board supports this enhanced security program given the AFG Security Department’s assessment of ongoing potential threats and the overall environment.</w:t>
      </w:r>
    </w:p>
    <w:p>
      <w:pPr>
        <w:spacing w:after="0" w:line="56" w:lineRule="exact"/>
        <w:rPr>
          <w:sz w:val="20"/>
          <w:szCs w:val="20"/>
          <w:color w:val="auto"/>
        </w:rPr>
      </w:pPr>
    </w:p>
    <w:p>
      <w:pPr>
        <w:spacing w:after="0" w:line="256" w:lineRule="auto"/>
        <w:rPr>
          <w:sz w:val="20"/>
          <w:szCs w:val="20"/>
          <w:color w:val="auto"/>
        </w:rPr>
      </w:pPr>
      <w:r>
        <w:rPr>
          <w:rFonts w:ascii="Arial" w:cs="Arial" w:eastAsia="Arial" w:hAnsi="Arial"/>
          <w:sz w:val="16"/>
          <w:szCs w:val="16"/>
          <w:color w:val="54565B"/>
        </w:rPr>
        <w:t>In addition to the flight hour limit, the Compensation Committee also limits the annual insurance benefit, and NEOs reimburse the Company for any amounts exceeding the limit. As discussed above, the Compensation Committee views perquisites as an element of the Co-CEOs’ total compensation and evaluates any increase in perquisites with reference to the entirety of the Co-CEOs’ compensation package. Moreover, the Co-CEOs have not had an increase in base salary, annual incentive target compensation, long-term incentive target compensation, or the target value of their equity compensation in over five years.</w:t>
      </w:r>
    </w:p>
    <w:p>
      <w:pPr>
        <w:spacing w:after="0" w:line="58"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54565B"/>
        </w:rPr>
        <w:t>The Company also maintains a Deferred Compensation Plan pursuant to which certain employees of AFG and its subsidiaries (currently those paid $155,000 or more annually) may defer up to 80% of their annual salary and/or bonus. For 2025, participants could elect to have the value of deferrals earn a fixed rate of interest, set annually by the Board of Directors (4.75% in 2025), or earn a return as determined by one or more publicly traded mutual funds. A deferral term of either a fixed number of years or upon termination of employment must be elected at the time of deferral. Under the plan, no federal or state income taxes are paid on deferred compensation. Rather, such taxes will be due upon receipt at the end of the deferral period.</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Retirement and Other Related Benefits</w:t>
      </w:r>
    </w:p>
    <w:p>
      <w:pPr>
        <w:spacing w:after="0" w:line="8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54565B"/>
        </w:rPr>
        <w:t>The Company provides retirement benefits to NEOs through a combination of qualified (under the Internal Revenue Code) and nonqualified plans. AFG provides retirement benefits to all qualified employees through the 401(k) Retirement and Savings Plan (“RASP”), a defined contribution plan. AFG matches 100% on the first 3% of employee contributions and an additional 50% on the next 3% of employee contributions and makes discretionary contributions to the retirement fund portion of the plan. The amount of such contributions and matching payments are based on a percentage of the employee’s salary up to certain thresholds. AFG also makes available to certain employees benefits in its Nonqualified Auxiliary RASP (“Auxiliary RASP”). The purpose of the Auxiliary RASP is to enable employees whose contributions in the retirement contribution portion of the RASP are limited by IRS regulations to have an additional benefit to the RASP.</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0B3C61"/>
        </w:rPr>
        <w:t xml:space="preserve">2026 Proxy Statement | American Financial Group   </w:t>
      </w:r>
      <w:r>
        <w:rPr>
          <w:rFonts w:ascii="Arial" w:cs="Arial" w:eastAsia="Arial" w:hAnsi="Arial"/>
          <w:sz w:val="13"/>
          <w:szCs w:val="13"/>
          <w:b w:val="1"/>
          <w:bCs w:val="1"/>
          <w:color w:val="EA1D2D"/>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222885</wp:posOffset>
            </wp:positionV>
            <wp:extent cx="59664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50"/>
          <w:szCs w:val="50"/>
          <w:color w:val="0B3C61"/>
        </w:rPr>
        <w:t>Executive Compensation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0B3C61"/>
        </w:rPr>
        <w:t>SUMMARY COMPENSATION TABLE</w:t>
      </w:r>
    </w:p>
    <w:p>
      <w:pPr>
        <w:spacing w:after="0" w:line="97"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54565B"/>
        </w:rPr>
        <w:t>The following table summarizes the aggregate compensation paid to or earned by the NEOs for each of the last three years. Such compensation includes amounts paid by AFG and its subsidiaries and certain affiliates for the years indicated. Amounts shown relate to the year indicated, regardless of when paid. AFG has no employment agreements with the NEOs.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220" w:type="dxa"/>
            <w:vAlign w:val="bottom"/>
            <w:shd w:val="clear" w:color="auto" w:fill="0B3C61"/>
          </w:tcPr>
          <w:p>
            <w:pPr>
              <w:spacing w:after="0"/>
              <w:rPr>
                <w:sz w:val="22"/>
                <w:szCs w:val="22"/>
                <w:color w:val="auto"/>
              </w:rPr>
            </w:pPr>
          </w:p>
        </w:tc>
        <w:tc>
          <w:tcPr>
            <w:tcW w:w="60" w:type="dxa"/>
            <w:vAlign w:val="bottom"/>
            <w:shd w:val="clear" w:color="auto" w:fill="0B3C61"/>
          </w:tcPr>
          <w:p>
            <w:pPr>
              <w:spacing w:after="0"/>
              <w:rPr>
                <w:sz w:val="22"/>
                <w:szCs w:val="22"/>
                <w:color w:val="auto"/>
              </w:rPr>
            </w:pPr>
          </w:p>
        </w:tc>
        <w:tc>
          <w:tcPr>
            <w:tcW w:w="880" w:type="dxa"/>
            <w:vAlign w:val="bottom"/>
            <w:shd w:val="clear" w:color="auto" w:fill="0B3C61"/>
          </w:tcPr>
          <w:p>
            <w:pPr>
              <w:spacing w:after="0"/>
              <w:rPr>
                <w:sz w:val="22"/>
                <w:szCs w:val="22"/>
                <w:color w:val="auto"/>
              </w:rPr>
            </w:pPr>
          </w:p>
        </w:tc>
        <w:tc>
          <w:tcPr>
            <w:tcW w:w="1060" w:type="dxa"/>
            <w:vAlign w:val="bottom"/>
            <w:shd w:val="clear" w:color="auto" w:fill="0B3C61"/>
          </w:tcPr>
          <w:p>
            <w:pPr>
              <w:spacing w:after="0"/>
              <w:rPr>
                <w:sz w:val="22"/>
                <w:szCs w:val="22"/>
                <w:color w:val="auto"/>
              </w:rPr>
            </w:pPr>
          </w:p>
        </w:tc>
        <w:tc>
          <w:tcPr>
            <w:tcW w:w="940" w:type="dxa"/>
            <w:vAlign w:val="bottom"/>
            <w:shd w:val="clear" w:color="auto" w:fill="0B3C61"/>
          </w:tcPr>
          <w:p>
            <w:pPr>
              <w:spacing w:after="0"/>
              <w:rPr>
                <w:sz w:val="22"/>
                <w:szCs w:val="22"/>
                <w:color w:val="auto"/>
              </w:rPr>
            </w:pPr>
          </w:p>
        </w:tc>
        <w:tc>
          <w:tcPr>
            <w:tcW w:w="110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Non-Equity</w:t>
            </w:r>
          </w:p>
        </w:tc>
        <w:tc>
          <w:tcPr>
            <w:tcW w:w="1080" w:type="dxa"/>
            <w:vAlign w:val="bottom"/>
            <w:shd w:val="clear" w:color="auto" w:fill="0B3C61"/>
          </w:tcPr>
          <w:p>
            <w:pPr>
              <w:spacing w:after="0"/>
              <w:rPr>
                <w:sz w:val="22"/>
                <w:szCs w:val="22"/>
                <w:color w:val="auto"/>
              </w:rPr>
            </w:pPr>
          </w:p>
        </w:tc>
        <w:tc>
          <w:tcPr>
            <w:tcW w:w="1060" w:type="dxa"/>
            <w:vAlign w:val="bottom"/>
            <w:shd w:val="clear" w:color="auto" w:fill="0B3C61"/>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0B3C61"/>
          </w:tcPr>
          <w:p>
            <w:pPr>
              <w:spacing w:after="0"/>
              <w:rPr>
                <w:sz w:val="14"/>
                <w:szCs w:val="14"/>
                <w:color w:val="auto"/>
              </w:rPr>
            </w:pPr>
          </w:p>
        </w:tc>
        <w:tc>
          <w:tcPr>
            <w:tcW w:w="60" w:type="dxa"/>
            <w:vAlign w:val="bottom"/>
            <w:shd w:val="clear" w:color="auto" w:fill="0B3C61"/>
          </w:tcPr>
          <w:p>
            <w:pPr>
              <w:spacing w:after="0"/>
              <w:rPr>
                <w:sz w:val="14"/>
                <w:szCs w:val="14"/>
                <w:color w:val="auto"/>
              </w:rPr>
            </w:pPr>
          </w:p>
        </w:tc>
        <w:tc>
          <w:tcPr>
            <w:tcW w:w="880" w:type="dxa"/>
            <w:vAlign w:val="bottom"/>
            <w:shd w:val="clear" w:color="auto" w:fill="0B3C61"/>
          </w:tcPr>
          <w:p>
            <w:pPr>
              <w:spacing w:after="0"/>
              <w:rPr>
                <w:sz w:val="14"/>
                <w:szCs w:val="14"/>
                <w:color w:val="auto"/>
              </w:rPr>
            </w:pPr>
          </w:p>
        </w:tc>
        <w:tc>
          <w:tcPr>
            <w:tcW w:w="1060" w:type="dxa"/>
            <w:vAlign w:val="bottom"/>
            <w:shd w:val="clear" w:color="auto" w:fill="0B3C61"/>
          </w:tcPr>
          <w:p>
            <w:pPr>
              <w:spacing w:after="0"/>
              <w:rPr>
                <w:sz w:val="14"/>
                <w:szCs w:val="14"/>
                <w:color w:val="auto"/>
              </w:rPr>
            </w:pPr>
          </w:p>
        </w:tc>
        <w:tc>
          <w:tcPr>
            <w:tcW w:w="940" w:type="dxa"/>
            <w:vAlign w:val="bottom"/>
            <w:shd w:val="clear" w:color="auto" w:fill="0B3C61"/>
          </w:tcPr>
          <w:p>
            <w:pPr>
              <w:spacing w:after="0"/>
              <w:rPr>
                <w:sz w:val="14"/>
                <w:szCs w:val="14"/>
                <w:color w:val="auto"/>
              </w:rPr>
            </w:pPr>
          </w:p>
        </w:tc>
        <w:tc>
          <w:tcPr>
            <w:tcW w:w="110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Incentive</w:t>
            </w:r>
          </w:p>
        </w:tc>
        <w:tc>
          <w:tcPr>
            <w:tcW w:w="1080" w:type="dxa"/>
            <w:vAlign w:val="bottom"/>
            <w:shd w:val="clear" w:color="auto" w:fill="0B3C61"/>
          </w:tcPr>
          <w:p>
            <w:pPr>
              <w:spacing w:after="0"/>
              <w:rPr>
                <w:sz w:val="14"/>
                <w:szCs w:val="14"/>
                <w:color w:val="auto"/>
              </w:rPr>
            </w:pPr>
          </w:p>
        </w:tc>
        <w:tc>
          <w:tcPr>
            <w:tcW w:w="1060" w:type="dxa"/>
            <w:vAlign w:val="bottom"/>
            <w:shd w:val="clear" w:color="auto" w:fill="0B3C6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0B3C61"/>
          </w:tcPr>
          <w:p>
            <w:pPr>
              <w:spacing w:after="0"/>
              <w:rPr>
                <w:sz w:val="14"/>
                <w:szCs w:val="14"/>
                <w:color w:val="auto"/>
              </w:rPr>
            </w:pPr>
          </w:p>
        </w:tc>
        <w:tc>
          <w:tcPr>
            <w:tcW w:w="60" w:type="dxa"/>
            <w:vAlign w:val="bottom"/>
            <w:shd w:val="clear" w:color="auto" w:fill="0B3C61"/>
          </w:tcPr>
          <w:p>
            <w:pPr>
              <w:spacing w:after="0"/>
              <w:rPr>
                <w:sz w:val="14"/>
                <w:szCs w:val="14"/>
                <w:color w:val="auto"/>
              </w:rPr>
            </w:pPr>
          </w:p>
        </w:tc>
        <w:tc>
          <w:tcPr>
            <w:tcW w:w="880" w:type="dxa"/>
            <w:vAlign w:val="bottom"/>
            <w:shd w:val="clear" w:color="auto" w:fill="0B3C61"/>
          </w:tcPr>
          <w:p>
            <w:pPr>
              <w:spacing w:after="0"/>
              <w:rPr>
                <w:sz w:val="14"/>
                <w:szCs w:val="14"/>
                <w:color w:val="auto"/>
              </w:rPr>
            </w:pPr>
          </w:p>
        </w:tc>
        <w:tc>
          <w:tcPr>
            <w:tcW w:w="1060" w:type="dxa"/>
            <w:vAlign w:val="bottom"/>
            <w:shd w:val="clear" w:color="auto" w:fill="0B3C61"/>
          </w:tcPr>
          <w:p>
            <w:pPr>
              <w:spacing w:after="0"/>
              <w:rPr>
                <w:sz w:val="14"/>
                <w:szCs w:val="14"/>
                <w:color w:val="auto"/>
              </w:rPr>
            </w:pPr>
          </w:p>
        </w:tc>
        <w:tc>
          <w:tcPr>
            <w:tcW w:w="940" w:type="dxa"/>
            <w:vAlign w:val="bottom"/>
            <w:shd w:val="clear" w:color="auto" w:fill="0B3C61"/>
          </w:tcPr>
          <w:p>
            <w:pPr>
              <w:jc w:val="right"/>
              <w:ind w:right="208"/>
              <w:spacing w:after="0"/>
              <w:rPr>
                <w:sz w:val="20"/>
                <w:szCs w:val="20"/>
                <w:color w:val="auto"/>
              </w:rPr>
            </w:pPr>
            <w:r>
              <w:rPr>
                <w:rFonts w:ascii="Arial" w:cs="Arial" w:eastAsia="Arial" w:hAnsi="Arial"/>
                <w:sz w:val="14"/>
                <w:szCs w:val="14"/>
                <w:color w:val="FFFFFF"/>
              </w:rPr>
              <w:t>Stock</w:t>
            </w:r>
          </w:p>
        </w:tc>
        <w:tc>
          <w:tcPr>
            <w:tcW w:w="1100" w:type="dxa"/>
            <w:vAlign w:val="bottom"/>
            <w:shd w:val="clear" w:color="auto" w:fill="0B3C61"/>
          </w:tcPr>
          <w:p>
            <w:pPr>
              <w:jc w:val="center"/>
              <w:spacing w:after="0"/>
              <w:rPr>
                <w:sz w:val="20"/>
                <w:szCs w:val="20"/>
                <w:color w:val="auto"/>
              </w:rPr>
            </w:pPr>
            <w:r>
              <w:rPr>
                <w:rFonts w:ascii="Arial" w:cs="Arial" w:eastAsia="Arial" w:hAnsi="Arial"/>
                <w:sz w:val="14"/>
                <w:szCs w:val="14"/>
                <w:color w:val="FFFFFF"/>
                <w:w w:val="99"/>
              </w:rPr>
              <w:t>Plan</w:t>
            </w:r>
          </w:p>
        </w:tc>
        <w:tc>
          <w:tcPr>
            <w:tcW w:w="108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All Other</w:t>
            </w:r>
          </w:p>
        </w:tc>
        <w:tc>
          <w:tcPr>
            <w:tcW w:w="1060" w:type="dxa"/>
            <w:vAlign w:val="bottom"/>
            <w:shd w:val="clear" w:color="auto" w:fill="0B3C61"/>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20" w:type="dxa"/>
            <w:vAlign w:val="bottom"/>
            <w:shd w:val="clear" w:color="auto" w:fill="0B3C61"/>
          </w:tcPr>
          <w:p>
            <w:pPr>
              <w:ind w:left="240"/>
              <w:spacing w:after="0"/>
              <w:rPr>
                <w:sz w:val="20"/>
                <w:szCs w:val="20"/>
                <w:color w:val="auto"/>
              </w:rPr>
            </w:pPr>
            <w:r>
              <w:rPr>
                <w:rFonts w:ascii="Arial" w:cs="Arial" w:eastAsia="Arial" w:hAnsi="Arial"/>
                <w:sz w:val="14"/>
                <w:szCs w:val="14"/>
                <w:color w:val="FFFFFF"/>
              </w:rPr>
              <w:t>Name and</w:t>
            </w:r>
          </w:p>
        </w:tc>
        <w:tc>
          <w:tcPr>
            <w:tcW w:w="60" w:type="dxa"/>
            <w:vAlign w:val="bottom"/>
            <w:shd w:val="clear" w:color="auto" w:fill="0B3C61"/>
          </w:tcPr>
          <w:p>
            <w:pPr>
              <w:spacing w:after="0"/>
              <w:rPr>
                <w:sz w:val="14"/>
                <w:szCs w:val="14"/>
                <w:color w:val="auto"/>
              </w:rPr>
            </w:pPr>
          </w:p>
        </w:tc>
        <w:tc>
          <w:tcPr>
            <w:tcW w:w="880" w:type="dxa"/>
            <w:vAlign w:val="bottom"/>
            <w:shd w:val="clear" w:color="auto" w:fill="0B3C61"/>
          </w:tcPr>
          <w:p>
            <w:pPr>
              <w:spacing w:after="0"/>
              <w:rPr>
                <w:sz w:val="14"/>
                <w:szCs w:val="14"/>
                <w:color w:val="auto"/>
              </w:rPr>
            </w:pPr>
          </w:p>
        </w:tc>
        <w:tc>
          <w:tcPr>
            <w:tcW w:w="1060" w:type="dxa"/>
            <w:vAlign w:val="bottom"/>
            <w:shd w:val="clear" w:color="auto" w:fill="0B3C61"/>
          </w:tcPr>
          <w:p>
            <w:pPr>
              <w:jc w:val="right"/>
              <w:ind w:right="248"/>
              <w:spacing w:after="0"/>
              <w:rPr>
                <w:sz w:val="20"/>
                <w:szCs w:val="20"/>
                <w:color w:val="auto"/>
              </w:rPr>
            </w:pPr>
            <w:r>
              <w:rPr>
                <w:rFonts w:ascii="Arial" w:cs="Arial" w:eastAsia="Arial" w:hAnsi="Arial"/>
                <w:sz w:val="14"/>
                <w:szCs w:val="14"/>
                <w:color w:val="FFFFFF"/>
              </w:rPr>
              <w:t>Salary</w:t>
            </w:r>
          </w:p>
        </w:tc>
        <w:tc>
          <w:tcPr>
            <w:tcW w:w="940" w:type="dxa"/>
            <w:vAlign w:val="bottom"/>
            <w:shd w:val="clear" w:color="auto" w:fill="0B3C61"/>
          </w:tcPr>
          <w:p>
            <w:pPr>
              <w:jc w:val="right"/>
              <w:ind w:right="148"/>
              <w:spacing w:after="0"/>
              <w:rPr>
                <w:sz w:val="20"/>
                <w:szCs w:val="20"/>
                <w:color w:val="auto"/>
              </w:rPr>
            </w:pPr>
            <w:r>
              <w:rPr>
                <w:rFonts w:ascii="Arial" w:cs="Arial" w:eastAsia="Arial" w:hAnsi="Arial"/>
                <w:sz w:val="14"/>
                <w:szCs w:val="14"/>
                <w:color w:val="FFFFFF"/>
              </w:rPr>
              <w:t>Awards</w:t>
            </w:r>
          </w:p>
        </w:tc>
        <w:tc>
          <w:tcPr>
            <w:tcW w:w="1100" w:type="dxa"/>
            <w:vAlign w:val="bottom"/>
            <w:shd w:val="clear" w:color="auto" w:fill="0B3C61"/>
          </w:tcPr>
          <w:p>
            <w:pPr>
              <w:jc w:val="right"/>
              <w:spacing w:after="0"/>
              <w:rPr>
                <w:sz w:val="20"/>
                <w:szCs w:val="20"/>
                <w:color w:val="auto"/>
              </w:rPr>
            </w:pPr>
            <w:r>
              <w:rPr>
                <w:rFonts w:ascii="Arial" w:cs="Arial" w:eastAsia="Arial" w:hAnsi="Arial"/>
                <w:sz w:val="14"/>
                <w:szCs w:val="14"/>
                <w:color w:val="FFFFFF"/>
              </w:rPr>
              <w:t>Compensation</w:t>
            </w:r>
          </w:p>
        </w:tc>
        <w:tc>
          <w:tcPr>
            <w:tcW w:w="108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Compensation</w:t>
            </w:r>
          </w:p>
        </w:tc>
        <w:tc>
          <w:tcPr>
            <w:tcW w:w="1060" w:type="dxa"/>
            <w:vAlign w:val="bottom"/>
            <w:shd w:val="clear" w:color="auto" w:fill="0B3C61"/>
          </w:tcPr>
          <w:p>
            <w:pPr>
              <w:jc w:val="right"/>
              <w:ind w:right="408"/>
              <w:spacing w:after="0"/>
              <w:rPr>
                <w:sz w:val="20"/>
                <w:szCs w:val="20"/>
                <w:color w:val="auto"/>
              </w:rPr>
            </w:pPr>
            <w:r>
              <w:rPr>
                <w:rFonts w:ascii="Arial" w:cs="Arial" w:eastAsia="Arial" w:hAnsi="Arial"/>
                <w:sz w:val="14"/>
                <w:szCs w:val="14"/>
                <w:color w:val="FFFFFF"/>
              </w:rPr>
              <w:t>Total</w:t>
            </w:r>
          </w:p>
        </w:tc>
        <w:tc>
          <w:tcPr>
            <w:tcW w:w="0" w:type="dxa"/>
            <w:vAlign w:val="bottom"/>
          </w:tcPr>
          <w:p>
            <w:pPr>
              <w:spacing w:after="0"/>
              <w:rPr>
                <w:sz w:val="1"/>
                <w:szCs w:val="1"/>
                <w:color w:val="auto"/>
              </w:rPr>
            </w:pPr>
          </w:p>
        </w:tc>
      </w:tr>
      <w:tr>
        <w:trPr>
          <w:trHeight w:val="270"/>
        </w:trPr>
        <w:tc>
          <w:tcPr>
            <w:tcW w:w="3220" w:type="dxa"/>
            <w:vAlign w:val="bottom"/>
            <w:shd w:val="clear" w:color="auto" w:fill="0B3C61"/>
          </w:tcPr>
          <w:p>
            <w:pPr>
              <w:ind w:left="240"/>
              <w:spacing w:after="0"/>
              <w:rPr>
                <w:sz w:val="20"/>
                <w:szCs w:val="20"/>
                <w:color w:val="auto"/>
              </w:rPr>
            </w:pPr>
            <w:r>
              <w:rPr>
                <w:rFonts w:ascii="Arial" w:cs="Arial" w:eastAsia="Arial" w:hAnsi="Arial"/>
                <w:sz w:val="14"/>
                <w:szCs w:val="14"/>
                <w:color w:val="FFFFFF"/>
              </w:rPr>
              <w:t>Principal Position</w:t>
            </w:r>
          </w:p>
        </w:tc>
        <w:tc>
          <w:tcPr>
            <w:tcW w:w="60" w:type="dxa"/>
            <w:vAlign w:val="bottom"/>
            <w:shd w:val="clear" w:color="auto" w:fill="0B3C61"/>
          </w:tcPr>
          <w:p>
            <w:pPr>
              <w:spacing w:after="0"/>
              <w:rPr>
                <w:sz w:val="23"/>
                <w:szCs w:val="23"/>
                <w:color w:val="auto"/>
              </w:rPr>
            </w:pPr>
          </w:p>
        </w:tc>
        <w:tc>
          <w:tcPr>
            <w:tcW w:w="880" w:type="dxa"/>
            <w:vAlign w:val="bottom"/>
            <w:shd w:val="clear" w:color="auto" w:fill="0B3C61"/>
          </w:tcPr>
          <w:p>
            <w:pPr>
              <w:ind w:left="300"/>
              <w:spacing w:after="0"/>
              <w:rPr>
                <w:sz w:val="20"/>
                <w:szCs w:val="20"/>
                <w:color w:val="auto"/>
              </w:rPr>
            </w:pPr>
            <w:r>
              <w:rPr>
                <w:rFonts w:ascii="Arial" w:cs="Arial" w:eastAsia="Arial" w:hAnsi="Arial"/>
                <w:sz w:val="14"/>
                <w:szCs w:val="14"/>
                <w:color w:val="FFFFFF"/>
              </w:rPr>
              <w:t>Year</w:t>
            </w:r>
          </w:p>
        </w:tc>
        <w:tc>
          <w:tcPr>
            <w:tcW w:w="1060" w:type="dxa"/>
            <w:vAlign w:val="bottom"/>
            <w:shd w:val="clear" w:color="auto" w:fill="0B3C61"/>
          </w:tcPr>
          <w:p>
            <w:pPr>
              <w:jc w:val="right"/>
              <w:ind w:right="268"/>
              <w:spacing w:after="0"/>
              <w:rPr>
                <w:sz w:val="20"/>
                <w:szCs w:val="20"/>
                <w:color w:val="auto"/>
              </w:rPr>
            </w:pPr>
            <w:r>
              <w:rPr>
                <w:rFonts w:ascii="Arial" w:cs="Arial" w:eastAsia="Arial" w:hAnsi="Arial"/>
                <w:sz w:val="14"/>
                <w:szCs w:val="14"/>
                <w:color w:val="FFFFFF"/>
              </w:rPr>
              <w:t>($)</w:t>
            </w:r>
            <w:r>
              <w:rPr>
                <w:rFonts w:ascii="Arial" w:cs="Arial" w:eastAsia="Arial" w:hAnsi="Arial"/>
                <w:sz w:val="23"/>
                <w:szCs w:val="23"/>
                <w:color w:val="FFFFFF"/>
                <w:vertAlign w:val="superscript"/>
              </w:rPr>
              <w:t>(1)</w:t>
            </w:r>
          </w:p>
        </w:tc>
        <w:tc>
          <w:tcPr>
            <w:tcW w:w="940" w:type="dxa"/>
            <w:vAlign w:val="bottom"/>
            <w:shd w:val="clear" w:color="auto" w:fill="0B3C61"/>
          </w:tcPr>
          <w:p>
            <w:pPr>
              <w:jc w:val="right"/>
              <w:ind w:right="208"/>
              <w:spacing w:after="0"/>
              <w:rPr>
                <w:sz w:val="20"/>
                <w:szCs w:val="20"/>
                <w:color w:val="auto"/>
              </w:rPr>
            </w:pPr>
            <w:r>
              <w:rPr>
                <w:rFonts w:ascii="Arial" w:cs="Arial" w:eastAsia="Arial" w:hAnsi="Arial"/>
                <w:sz w:val="14"/>
                <w:szCs w:val="14"/>
                <w:color w:val="FFFFFF"/>
              </w:rPr>
              <w:t>($)</w:t>
            </w:r>
            <w:r>
              <w:rPr>
                <w:rFonts w:ascii="Arial" w:cs="Arial" w:eastAsia="Arial" w:hAnsi="Arial"/>
                <w:sz w:val="23"/>
                <w:szCs w:val="23"/>
                <w:color w:val="FFFFFF"/>
                <w:vertAlign w:val="superscript"/>
              </w:rPr>
              <w:t>(2)</w:t>
            </w:r>
          </w:p>
        </w:tc>
        <w:tc>
          <w:tcPr>
            <w:tcW w:w="1100" w:type="dxa"/>
            <w:vAlign w:val="bottom"/>
            <w:shd w:val="clear" w:color="auto" w:fill="0B3C61"/>
          </w:tcPr>
          <w:p>
            <w:pPr>
              <w:jc w:val="right"/>
              <w:ind w:right="288"/>
              <w:spacing w:after="0"/>
              <w:rPr>
                <w:sz w:val="20"/>
                <w:szCs w:val="20"/>
                <w:color w:val="auto"/>
              </w:rPr>
            </w:pPr>
            <w:r>
              <w:rPr>
                <w:rFonts w:ascii="Arial" w:cs="Arial" w:eastAsia="Arial" w:hAnsi="Arial"/>
                <w:sz w:val="14"/>
                <w:szCs w:val="14"/>
                <w:color w:val="FFFFFF"/>
              </w:rPr>
              <w:t>($)</w:t>
            </w:r>
            <w:r>
              <w:rPr>
                <w:rFonts w:ascii="Arial" w:cs="Arial" w:eastAsia="Arial" w:hAnsi="Arial"/>
                <w:sz w:val="23"/>
                <w:szCs w:val="23"/>
                <w:color w:val="FFFFFF"/>
                <w:vertAlign w:val="superscript"/>
              </w:rPr>
              <w:t>(3)</w:t>
            </w:r>
          </w:p>
        </w:tc>
        <w:tc>
          <w:tcPr>
            <w:tcW w:w="1080" w:type="dxa"/>
            <w:vAlign w:val="bottom"/>
            <w:shd w:val="clear" w:color="auto" w:fill="0B3C61"/>
          </w:tcPr>
          <w:p>
            <w:pPr>
              <w:jc w:val="center"/>
              <w:spacing w:after="0"/>
              <w:rPr>
                <w:sz w:val="20"/>
                <w:szCs w:val="20"/>
                <w:color w:val="auto"/>
              </w:rPr>
            </w:pPr>
            <w:r>
              <w:rPr>
                <w:rFonts w:ascii="Arial" w:cs="Arial" w:eastAsia="Arial" w:hAnsi="Arial"/>
                <w:sz w:val="14"/>
                <w:szCs w:val="14"/>
                <w:color w:val="FFFFFF"/>
                <w:w w:val="89"/>
              </w:rPr>
              <w:t>($)</w:t>
            </w:r>
            <w:r>
              <w:rPr>
                <w:rFonts w:ascii="Arial" w:cs="Arial" w:eastAsia="Arial" w:hAnsi="Arial"/>
                <w:sz w:val="23"/>
                <w:szCs w:val="23"/>
                <w:color w:val="FFFFFF"/>
                <w:w w:val="89"/>
                <w:vertAlign w:val="superscript"/>
              </w:rPr>
              <w:t>(4)</w:t>
            </w:r>
          </w:p>
        </w:tc>
        <w:tc>
          <w:tcPr>
            <w:tcW w:w="1060" w:type="dxa"/>
            <w:vAlign w:val="bottom"/>
            <w:shd w:val="clear" w:color="auto" w:fill="0B3C61"/>
          </w:tcPr>
          <w:p>
            <w:pPr>
              <w:jc w:val="right"/>
              <w:ind w:right="448"/>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68"/>
        </w:trPr>
        <w:tc>
          <w:tcPr>
            <w:tcW w:w="3220" w:type="dxa"/>
            <w:vAlign w:val="bottom"/>
          </w:tcPr>
          <w:p>
            <w:pPr>
              <w:ind w:left="240"/>
              <w:spacing w:after="0"/>
              <w:rPr>
                <w:sz w:val="20"/>
                <w:szCs w:val="20"/>
                <w:color w:val="auto"/>
              </w:rPr>
            </w:pPr>
            <w:r>
              <w:rPr>
                <w:rFonts w:ascii="Arial" w:cs="Arial" w:eastAsia="Arial" w:hAnsi="Arial"/>
                <w:sz w:val="14"/>
                <w:szCs w:val="14"/>
                <w:b w:val="1"/>
                <w:bCs w:val="1"/>
                <w:color w:val="54565B"/>
              </w:rPr>
              <w:t>Carl H. Lindner III</w:t>
            </w:r>
          </w:p>
        </w:tc>
        <w:tc>
          <w:tcPr>
            <w:tcW w:w="940" w:type="dxa"/>
            <w:vAlign w:val="bottom"/>
            <w:gridSpan w:val="2"/>
          </w:tcPr>
          <w:p>
            <w:pPr>
              <w:ind w:left="340"/>
              <w:spacing w:after="0"/>
              <w:rPr>
                <w:sz w:val="20"/>
                <w:szCs w:val="20"/>
                <w:color w:val="auto"/>
              </w:rPr>
            </w:pPr>
            <w:r>
              <w:rPr>
                <w:rFonts w:ascii="Arial" w:cs="Arial" w:eastAsia="Arial" w:hAnsi="Arial"/>
                <w:sz w:val="14"/>
                <w:szCs w:val="14"/>
                <w:color w:val="54565B"/>
              </w:rPr>
              <w:t>2025</w:t>
            </w:r>
          </w:p>
        </w:tc>
        <w:tc>
          <w:tcPr>
            <w:tcW w:w="1060" w:type="dxa"/>
            <w:vAlign w:val="bottom"/>
          </w:tcPr>
          <w:p>
            <w:pPr>
              <w:jc w:val="right"/>
              <w:ind w:right="108"/>
              <w:spacing w:after="0"/>
              <w:rPr>
                <w:sz w:val="20"/>
                <w:szCs w:val="20"/>
                <w:color w:val="auto"/>
              </w:rPr>
            </w:pPr>
            <w:r>
              <w:rPr>
                <w:rFonts w:ascii="Arial" w:cs="Arial" w:eastAsia="Arial" w:hAnsi="Arial"/>
                <w:sz w:val="14"/>
                <w:szCs w:val="14"/>
                <w:color w:val="54565B"/>
              </w:rPr>
              <w:t>1,250,000</w:t>
            </w:r>
          </w:p>
        </w:tc>
        <w:tc>
          <w:tcPr>
            <w:tcW w:w="940" w:type="dxa"/>
            <w:vAlign w:val="bottom"/>
          </w:tcPr>
          <w:p>
            <w:pPr>
              <w:jc w:val="right"/>
              <w:ind w:right="48"/>
              <w:spacing w:after="0"/>
              <w:rPr>
                <w:sz w:val="20"/>
                <w:szCs w:val="20"/>
                <w:color w:val="auto"/>
              </w:rPr>
            </w:pPr>
            <w:r>
              <w:rPr>
                <w:rFonts w:ascii="Arial" w:cs="Arial" w:eastAsia="Arial" w:hAnsi="Arial"/>
                <w:sz w:val="14"/>
                <w:szCs w:val="14"/>
                <w:color w:val="54565B"/>
              </w:rPr>
              <w:t>1,500,009​</w:t>
            </w:r>
          </w:p>
        </w:tc>
        <w:tc>
          <w:tcPr>
            <w:tcW w:w="1100" w:type="dxa"/>
            <w:vAlign w:val="bottom"/>
          </w:tcPr>
          <w:p>
            <w:pPr>
              <w:jc w:val="right"/>
              <w:ind w:right="128"/>
              <w:spacing w:after="0"/>
              <w:rPr>
                <w:sz w:val="20"/>
                <w:szCs w:val="20"/>
                <w:color w:val="auto"/>
              </w:rPr>
            </w:pPr>
            <w:r>
              <w:rPr>
                <w:rFonts w:ascii="Arial" w:cs="Arial" w:eastAsia="Arial" w:hAnsi="Arial"/>
                <w:sz w:val="14"/>
                <w:szCs w:val="14"/>
                <w:color w:val="54565B"/>
              </w:rPr>
              <w:t>6,454,770</w:t>
            </w:r>
          </w:p>
        </w:tc>
        <w:tc>
          <w:tcPr>
            <w:tcW w:w="1080" w:type="dxa"/>
            <w:vAlign w:val="bottom"/>
          </w:tcPr>
          <w:p>
            <w:pPr>
              <w:jc w:val="right"/>
              <w:ind w:right="168"/>
              <w:spacing w:after="0"/>
              <w:rPr>
                <w:sz w:val="20"/>
                <w:szCs w:val="20"/>
                <w:color w:val="auto"/>
              </w:rPr>
            </w:pPr>
            <w:r>
              <w:rPr>
                <w:rFonts w:ascii="Arial" w:cs="Arial" w:eastAsia="Arial" w:hAnsi="Arial"/>
                <w:sz w:val="14"/>
                <w:szCs w:val="14"/>
                <w:color w:val="54565B"/>
              </w:rPr>
              <w:t>1,837,764​</w:t>
            </w:r>
          </w:p>
        </w:tc>
        <w:tc>
          <w:tcPr>
            <w:tcW w:w="1060" w:type="dxa"/>
            <w:vAlign w:val="bottom"/>
          </w:tcPr>
          <w:p>
            <w:pPr>
              <w:jc w:val="right"/>
              <w:ind w:right="188"/>
              <w:spacing w:after="0"/>
              <w:rPr>
                <w:sz w:val="20"/>
                <w:szCs w:val="20"/>
                <w:color w:val="auto"/>
              </w:rPr>
            </w:pPr>
            <w:r>
              <w:rPr>
                <w:rFonts w:ascii="Arial" w:cs="Arial" w:eastAsia="Arial" w:hAnsi="Arial"/>
                <w:sz w:val="14"/>
                <w:szCs w:val="14"/>
                <w:color w:val="54565B"/>
              </w:rPr>
              <w:t>11,042,543​</w:t>
            </w:r>
          </w:p>
        </w:tc>
        <w:tc>
          <w:tcPr>
            <w:tcW w:w="0" w:type="dxa"/>
            <w:vAlign w:val="bottom"/>
          </w:tcPr>
          <w:p>
            <w:pPr>
              <w:spacing w:after="0"/>
              <w:rPr>
                <w:sz w:val="1"/>
                <w:szCs w:val="1"/>
                <w:color w:val="auto"/>
              </w:rPr>
            </w:pPr>
          </w:p>
        </w:tc>
      </w:tr>
      <w:tr>
        <w:trPr>
          <w:trHeight w:val="209"/>
        </w:trPr>
        <w:tc>
          <w:tcPr>
            <w:tcW w:w="3220" w:type="dxa"/>
            <w:vAlign w:val="bottom"/>
          </w:tcPr>
          <w:p>
            <w:pPr>
              <w:ind w:left="240"/>
              <w:spacing w:after="0"/>
              <w:rPr>
                <w:sz w:val="20"/>
                <w:szCs w:val="20"/>
                <w:color w:val="auto"/>
              </w:rPr>
            </w:pPr>
            <w:r>
              <w:rPr>
                <w:rFonts w:ascii="Arial" w:cs="Arial" w:eastAsia="Arial" w:hAnsi="Arial"/>
                <w:sz w:val="14"/>
                <w:szCs w:val="14"/>
                <w:color w:val="54565B"/>
              </w:rPr>
              <w:t>Co-Chief Executive Officer</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20" w:type="dxa"/>
            <w:vAlign w:val="bottom"/>
          </w:tcPr>
          <w:p>
            <w:pPr>
              <w:ind w:left="240"/>
              <w:spacing w:after="0"/>
              <w:rPr>
                <w:sz w:val="20"/>
                <w:szCs w:val="20"/>
                <w:color w:val="auto"/>
              </w:rPr>
            </w:pPr>
            <w:r>
              <w:rPr>
                <w:rFonts w:ascii="Arial" w:cs="Arial" w:eastAsia="Arial" w:hAnsi="Arial"/>
                <w:sz w:val="14"/>
                <w:szCs w:val="14"/>
                <w:color w:val="54565B"/>
              </w:rPr>
              <w:t>(Co-Principal Executive Officer)</w:t>
            </w:r>
          </w:p>
        </w:tc>
        <w:tc>
          <w:tcPr>
            <w:tcW w:w="940" w:type="dxa"/>
            <w:vAlign w:val="bottom"/>
            <w:gridSpan w:val="2"/>
          </w:tcPr>
          <w:p>
            <w:pPr>
              <w:ind w:left="340"/>
              <w:spacing w:after="0"/>
              <w:rPr>
                <w:sz w:val="20"/>
                <w:szCs w:val="20"/>
                <w:color w:val="auto"/>
              </w:rPr>
            </w:pPr>
            <w:r>
              <w:rPr>
                <w:rFonts w:ascii="Arial" w:cs="Arial" w:eastAsia="Arial" w:hAnsi="Arial"/>
                <w:sz w:val="14"/>
                <w:szCs w:val="14"/>
                <w:color w:val="54565B"/>
              </w:rPr>
              <w:t>2024</w:t>
            </w:r>
          </w:p>
        </w:tc>
        <w:tc>
          <w:tcPr>
            <w:tcW w:w="1060" w:type="dxa"/>
            <w:vAlign w:val="bottom"/>
          </w:tcPr>
          <w:p>
            <w:pPr>
              <w:jc w:val="right"/>
              <w:ind w:right="108"/>
              <w:spacing w:after="0"/>
              <w:rPr>
                <w:sz w:val="20"/>
                <w:szCs w:val="20"/>
                <w:color w:val="auto"/>
              </w:rPr>
            </w:pPr>
            <w:r>
              <w:rPr>
                <w:rFonts w:ascii="Arial" w:cs="Arial" w:eastAsia="Arial" w:hAnsi="Arial"/>
                <w:sz w:val="14"/>
                <w:szCs w:val="14"/>
                <w:color w:val="54565B"/>
              </w:rPr>
              <w:t>1,250,000</w:t>
            </w:r>
          </w:p>
        </w:tc>
        <w:tc>
          <w:tcPr>
            <w:tcW w:w="940" w:type="dxa"/>
            <w:vAlign w:val="bottom"/>
          </w:tcPr>
          <w:p>
            <w:pPr>
              <w:jc w:val="right"/>
              <w:ind w:right="48"/>
              <w:spacing w:after="0"/>
              <w:rPr>
                <w:sz w:val="20"/>
                <w:szCs w:val="20"/>
                <w:color w:val="auto"/>
              </w:rPr>
            </w:pPr>
            <w:r>
              <w:rPr>
                <w:rFonts w:ascii="Arial" w:cs="Arial" w:eastAsia="Arial" w:hAnsi="Arial"/>
                <w:sz w:val="14"/>
                <w:szCs w:val="14"/>
                <w:color w:val="54565B"/>
              </w:rPr>
              <w:t>1,500,013</w:t>
            </w:r>
          </w:p>
        </w:tc>
        <w:tc>
          <w:tcPr>
            <w:tcW w:w="1100" w:type="dxa"/>
            <w:vAlign w:val="bottom"/>
          </w:tcPr>
          <w:p>
            <w:pPr>
              <w:jc w:val="right"/>
              <w:ind w:right="128"/>
              <w:spacing w:after="0"/>
              <w:rPr>
                <w:sz w:val="20"/>
                <w:szCs w:val="20"/>
                <w:color w:val="auto"/>
              </w:rPr>
            </w:pPr>
            <w:r>
              <w:rPr>
                <w:rFonts w:ascii="Arial" w:cs="Arial" w:eastAsia="Arial" w:hAnsi="Arial"/>
                <w:sz w:val="14"/>
                <w:szCs w:val="14"/>
                <w:color w:val="54565B"/>
              </w:rPr>
              <w:t>7,057,180</w:t>
            </w:r>
          </w:p>
        </w:tc>
        <w:tc>
          <w:tcPr>
            <w:tcW w:w="1080" w:type="dxa"/>
            <w:vAlign w:val="bottom"/>
          </w:tcPr>
          <w:p>
            <w:pPr>
              <w:jc w:val="right"/>
              <w:ind w:right="168"/>
              <w:spacing w:after="0"/>
              <w:rPr>
                <w:sz w:val="20"/>
                <w:szCs w:val="20"/>
                <w:color w:val="auto"/>
              </w:rPr>
            </w:pPr>
            <w:r>
              <w:rPr>
                <w:rFonts w:ascii="Arial" w:cs="Arial" w:eastAsia="Arial" w:hAnsi="Arial"/>
                <w:sz w:val="14"/>
                <w:szCs w:val="14"/>
                <w:color w:val="54565B"/>
              </w:rPr>
              <w:t>1,762,836</w:t>
            </w:r>
          </w:p>
        </w:tc>
        <w:tc>
          <w:tcPr>
            <w:tcW w:w="1060" w:type="dxa"/>
            <w:vAlign w:val="bottom"/>
          </w:tcPr>
          <w:p>
            <w:pPr>
              <w:jc w:val="right"/>
              <w:ind w:right="188"/>
              <w:spacing w:after="0"/>
              <w:rPr>
                <w:sz w:val="20"/>
                <w:szCs w:val="20"/>
                <w:color w:val="auto"/>
              </w:rPr>
            </w:pPr>
            <w:r>
              <w:rPr>
                <w:rFonts w:ascii="Arial" w:cs="Arial" w:eastAsia="Arial" w:hAnsi="Arial"/>
                <w:sz w:val="14"/>
                <w:szCs w:val="14"/>
                <w:color w:val="54565B"/>
              </w:rPr>
              <w:t>11,570,029</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940" w:type="dxa"/>
            <w:vAlign w:val="bottom"/>
            <w:gridSpan w:val="2"/>
          </w:tcPr>
          <w:p>
            <w:pPr>
              <w:ind w:left="340"/>
              <w:spacing w:after="0"/>
              <w:rPr>
                <w:sz w:val="20"/>
                <w:szCs w:val="20"/>
                <w:color w:val="auto"/>
              </w:rPr>
            </w:pPr>
            <w:r>
              <w:rPr>
                <w:rFonts w:ascii="Arial" w:cs="Arial" w:eastAsia="Arial" w:hAnsi="Arial"/>
                <w:sz w:val="14"/>
                <w:szCs w:val="14"/>
                <w:color w:val="54565B"/>
              </w:rPr>
              <w:t>2023</w:t>
            </w:r>
          </w:p>
        </w:tc>
        <w:tc>
          <w:tcPr>
            <w:tcW w:w="1060" w:type="dxa"/>
            <w:vAlign w:val="bottom"/>
          </w:tcPr>
          <w:p>
            <w:pPr>
              <w:jc w:val="right"/>
              <w:ind w:right="108"/>
              <w:spacing w:after="0"/>
              <w:rPr>
                <w:sz w:val="20"/>
                <w:szCs w:val="20"/>
                <w:color w:val="auto"/>
              </w:rPr>
            </w:pPr>
            <w:r>
              <w:rPr>
                <w:rFonts w:ascii="Arial" w:cs="Arial" w:eastAsia="Arial" w:hAnsi="Arial"/>
                <w:sz w:val="14"/>
                <w:szCs w:val="14"/>
                <w:color w:val="54565B"/>
              </w:rPr>
              <w:t>1,250,000</w:t>
            </w:r>
          </w:p>
        </w:tc>
        <w:tc>
          <w:tcPr>
            <w:tcW w:w="940" w:type="dxa"/>
            <w:vAlign w:val="bottom"/>
          </w:tcPr>
          <w:p>
            <w:pPr>
              <w:jc w:val="right"/>
              <w:ind w:right="48"/>
              <w:spacing w:after="0"/>
              <w:rPr>
                <w:sz w:val="20"/>
                <w:szCs w:val="20"/>
                <w:color w:val="auto"/>
              </w:rPr>
            </w:pPr>
            <w:r>
              <w:rPr>
                <w:rFonts w:ascii="Arial" w:cs="Arial" w:eastAsia="Arial" w:hAnsi="Arial"/>
                <w:sz w:val="14"/>
                <w:szCs w:val="14"/>
                <w:color w:val="54565B"/>
              </w:rPr>
              <w:t>1,500,054</w:t>
            </w:r>
          </w:p>
        </w:tc>
        <w:tc>
          <w:tcPr>
            <w:tcW w:w="1100" w:type="dxa"/>
            <w:vAlign w:val="bottom"/>
          </w:tcPr>
          <w:p>
            <w:pPr>
              <w:jc w:val="right"/>
              <w:ind w:right="128"/>
              <w:spacing w:after="0"/>
              <w:rPr>
                <w:sz w:val="20"/>
                <w:szCs w:val="20"/>
                <w:color w:val="auto"/>
              </w:rPr>
            </w:pPr>
            <w:r>
              <w:rPr>
                <w:rFonts w:ascii="Arial" w:cs="Arial" w:eastAsia="Arial" w:hAnsi="Arial"/>
                <w:sz w:val="14"/>
                <w:szCs w:val="14"/>
                <w:color w:val="54565B"/>
              </w:rPr>
              <w:t>5,308,570</w:t>
            </w:r>
          </w:p>
        </w:tc>
        <w:tc>
          <w:tcPr>
            <w:tcW w:w="1080" w:type="dxa"/>
            <w:vAlign w:val="bottom"/>
          </w:tcPr>
          <w:p>
            <w:pPr>
              <w:jc w:val="right"/>
              <w:ind w:right="168"/>
              <w:spacing w:after="0"/>
              <w:rPr>
                <w:sz w:val="20"/>
                <w:szCs w:val="20"/>
                <w:color w:val="auto"/>
              </w:rPr>
            </w:pPr>
            <w:r>
              <w:rPr>
                <w:rFonts w:ascii="Arial" w:cs="Arial" w:eastAsia="Arial" w:hAnsi="Arial"/>
                <w:sz w:val="14"/>
                <w:szCs w:val="14"/>
                <w:color w:val="54565B"/>
              </w:rPr>
              <w:t>1,785,524</w:t>
            </w:r>
          </w:p>
        </w:tc>
        <w:tc>
          <w:tcPr>
            <w:tcW w:w="1060" w:type="dxa"/>
            <w:vAlign w:val="bottom"/>
          </w:tcPr>
          <w:p>
            <w:pPr>
              <w:jc w:val="right"/>
              <w:ind w:right="188"/>
              <w:spacing w:after="0"/>
              <w:rPr>
                <w:sz w:val="20"/>
                <w:szCs w:val="20"/>
                <w:color w:val="auto"/>
              </w:rPr>
            </w:pPr>
            <w:r>
              <w:rPr>
                <w:rFonts w:ascii="Arial" w:cs="Arial" w:eastAsia="Arial" w:hAnsi="Arial"/>
                <w:sz w:val="14"/>
                <w:szCs w:val="14"/>
                <w:color w:val="54565B"/>
              </w:rPr>
              <w:t>9,844,148</w:t>
            </w:r>
          </w:p>
        </w:tc>
        <w:tc>
          <w:tcPr>
            <w:tcW w:w="0" w:type="dxa"/>
            <w:vAlign w:val="bottom"/>
          </w:tcPr>
          <w:p>
            <w:pPr>
              <w:spacing w:after="0"/>
              <w:rPr>
                <w:sz w:val="1"/>
                <w:szCs w:val="1"/>
                <w:color w:val="auto"/>
              </w:rPr>
            </w:pPr>
          </w:p>
        </w:tc>
      </w:tr>
      <w:tr>
        <w:trPr>
          <w:trHeight w:val="116"/>
        </w:trPr>
        <w:tc>
          <w:tcPr>
            <w:tcW w:w="3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3220" w:type="dxa"/>
            <w:vAlign w:val="bottom"/>
            <w:shd w:val="clear" w:color="auto" w:fill="EAF7FA"/>
          </w:tcPr>
          <w:p>
            <w:pPr>
              <w:ind w:left="240"/>
              <w:spacing w:after="0"/>
              <w:rPr>
                <w:sz w:val="20"/>
                <w:szCs w:val="20"/>
                <w:color w:val="auto"/>
              </w:rPr>
            </w:pPr>
            <w:r>
              <w:rPr>
                <w:rFonts w:ascii="Arial" w:cs="Arial" w:eastAsia="Arial" w:hAnsi="Arial"/>
                <w:sz w:val="14"/>
                <w:szCs w:val="14"/>
                <w:b w:val="1"/>
                <w:bCs w:val="1"/>
                <w:color w:val="54565B"/>
              </w:rPr>
              <w:t>S. Craig Lindner</w:t>
            </w:r>
          </w:p>
        </w:tc>
        <w:tc>
          <w:tcPr>
            <w:tcW w:w="60" w:type="dxa"/>
            <w:vAlign w:val="bottom"/>
            <w:shd w:val="clear" w:color="auto" w:fill="EAF7FA"/>
          </w:tcPr>
          <w:p>
            <w:pPr>
              <w:spacing w:after="0"/>
              <w:rPr>
                <w:sz w:val="24"/>
                <w:szCs w:val="24"/>
                <w:color w:val="auto"/>
              </w:rPr>
            </w:pPr>
          </w:p>
        </w:tc>
        <w:tc>
          <w:tcPr>
            <w:tcW w:w="880" w:type="dxa"/>
            <w:vAlign w:val="bottom"/>
            <w:shd w:val="clear" w:color="auto" w:fill="EAF7FA"/>
          </w:tcPr>
          <w:p>
            <w:pPr>
              <w:ind w:left="280"/>
              <w:spacing w:after="0"/>
              <w:rPr>
                <w:sz w:val="20"/>
                <w:szCs w:val="20"/>
                <w:color w:val="auto"/>
              </w:rPr>
            </w:pPr>
            <w:r>
              <w:rPr>
                <w:rFonts w:ascii="Arial" w:cs="Arial" w:eastAsia="Arial" w:hAnsi="Arial"/>
                <w:sz w:val="14"/>
                <w:szCs w:val="14"/>
                <w:color w:val="54565B"/>
              </w:rPr>
              <w:t>2025</w:t>
            </w:r>
          </w:p>
        </w:tc>
        <w:tc>
          <w:tcPr>
            <w:tcW w:w="1060" w:type="dxa"/>
            <w:vAlign w:val="bottom"/>
            <w:shd w:val="clear" w:color="auto" w:fill="EAF7FA"/>
          </w:tcPr>
          <w:p>
            <w:pPr>
              <w:jc w:val="right"/>
              <w:ind w:right="108"/>
              <w:spacing w:after="0"/>
              <w:rPr>
                <w:sz w:val="20"/>
                <w:szCs w:val="20"/>
                <w:color w:val="auto"/>
              </w:rPr>
            </w:pPr>
            <w:r>
              <w:rPr>
                <w:rFonts w:ascii="Arial" w:cs="Arial" w:eastAsia="Arial" w:hAnsi="Arial"/>
                <w:sz w:val="14"/>
                <w:szCs w:val="14"/>
                <w:color w:val="54565B"/>
              </w:rPr>
              <w:t>1,250,000</w:t>
            </w:r>
          </w:p>
        </w:tc>
        <w:tc>
          <w:tcPr>
            <w:tcW w:w="940" w:type="dxa"/>
            <w:vAlign w:val="bottom"/>
            <w:shd w:val="clear" w:color="auto" w:fill="EAF7FA"/>
          </w:tcPr>
          <w:p>
            <w:pPr>
              <w:jc w:val="right"/>
              <w:ind w:right="48"/>
              <w:spacing w:after="0"/>
              <w:rPr>
                <w:sz w:val="20"/>
                <w:szCs w:val="20"/>
                <w:color w:val="auto"/>
              </w:rPr>
            </w:pPr>
            <w:r>
              <w:rPr>
                <w:rFonts w:ascii="Arial" w:cs="Arial" w:eastAsia="Arial" w:hAnsi="Arial"/>
                <w:sz w:val="14"/>
                <w:szCs w:val="14"/>
                <w:color w:val="54565B"/>
              </w:rPr>
              <w:t>1,500,009​</w:t>
            </w:r>
          </w:p>
        </w:tc>
        <w:tc>
          <w:tcPr>
            <w:tcW w:w="1100" w:type="dxa"/>
            <w:vAlign w:val="bottom"/>
            <w:shd w:val="clear" w:color="auto" w:fill="EAF7FA"/>
          </w:tcPr>
          <w:p>
            <w:pPr>
              <w:jc w:val="right"/>
              <w:ind w:right="128"/>
              <w:spacing w:after="0"/>
              <w:rPr>
                <w:sz w:val="20"/>
                <w:szCs w:val="20"/>
                <w:color w:val="auto"/>
              </w:rPr>
            </w:pPr>
            <w:r>
              <w:rPr>
                <w:rFonts w:ascii="Arial" w:cs="Arial" w:eastAsia="Arial" w:hAnsi="Arial"/>
                <w:sz w:val="14"/>
                <w:szCs w:val="14"/>
                <w:color w:val="54565B"/>
              </w:rPr>
              <w:t>6,454,770</w:t>
            </w:r>
          </w:p>
        </w:tc>
        <w:tc>
          <w:tcPr>
            <w:tcW w:w="1080" w:type="dxa"/>
            <w:vAlign w:val="bottom"/>
            <w:shd w:val="clear" w:color="auto" w:fill="EAF7FA"/>
          </w:tcPr>
          <w:p>
            <w:pPr>
              <w:jc w:val="right"/>
              <w:ind w:right="168"/>
              <w:spacing w:after="0"/>
              <w:rPr>
                <w:sz w:val="20"/>
                <w:szCs w:val="20"/>
                <w:color w:val="auto"/>
              </w:rPr>
            </w:pPr>
            <w:r>
              <w:rPr>
                <w:rFonts w:ascii="Arial" w:cs="Arial" w:eastAsia="Arial" w:hAnsi="Arial"/>
                <w:sz w:val="14"/>
                <w:szCs w:val="14"/>
                <w:color w:val="54565B"/>
              </w:rPr>
              <w:t>1,943,517​</w:t>
            </w:r>
          </w:p>
        </w:tc>
        <w:tc>
          <w:tcPr>
            <w:tcW w:w="1060" w:type="dxa"/>
            <w:vAlign w:val="bottom"/>
            <w:shd w:val="clear" w:color="auto" w:fill="EAF7FA"/>
          </w:tcPr>
          <w:p>
            <w:pPr>
              <w:jc w:val="right"/>
              <w:ind w:right="188"/>
              <w:spacing w:after="0"/>
              <w:rPr>
                <w:sz w:val="20"/>
                <w:szCs w:val="20"/>
                <w:color w:val="auto"/>
              </w:rPr>
            </w:pPr>
            <w:r>
              <w:rPr>
                <w:rFonts w:ascii="Arial" w:cs="Arial" w:eastAsia="Arial" w:hAnsi="Arial"/>
                <w:sz w:val="14"/>
                <w:szCs w:val="14"/>
                <w:color w:val="54565B"/>
              </w:rPr>
              <w:t>11,148,296​</w:t>
            </w:r>
          </w:p>
        </w:tc>
        <w:tc>
          <w:tcPr>
            <w:tcW w:w="0" w:type="dxa"/>
            <w:vAlign w:val="bottom"/>
          </w:tcPr>
          <w:p>
            <w:pPr>
              <w:spacing w:after="0"/>
              <w:rPr>
                <w:sz w:val="1"/>
                <w:szCs w:val="1"/>
                <w:color w:val="auto"/>
              </w:rPr>
            </w:pPr>
          </w:p>
        </w:tc>
      </w:tr>
      <w:tr>
        <w:trPr>
          <w:trHeight w:val="195"/>
        </w:trPr>
        <w:tc>
          <w:tcPr>
            <w:tcW w:w="3220" w:type="dxa"/>
            <w:vAlign w:val="bottom"/>
            <w:shd w:val="clear" w:color="auto" w:fill="EAF7FA"/>
          </w:tcPr>
          <w:p>
            <w:pPr>
              <w:ind w:left="240"/>
              <w:spacing w:after="0"/>
              <w:rPr>
                <w:sz w:val="20"/>
                <w:szCs w:val="20"/>
                <w:color w:val="auto"/>
              </w:rPr>
            </w:pPr>
            <w:r>
              <w:rPr>
                <w:rFonts w:ascii="Arial" w:cs="Arial" w:eastAsia="Arial" w:hAnsi="Arial"/>
                <w:sz w:val="14"/>
                <w:szCs w:val="14"/>
                <w:color w:val="54565B"/>
              </w:rPr>
              <w:t>Co-Chief Executive Officer</w:t>
            </w:r>
          </w:p>
        </w:tc>
        <w:tc>
          <w:tcPr>
            <w:tcW w:w="60" w:type="dxa"/>
            <w:vAlign w:val="bottom"/>
            <w:shd w:val="clear" w:color="auto" w:fill="EAF7FA"/>
          </w:tcPr>
          <w:p>
            <w:pPr>
              <w:spacing w:after="0"/>
              <w:rPr>
                <w:sz w:val="16"/>
                <w:szCs w:val="16"/>
                <w:color w:val="auto"/>
              </w:rPr>
            </w:pPr>
          </w:p>
        </w:tc>
        <w:tc>
          <w:tcPr>
            <w:tcW w:w="880" w:type="dxa"/>
            <w:vAlign w:val="bottom"/>
            <w:shd w:val="clear" w:color="auto" w:fill="EAF7FA"/>
          </w:tcPr>
          <w:p>
            <w:pPr>
              <w:spacing w:after="0"/>
              <w:rPr>
                <w:sz w:val="16"/>
                <w:szCs w:val="16"/>
                <w:color w:val="auto"/>
              </w:rPr>
            </w:pPr>
          </w:p>
        </w:tc>
        <w:tc>
          <w:tcPr>
            <w:tcW w:w="1060" w:type="dxa"/>
            <w:vAlign w:val="bottom"/>
            <w:shd w:val="clear" w:color="auto" w:fill="EAF7FA"/>
          </w:tcPr>
          <w:p>
            <w:pPr>
              <w:spacing w:after="0"/>
              <w:rPr>
                <w:sz w:val="16"/>
                <w:szCs w:val="16"/>
                <w:color w:val="auto"/>
              </w:rPr>
            </w:pPr>
          </w:p>
        </w:tc>
        <w:tc>
          <w:tcPr>
            <w:tcW w:w="940" w:type="dxa"/>
            <w:vAlign w:val="bottom"/>
            <w:shd w:val="clear" w:color="auto" w:fill="EAF7FA"/>
          </w:tcPr>
          <w:p>
            <w:pPr>
              <w:spacing w:after="0"/>
              <w:rPr>
                <w:sz w:val="16"/>
                <w:szCs w:val="16"/>
                <w:color w:val="auto"/>
              </w:rPr>
            </w:pPr>
          </w:p>
        </w:tc>
        <w:tc>
          <w:tcPr>
            <w:tcW w:w="1100" w:type="dxa"/>
            <w:vAlign w:val="bottom"/>
            <w:shd w:val="clear" w:color="auto" w:fill="EAF7FA"/>
          </w:tcPr>
          <w:p>
            <w:pPr>
              <w:spacing w:after="0"/>
              <w:rPr>
                <w:sz w:val="16"/>
                <w:szCs w:val="16"/>
                <w:color w:val="auto"/>
              </w:rPr>
            </w:pPr>
          </w:p>
        </w:tc>
        <w:tc>
          <w:tcPr>
            <w:tcW w:w="1080" w:type="dxa"/>
            <w:vAlign w:val="bottom"/>
            <w:shd w:val="clear" w:color="auto" w:fill="EAF7FA"/>
          </w:tcPr>
          <w:p>
            <w:pPr>
              <w:spacing w:after="0"/>
              <w:rPr>
                <w:sz w:val="16"/>
                <w:szCs w:val="16"/>
                <w:color w:val="auto"/>
              </w:rPr>
            </w:pPr>
          </w:p>
        </w:tc>
        <w:tc>
          <w:tcPr>
            <w:tcW w:w="1060" w:type="dxa"/>
            <w:vAlign w:val="bottom"/>
            <w:shd w:val="clear" w:color="auto" w:fill="EAF7FA"/>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20" w:type="dxa"/>
            <w:vAlign w:val="bottom"/>
            <w:shd w:val="clear" w:color="auto" w:fill="EAF7FA"/>
          </w:tcPr>
          <w:p>
            <w:pPr>
              <w:ind w:left="240"/>
              <w:spacing w:after="0"/>
              <w:rPr>
                <w:sz w:val="20"/>
                <w:szCs w:val="20"/>
                <w:color w:val="auto"/>
              </w:rPr>
            </w:pPr>
            <w:r>
              <w:rPr>
                <w:rFonts w:ascii="Arial" w:cs="Arial" w:eastAsia="Arial" w:hAnsi="Arial"/>
                <w:sz w:val="14"/>
                <w:szCs w:val="14"/>
                <w:color w:val="54565B"/>
              </w:rPr>
              <w:t>(Co-Principal Executive Officer)</w:t>
            </w:r>
          </w:p>
        </w:tc>
        <w:tc>
          <w:tcPr>
            <w:tcW w:w="60" w:type="dxa"/>
            <w:vAlign w:val="bottom"/>
            <w:shd w:val="clear" w:color="auto" w:fill="EAF7FA"/>
          </w:tcPr>
          <w:p>
            <w:pPr>
              <w:spacing w:after="0"/>
              <w:rPr>
                <w:sz w:val="18"/>
                <w:szCs w:val="18"/>
                <w:color w:val="auto"/>
              </w:rPr>
            </w:pPr>
          </w:p>
        </w:tc>
        <w:tc>
          <w:tcPr>
            <w:tcW w:w="880" w:type="dxa"/>
            <w:vAlign w:val="bottom"/>
            <w:shd w:val="clear" w:color="auto" w:fill="EAF7FA"/>
          </w:tcPr>
          <w:p>
            <w:pPr>
              <w:ind w:left="280"/>
              <w:spacing w:after="0"/>
              <w:rPr>
                <w:sz w:val="20"/>
                <w:szCs w:val="20"/>
                <w:color w:val="auto"/>
              </w:rPr>
            </w:pPr>
            <w:r>
              <w:rPr>
                <w:rFonts w:ascii="Arial" w:cs="Arial" w:eastAsia="Arial" w:hAnsi="Arial"/>
                <w:sz w:val="14"/>
                <w:szCs w:val="14"/>
                <w:color w:val="54565B"/>
              </w:rPr>
              <w:t>2024</w:t>
            </w:r>
          </w:p>
        </w:tc>
        <w:tc>
          <w:tcPr>
            <w:tcW w:w="1060" w:type="dxa"/>
            <w:vAlign w:val="bottom"/>
            <w:shd w:val="clear" w:color="auto" w:fill="EAF7FA"/>
          </w:tcPr>
          <w:p>
            <w:pPr>
              <w:jc w:val="right"/>
              <w:ind w:right="108"/>
              <w:spacing w:after="0"/>
              <w:rPr>
                <w:sz w:val="20"/>
                <w:szCs w:val="20"/>
                <w:color w:val="auto"/>
              </w:rPr>
            </w:pPr>
            <w:r>
              <w:rPr>
                <w:rFonts w:ascii="Arial" w:cs="Arial" w:eastAsia="Arial" w:hAnsi="Arial"/>
                <w:sz w:val="14"/>
                <w:szCs w:val="14"/>
                <w:color w:val="54565B"/>
              </w:rPr>
              <w:t>1,250,000</w:t>
            </w:r>
          </w:p>
        </w:tc>
        <w:tc>
          <w:tcPr>
            <w:tcW w:w="940" w:type="dxa"/>
            <w:vAlign w:val="bottom"/>
            <w:shd w:val="clear" w:color="auto" w:fill="EAF7FA"/>
          </w:tcPr>
          <w:p>
            <w:pPr>
              <w:jc w:val="right"/>
              <w:ind w:right="48"/>
              <w:spacing w:after="0"/>
              <w:rPr>
                <w:sz w:val="20"/>
                <w:szCs w:val="20"/>
                <w:color w:val="auto"/>
              </w:rPr>
            </w:pPr>
            <w:r>
              <w:rPr>
                <w:rFonts w:ascii="Arial" w:cs="Arial" w:eastAsia="Arial" w:hAnsi="Arial"/>
                <w:sz w:val="14"/>
                <w:szCs w:val="14"/>
                <w:color w:val="54565B"/>
              </w:rPr>
              <w:t>1,500,013</w:t>
            </w:r>
          </w:p>
        </w:tc>
        <w:tc>
          <w:tcPr>
            <w:tcW w:w="1100" w:type="dxa"/>
            <w:vAlign w:val="bottom"/>
            <w:shd w:val="clear" w:color="auto" w:fill="EAF7FA"/>
          </w:tcPr>
          <w:p>
            <w:pPr>
              <w:jc w:val="right"/>
              <w:ind w:right="128"/>
              <w:spacing w:after="0"/>
              <w:rPr>
                <w:sz w:val="20"/>
                <w:szCs w:val="20"/>
                <w:color w:val="auto"/>
              </w:rPr>
            </w:pPr>
            <w:r>
              <w:rPr>
                <w:rFonts w:ascii="Arial" w:cs="Arial" w:eastAsia="Arial" w:hAnsi="Arial"/>
                <w:sz w:val="14"/>
                <w:szCs w:val="14"/>
                <w:color w:val="54565B"/>
              </w:rPr>
              <w:t>7,057,180</w:t>
            </w:r>
          </w:p>
        </w:tc>
        <w:tc>
          <w:tcPr>
            <w:tcW w:w="1080" w:type="dxa"/>
            <w:vAlign w:val="bottom"/>
            <w:shd w:val="clear" w:color="auto" w:fill="EAF7FA"/>
          </w:tcPr>
          <w:p>
            <w:pPr>
              <w:jc w:val="right"/>
              <w:ind w:right="168"/>
              <w:spacing w:after="0"/>
              <w:rPr>
                <w:sz w:val="20"/>
                <w:szCs w:val="20"/>
                <w:color w:val="auto"/>
              </w:rPr>
            </w:pPr>
            <w:r>
              <w:rPr>
                <w:rFonts w:ascii="Arial" w:cs="Arial" w:eastAsia="Arial" w:hAnsi="Arial"/>
                <w:sz w:val="14"/>
                <w:szCs w:val="14"/>
                <w:color w:val="54565B"/>
              </w:rPr>
              <w:t>1,738,584</w:t>
            </w:r>
          </w:p>
        </w:tc>
        <w:tc>
          <w:tcPr>
            <w:tcW w:w="1060" w:type="dxa"/>
            <w:vAlign w:val="bottom"/>
            <w:shd w:val="clear" w:color="auto" w:fill="EAF7FA"/>
          </w:tcPr>
          <w:p>
            <w:pPr>
              <w:jc w:val="right"/>
              <w:ind w:right="188"/>
              <w:spacing w:after="0"/>
              <w:rPr>
                <w:sz w:val="20"/>
                <w:szCs w:val="20"/>
                <w:color w:val="auto"/>
              </w:rPr>
            </w:pPr>
            <w:r>
              <w:rPr>
                <w:rFonts w:ascii="Arial" w:cs="Arial" w:eastAsia="Arial" w:hAnsi="Arial"/>
                <w:sz w:val="14"/>
                <w:szCs w:val="14"/>
                <w:color w:val="54565B"/>
              </w:rPr>
              <w:t>11,545,807</w:t>
            </w:r>
          </w:p>
        </w:tc>
        <w:tc>
          <w:tcPr>
            <w:tcW w:w="0" w:type="dxa"/>
            <w:vAlign w:val="bottom"/>
          </w:tcPr>
          <w:p>
            <w:pPr>
              <w:spacing w:after="0"/>
              <w:rPr>
                <w:sz w:val="1"/>
                <w:szCs w:val="1"/>
                <w:color w:val="auto"/>
              </w:rPr>
            </w:pPr>
          </w:p>
        </w:tc>
      </w:tr>
      <w:tr>
        <w:trPr>
          <w:trHeight w:val="419"/>
        </w:trPr>
        <w:tc>
          <w:tcPr>
            <w:tcW w:w="3220" w:type="dxa"/>
            <w:vAlign w:val="bottom"/>
            <w:shd w:val="clear" w:color="auto" w:fill="EAF7FA"/>
          </w:tcPr>
          <w:p>
            <w:pPr>
              <w:spacing w:after="0"/>
              <w:rPr>
                <w:sz w:val="24"/>
                <w:szCs w:val="24"/>
                <w:color w:val="auto"/>
              </w:rPr>
            </w:pPr>
          </w:p>
        </w:tc>
        <w:tc>
          <w:tcPr>
            <w:tcW w:w="60" w:type="dxa"/>
            <w:vAlign w:val="bottom"/>
            <w:shd w:val="clear" w:color="auto" w:fill="EAF7FA"/>
          </w:tcPr>
          <w:p>
            <w:pPr>
              <w:spacing w:after="0"/>
              <w:rPr>
                <w:sz w:val="24"/>
                <w:szCs w:val="24"/>
                <w:color w:val="auto"/>
              </w:rPr>
            </w:pPr>
          </w:p>
        </w:tc>
        <w:tc>
          <w:tcPr>
            <w:tcW w:w="880" w:type="dxa"/>
            <w:vAlign w:val="bottom"/>
            <w:shd w:val="clear" w:color="auto" w:fill="EAF7FA"/>
          </w:tcPr>
          <w:p>
            <w:pPr>
              <w:ind w:left="280"/>
              <w:spacing w:after="0"/>
              <w:rPr>
                <w:sz w:val="20"/>
                <w:szCs w:val="20"/>
                <w:color w:val="auto"/>
              </w:rPr>
            </w:pPr>
            <w:r>
              <w:rPr>
                <w:rFonts w:ascii="Arial" w:cs="Arial" w:eastAsia="Arial" w:hAnsi="Arial"/>
                <w:sz w:val="14"/>
                <w:szCs w:val="14"/>
                <w:color w:val="54565B"/>
              </w:rPr>
              <w:t>2023</w:t>
            </w:r>
          </w:p>
        </w:tc>
        <w:tc>
          <w:tcPr>
            <w:tcW w:w="1060" w:type="dxa"/>
            <w:vAlign w:val="bottom"/>
            <w:shd w:val="clear" w:color="auto" w:fill="EAF7FA"/>
          </w:tcPr>
          <w:p>
            <w:pPr>
              <w:jc w:val="right"/>
              <w:ind w:right="108"/>
              <w:spacing w:after="0"/>
              <w:rPr>
                <w:sz w:val="20"/>
                <w:szCs w:val="20"/>
                <w:color w:val="auto"/>
              </w:rPr>
            </w:pPr>
            <w:r>
              <w:rPr>
                <w:rFonts w:ascii="Arial" w:cs="Arial" w:eastAsia="Arial" w:hAnsi="Arial"/>
                <w:sz w:val="14"/>
                <w:szCs w:val="14"/>
                <w:color w:val="54565B"/>
              </w:rPr>
              <w:t>1,250,000</w:t>
            </w:r>
          </w:p>
        </w:tc>
        <w:tc>
          <w:tcPr>
            <w:tcW w:w="940" w:type="dxa"/>
            <w:vAlign w:val="bottom"/>
            <w:shd w:val="clear" w:color="auto" w:fill="EAF7FA"/>
          </w:tcPr>
          <w:p>
            <w:pPr>
              <w:jc w:val="right"/>
              <w:ind w:right="48"/>
              <w:spacing w:after="0"/>
              <w:rPr>
                <w:sz w:val="20"/>
                <w:szCs w:val="20"/>
                <w:color w:val="auto"/>
              </w:rPr>
            </w:pPr>
            <w:r>
              <w:rPr>
                <w:rFonts w:ascii="Arial" w:cs="Arial" w:eastAsia="Arial" w:hAnsi="Arial"/>
                <w:sz w:val="14"/>
                <w:szCs w:val="14"/>
                <w:color w:val="54565B"/>
              </w:rPr>
              <w:t>1,500,054</w:t>
            </w:r>
          </w:p>
        </w:tc>
        <w:tc>
          <w:tcPr>
            <w:tcW w:w="1100" w:type="dxa"/>
            <w:vAlign w:val="bottom"/>
            <w:shd w:val="clear" w:color="auto" w:fill="EAF7FA"/>
          </w:tcPr>
          <w:p>
            <w:pPr>
              <w:jc w:val="right"/>
              <w:ind w:right="128"/>
              <w:spacing w:after="0"/>
              <w:rPr>
                <w:sz w:val="20"/>
                <w:szCs w:val="20"/>
                <w:color w:val="auto"/>
              </w:rPr>
            </w:pPr>
            <w:r>
              <w:rPr>
                <w:rFonts w:ascii="Arial" w:cs="Arial" w:eastAsia="Arial" w:hAnsi="Arial"/>
                <w:sz w:val="14"/>
                <w:szCs w:val="14"/>
                <w:color w:val="54565B"/>
              </w:rPr>
              <w:t>5,308,570</w:t>
            </w:r>
          </w:p>
        </w:tc>
        <w:tc>
          <w:tcPr>
            <w:tcW w:w="1080" w:type="dxa"/>
            <w:vAlign w:val="bottom"/>
            <w:shd w:val="clear" w:color="auto" w:fill="EAF7FA"/>
          </w:tcPr>
          <w:p>
            <w:pPr>
              <w:jc w:val="right"/>
              <w:ind w:right="168"/>
              <w:spacing w:after="0"/>
              <w:rPr>
                <w:sz w:val="20"/>
                <w:szCs w:val="20"/>
                <w:color w:val="auto"/>
              </w:rPr>
            </w:pPr>
            <w:r>
              <w:rPr>
                <w:rFonts w:ascii="Arial" w:cs="Arial" w:eastAsia="Arial" w:hAnsi="Arial"/>
                <w:sz w:val="14"/>
                <w:szCs w:val="14"/>
                <w:color w:val="54565B"/>
              </w:rPr>
              <w:t>1,855,942</w:t>
            </w:r>
          </w:p>
        </w:tc>
        <w:tc>
          <w:tcPr>
            <w:tcW w:w="1060" w:type="dxa"/>
            <w:vAlign w:val="bottom"/>
            <w:shd w:val="clear" w:color="auto" w:fill="EAF7FA"/>
          </w:tcPr>
          <w:p>
            <w:pPr>
              <w:jc w:val="right"/>
              <w:ind w:right="188"/>
              <w:spacing w:after="0"/>
              <w:rPr>
                <w:sz w:val="20"/>
                <w:szCs w:val="20"/>
                <w:color w:val="auto"/>
              </w:rPr>
            </w:pPr>
            <w:r>
              <w:rPr>
                <w:rFonts w:ascii="Arial" w:cs="Arial" w:eastAsia="Arial" w:hAnsi="Arial"/>
                <w:sz w:val="14"/>
                <w:szCs w:val="14"/>
                <w:color w:val="54565B"/>
              </w:rPr>
              <w:t>9,914,566</w:t>
            </w:r>
          </w:p>
        </w:tc>
        <w:tc>
          <w:tcPr>
            <w:tcW w:w="0" w:type="dxa"/>
            <w:vAlign w:val="bottom"/>
          </w:tcPr>
          <w:p>
            <w:pPr>
              <w:spacing w:after="0"/>
              <w:rPr>
                <w:sz w:val="1"/>
                <w:szCs w:val="1"/>
                <w:color w:val="auto"/>
              </w:rPr>
            </w:pPr>
          </w:p>
        </w:tc>
      </w:tr>
      <w:tr>
        <w:trPr>
          <w:trHeight w:val="116"/>
        </w:trPr>
        <w:tc>
          <w:tcPr>
            <w:tcW w:w="3220" w:type="dxa"/>
            <w:vAlign w:val="bottom"/>
            <w:shd w:val="clear" w:color="auto" w:fill="EAF7FA"/>
          </w:tcPr>
          <w:p>
            <w:pPr>
              <w:spacing w:after="0"/>
              <w:rPr>
                <w:sz w:val="10"/>
                <w:szCs w:val="10"/>
                <w:color w:val="auto"/>
              </w:rPr>
            </w:pPr>
          </w:p>
        </w:tc>
        <w:tc>
          <w:tcPr>
            <w:tcW w:w="60" w:type="dxa"/>
            <w:vAlign w:val="bottom"/>
            <w:shd w:val="clear" w:color="auto" w:fill="EAF7FA"/>
          </w:tcPr>
          <w:p>
            <w:pPr>
              <w:spacing w:after="0"/>
              <w:rPr>
                <w:sz w:val="10"/>
                <w:szCs w:val="10"/>
                <w:color w:val="auto"/>
              </w:rPr>
            </w:pPr>
          </w:p>
        </w:tc>
        <w:tc>
          <w:tcPr>
            <w:tcW w:w="880" w:type="dxa"/>
            <w:vAlign w:val="bottom"/>
            <w:shd w:val="clear" w:color="auto" w:fill="EAF7FA"/>
          </w:tcPr>
          <w:p>
            <w:pPr>
              <w:spacing w:after="0"/>
              <w:rPr>
                <w:sz w:val="10"/>
                <w:szCs w:val="10"/>
                <w:color w:val="auto"/>
              </w:rPr>
            </w:pPr>
          </w:p>
        </w:tc>
        <w:tc>
          <w:tcPr>
            <w:tcW w:w="1060" w:type="dxa"/>
            <w:vAlign w:val="bottom"/>
            <w:shd w:val="clear" w:color="auto" w:fill="EAF7FA"/>
          </w:tcPr>
          <w:p>
            <w:pPr>
              <w:spacing w:after="0"/>
              <w:rPr>
                <w:sz w:val="10"/>
                <w:szCs w:val="10"/>
                <w:color w:val="auto"/>
              </w:rPr>
            </w:pPr>
          </w:p>
        </w:tc>
        <w:tc>
          <w:tcPr>
            <w:tcW w:w="940" w:type="dxa"/>
            <w:vAlign w:val="bottom"/>
            <w:shd w:val="clear" w:color="auto" w:fill="EAF7FA"/>
          </w:tcPr>
          <w:p>
            <w:pPr>
              <w:spacing w:after="0"/>
              <w:rPr>
                <w:sz w:val="10"/>
                <w:szCs w:val="10"/>
                <w:color w:val="auto"/>
              </w:rPr>
            </w:pPr>
          </w:p>
        </w:tc>
        <w:tc>
          <w:tcPr>
            <w:tcW w:w="1100" w:type="dxa"/>
            <w:vAlign w:val="bottom"/>
            <w:shd w:val="clear" w:color="auto" w:fill="EAF7FA"/>
          </w:tcPr>
          <w:p>
            <w:pPr>
              <w:spacing w:after="0"/>
              <w:rPr>
                <w:sz w:val="10"/>
                <w:szCs w:val="10"/>
                <w:color w:val="auto"/>
              </w:rPr>
            </w:pPr>
          </w:p>
        </w:tc>
        <w:tc>
          <w:tcPr>
            <w:tcW w:w="1080" w:type="dxa"/>
            <w:vAlign w:val="bottom"/>
            <w:shd w:val="clear" w:color="auto" w:fill="EAF7FA"/>
          </w:tcPr>
          <w:p>
            <w:pPr>
              <w:spacing w:after="0"/>
              <w:rPr>
                <w:sz w:val="10"/>
                <w:szCs w:val="10"/>
                <w:color w:val="auto"/>
              </w:rPr>
            </w:pPr>
          </w:p>
        </w:tc>
        <w:tc>
          <w:tcPr>
            <w:tcW w:w="1060" w:type="dxa"/>
            <w:vAlign w:val="bottom"/>
            <w:shd w:val="clear" w:color="auto" w:fill="EAF7FA"/>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3220" w:type="dxa"/>
            <w:vAlign w:val="bottom"/>
          </w:tcPr>
          <w:p>
            <w:pPr>
              <w:ind w:left="240"/>
              <w:spacing w:after="0"/>
              <w:rPr>
                <w:sz w:val="20"/>
                <w:szCs w:val="20"/>
                <w:color w:val="auto"/>
              </w:rPr>
            </w:pPr>
            <w:r>
              <w:rPr>
                <w:rFonts w:ascii="Arial" w:cs="Arial" w:eastAsia="Arial" w:hAnsi="Arial"/>
                <w:sz w:val="14"/>
                <w:szCs w:val="14"/>
                <w:b w:val="1"/>
                <w:bCs w:val="1"/>
                <w:color w:val="54565B"/>
              </w:rPr>
              <w:t>John B. Berding</w:t>
            </w:r>
          </w:p>
        </w:tc>
        <w:tc>
          <w:tcPr>
            <w:tcW w:w="940" w:type="dxa"/>
            <w:vAlign w:val="bottom"/>
            <w:gridSpan w:val="2"/>
          </w:tcPr>
          <w:p>
            <w:pPr>
              <w:ind w:left="340"/>
              <w:spacing w:after="0"/>
              <w:rPr>
                <w:sz w:val="20"/>
                <w:szCs w:val="20"/>
                <w:color w:val="auto"/>
              </w:rPr>
            </w:pPr>
            <w:r>
              <w:rPr>
                <w:rFonts w:ascii="Arial" w:cs="Arial" w:eastAsia="Arial" w:hAnsi="Arial"/>
                <w:sz w:val="14"/>
                <w:szCs w:val="14"/>
                <w:color w:val="54565B"/>
              </w:rPr>
              <w:t>2025</w:t>
            </w:r>
          </w:p>
        </w:tc>
        <w:tc>
          <w:tcPr>
            <w:tcW w:w="1060" w:type="dxa"/>
            <w:vAlign w:val="bottom"/>
          </w:tcPr>
          <w:p>
            <w:pPr>
              <w:jc w:val="right"/>
              <w:ind w:right="108"/>
              <w:spacing w:after="0"/>
              <w:rPr>
                <w:sz w:val="20"/>
                <w:szCs w:val="20"/>
                <w:color w:val="auto"/>
              </w:rPr>
            </w:pPr>
            <w:r>
              <w:rPr>
                <w:rFonts w:ascii="Arial" w:cs="Arial" w:eastAsia="Arial" w:hAnsi="Arial"/>
                <w:sz w:val="14"/>
                <w:szCs w:val="14"/>
                <w:color w:val="54565B"/>
              </w:rPr>
              <w:t>1,050,000</w:t>
            </w:r>
          </w:p>
        </w:tc>
        <w:tc>
          <w:tcPr>
            <w:tcW w:w="940" w:type="dxa"/>
            <w:vAlign w:val="bottom"/>
          </w:tcPr>
          <w:p>
            <w:pPr>
              <w:jc w:val="right"/>
              <w:ind w:right="48"/>
              <w:spacing w:after="0"/>
              <w:rPr>
                <w:sz w:val="20"/>
                <w:szCs w:val="20"/>
                <w:color w:val="auto"/>
              </w:rPr>
            </w:pPr>
            <w:r>
              <w:rPr>
                <w:rFonts w:ascii="Arial" w:cs="Arial" w:eastAsia="Arial" w:hAnsi="Arial"/>
                <w:sz w:val="14"/>
                <w:szCs w:val="14"/>
                <w:color w:val="54565B"/>
              </w:rPr>
              <w:t>1,175,044​</w:t>
            </w:r>
          </w:p>
        </w:tc>
        <w:tc>
          <w:tcPr>
            <w:tcW w:w="1100" w:type="dxa"/>
            <w:vAlign w:val="bottom"/>
          </w:tcPr>
          <w:p>
            <w:pPr>
              <w:jc w:val="right"/>
              <w:ind w:right="128"/>
              <w:spacing w:after="0"/>
              <w:rPr>
                <w:sz w:val="20"/>
                <w:szCs w:val="20"/>
                <w:color w:val="auto"/>
              </w:rPr>
            </w:pPr>
            <w:r>
              <w:rPr>
                <w:rFonts w:ascii="Arial" w:cs="Arial" w:eastAsia="Arial" w:hAnsi="Arial"/>
                <w:sz w:val="14"/>
                <w:szCs w:val="14"/>
                <w:color w:val="54565B"/>
              </w:rPr>
              <w:t>4,380,528</w:t>
            </w:r>
          </w:p>
        </w:tc>
        <w:tc>
          <w:tcPr>
            <w:tcW w:w="1080" w:type="dxa"/>
            <w:vAlign w:val="bottom"/>
          </w:tcPr>
          <w:p>
            <w:pPr>
              <w:jc w:val="right"/>
              <w:ind w:right="188"/>
              <w:spacing w:after="0"/>
              <w:rPr>
                <w:sz w:val="20"/>
                <w:szCs w:val="20"/>
                <w:color w:val="auto"/>
              </w:rPr>
            </w:pPr>
            <w:r>
              <w:rPr>
                <w:rFonts w:ascii="Arial" w:cs="Arial" w:eastAsia="Arial" w:hAnsi="Arial"/>
                <w:sz w:val="14"/>
                <w:szCs w:val="14"/>
                <w:color w:val="54565B"/>
              </w:rPr>
              <w:t>​ 389,229</w:t>
            </w:r>
          </w:p>
        </w:tc>
        <w:tc>
          <w:tcPr>
            <w:tcW w:w="1060" w:type="dxa"/>
            <w:vAlign w:val="bottom"/>
          </w:tcPr>
          <w:p>
            <w:pPr>
              <w:jc w:val="right"/>
              <w:ind w:right="188"/>
              <w:spacing w:after="0"/>
              <w:rPr>
                <w:sz w:val="20"/>
                <w:szCs w:val="20"/>
                <w:color w:val="auto"/>
              </w:rPr>
            </w:pPr>
            <w:r>
              <w:rPr>
                <w:rFonts w:ascii="Arial" w:cs="Arial" w:eastAsia="Arial" w:hAnsi="Arial"/>
                <w:sz w:val="14"/>
                <w:szCs w:val="14"/>
                <w:color w:val="54565B"/>
              </w:rPr>
              <w:t>​ 6,994,801</w:t>
            </w:r>
          </w:p>
        </w:tc>
        <w:tc>
          <w:tcPr>
            <w:tcW w:w="0" w:type="dxa"/>
            <w:vAlign w:val="bottom"/>
          </w:tcPr>
          <w:p>
            <w:pPr>
              <w:spacing w:after="0"/>
              <w:rPr>
                <w:sz w:val="1"/>
                <w:szCs w:val="1"/>
                <w:color w:val="auto"/>
              </w:rPr>
            </w:pPr>
          </w:p>
        </w:tc>
      </w:tr>
      <w:tr>
        <w:trPr>
          <w:trHeight w:val="195"/>
        </w:trPr>
        <w:tc>
          <w:tcPr>
            <w:tcW w:w="3220" w:type="dxa"/>
            <w:vAlign w:val="bottom"/>
          </w:tcPr>
          <w:p>
            <w:pPr>
              <w:ind w:left="240"/>
              <w:spacing w:after="0"/>
              <w:rPr>
                <w:sz w:val="20"/>
                <w:szCs w:val="20"/>
                <w:color w:val="auto"/>
              </w:rPr>
            </w:pPr>
            <w:r>
              <w:rPr>
                <w:rFonts w:ascii="Arial" w:cs="Arial" w:eastAsia="Arial" w:hAnsi="Arial"/>
                <w:sz w:val="14"/>
                <w:szCs w:val="14"/>
                <w:color w:val="54565B"/>
              </w:rPr>
              <w:t>President of AFG and American Money</w:t>
            </w: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20" w:type="dxa"/>
            <w:vAlign w:val="bottom"/>
          </w:tcPr>
          <w:p>
            <w:pPr>
              <w:ind w:left="240"/>
              <w:spacing w:after="0"/>
              <w:rPr>
                <w:sz w:val="20"/>
                <w:szCs w:val="20"/>
                <w:color w:val="auto"/>
              </w:rPr>
            </w:pPr>
            <w:r>
              <w:rPr>
                <w:rFonts w:ascii="Arial" w:cs="Arial" w:eastAsia="Arial" w:hAnsi="Arial"/>
                <w:sz w:val="14"/>
                <w:szCs w:val="14"/>
                <w:color w:val="54565B"/>
              </w:rPr>
              <w:t>Management</w:t>
            </w:r>
          </w:p>
        </w:tc>
        <w:tc>
          <w:tcPr>
            <w:tcW w:w="940" w:type="dxa"/>
            <w:vAlign w:val="bottom"/>
            <w:gridSpan w:val="2"/>
          </w:tcPr>
          <w:p>
            <w:pPr>
              <w:ind w:left="340"/>
              <w:spacing w:after="0"/>
              <w:rPr>
                <w:sz w:val="20"/>
                <w:szCs w:val="20"/>
                <w:color w:val="auto"/>
              </w:rPr>
            </w:pPr>
            <w:r>
              <w:rPr>
                <w:rFonts w:ascii="Arial" w:cs="Arial" w:eastAsia="Arial" w:hAnsi="Arial"/>
                <w:sz w:val="14"/>
                <w:szCs w:val="14"/>
                <w:color w:val="54565B"/>
              </w:rPr>
              <w:t>2024</w:t>
            </w:r>
          </w:p>
        </w:tc>
        <w:tc>
          <w:tcPr>
            <w:tcW w:w="1060" w:type="dxa"/>
            <w:vAlign w:val="bottom"/>
          </w:tcPr>
          <w:p>
            <w:pPr>
              <w:jc w:val="right"/>
              <w:ind w:right="108"/>
              <w:spacing w:after="0"/>
              <w:rPr>
                <w:sz w:val="20"/>
                <w:szCs w:val="20"/>
                <w:color w:val="auto"/>
              </w:rPr>
            </w:pPr>
            <w:r>
              <w:rPr>
                <w:rFonts w:ascii="Arial" w:cs="Arial" w:eastAsia="Arial" w:hAnsi="Arial"/>
                <w:sz w:val="14"/>
                <w:szCs w:val="14"/>
                <w:color w:val="54565B"/>
              </w:rPr>
              <w:t>1,050,000</w:t>
            </w:r>
          </w:p>
        </w:tc>
        <w:tc>
          <w:tcPr>
            <w:tcW w:w="940" w:type="dxa"/>
            <w:vAlign w:val="bottom"/>
          </w:tcPr>
          <w:p>
            <w:pPr>
              <w:jc w:val="right"/>
              <w:ind w:right="48"/>
              <w:spacing w:after="0"/>
              <w:rPr>
                <w:sz w:val="20"/>
                <w:szCs w:val="20"/>
                <w:color w:val="auto"/>
              </w:rPr>
            </w:pPr>
            <w:r>
              <w:rPr>
                <w:rFonts w:ascii="Arial" w:cs="Arial" w:eastAsia="Arial" w:hAnsi="Arial"/>
                <w:sz w:val="14"/>
                <w:szCs w:val="14"/>
                <w:color w:val="54565B"/>
              </w:rPr>
              <w:t>1,125,073</w:t>
            </w:r>
          </w:p>
        </w:tc>
        <w:tc>
          <w:tcPr>
            <w:tcW w:w="1100" w:type="dxa"/>
            <w:vAlign w:val="bottom"/>
          </w:tcPr>
          <w:p>
            <w:pPr>
              <w:jc w:val="right"/>
              <w:ind w:right="128"/>
              <w:spacing w:after="0"/>
              <w:rPr>
                <w:sz w:val="20"/>
                <w:szCs w:val="20"/>
                <w:color w:val="auto"/>
              </w:rPr>
            </w:pPr>
            <w:r>
              <w:rPr>
                <w:rFonts w:ascii="Arial" w:cs="Arial" w:eastAsia="Arial" w:hAnsi="Arial"/>
                <w:sz w:val="14"/>
                <w:szCs w:val="14"/>
                <w:color w:val="54565B"/>
              </w:rPr>
              <w:t>4,154,180</w:t>
            </w:r>
          </w:p>
        </w:tc>
        <w:tc>
          <w:tcPr>
            <w:tcW w:w="1080" w:type="dxa"/>
            <w:vAlign w:val="bottom"/>
          </w:tcPr>
          <w:p>
            <w:pPr>
              <w:jc w:val="right"/>
              <w:ind w:right="188"/>
              <w:spacing w:after="0"/>
              <w:rPr>
                <w:sz w:val="20"/>
                <w:szCs w:val="20"/>
                <w:color w:val="auto"/>
              </w:rPr>
            </w:pPr>
            <w:r>
              <w:rPr>
                <w:rFonts w:ascii="Arial" w:cs="Arial" w:eastAsia="Arial" w:hAnsi="Arial"/>
                <w:sz w:val="14"/>
                <w:szCs w:val="14"/>
                <w:color w:val="54565B"/>
              </w:rPr>
              <w:t>416,474</w:t>
            </w:r>
          </w:p>
        </w:tc>
        <w:tc>
          <w:tcPr>
            <w:tcW w:w="1060" w:type="dxa"/>
            <w:vAlign w:val="bottom"/>
          </w:tcPr>
          <w:p>
            <w:pPr>
              <w:jc w:val="right"/>
              <w:ind w:right="188"/>
              <w:spacing w:after="0"/>
              <w:rPr>
                <w:sz w:val="20"/>
                <w:szCs w:val="20"/>
                <w:color w:val="auto"/>
              </w:rPr>
            </w:pPr>
            <w:r>
              <w:rPr>
                <w:rFonts w:ascii="Arial" w:cs="Arial" w:eastAsia="Arial" w:hAnsi="Arial"/>
                <w:sz w:val="14"/>
                <w:szCs w:val="14"/>
                <w:color w:val="54565B"/>
              </w:rPr>
              <w:t>6,745,749</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940" w:type="dxa"/>
            <w:vAlign w:val="bottom"/>
            <w:gridSpan w:val="2"/>
          </w:tcPr>
          <w:p>
            <w:pPr>
              <w:ind w:left="340"/>
              <w:spacing w:after="0"/>
              <w:rPr>
                <w:sz w:val="20"/>
                <w:szCs w:val="20"/>
                <w:color w:val="auto"/>
              </w:rPr>
            </w:pPr>
            <w:r>
              <w:rPr>
                <w:rFonts w:ascii="Arial" w:cs="Arial" w:eastAsia="Arial" w:hAnsi="Arial"/>
                <w:sz w:val="14"/>
                <w:szCs w:val="14"/>
                <w:color w:val="54565B"/>
              </w:rPr>
              <w:t>2023</w:t>
            </w:r>
          </w:p>
        </w:tc>
        <w:tc>
          <w:tcPr>
            <w:tcW w:w="1060" w:type="dxa"/>
            <w:vAlign w:val="bottom"/>
          </w:tcPr>
          <w:p>
            <w:pPr>
              <w:jc w:val="right"/>
              <w:ind w:right="108"/>
              <w:spacing w:after="0"/>
              <w:rPr>
                <w:sz w:val="20"/>
                <w:szCs w:val="20"/>
                <w:color w:val="auto"/>
              </w:rPr>
            </w:pPr>
            <w:r>
              <w:rPr>
                <w:rFonts w:ascii="Arial" w:cs="Arial" w:eastAsia="Arial" w:hAnsi="Arial"/>
                <w:sz w:val="14"/>
                <w:szCs w:val="14"/>
                <w:color w:val="54565B"/>
              </w:rPr>
              <w:t>1,050,000</w:t>
            </w:r>
          </w:p>
        </w:tc>
        <w:tc>
          <w:tcPr>
            <w:tcW w:w="940" w:type="dxa"/>
            <w:vAlign w:val="bottom"/>
          </w:tcPr>
          <w:p>
            <w:pPr>
              <w:jc w:val="right"/>
              <w:ind w:right="48"/>
              <w:spacing w:after="0"/>
              <w:rPr>
                <w:sz w:val="20"/>
                <w:szCs w:val="20"/>
                <w:color w:val="auto"/>
              </w:rPr>
            </w:pPr>
            <w:r>
              <w:rPr>
                <w:rFonts w:ascii="Arial" w:cs="Arial" w:eastAsia="Arial" w:hAnsi="Arial"/>
                <w:sz w:val="14"/>
                <w:szCs w:val="14"/>
                <w:color w:val="54565B"/>
              </w:rPr>
              <w:t>3,125,187</w:t>
            </w:r>
          </w:p>
        </w:tc>
        <w:tc>
          <w:tcPr>
            <w:tcW w:w="1100" w:type="dxa"/>
            <w:vAlign w:val="bottom"/>
          </w:tcPr>
          <w:p>
            <w:pPr>
              <w:jc w:val="right"/>
              <w:ind w:right="128"/>
              <w:spacing w:after="0"/>
              <w:rPr>
                <w:sz w:val="20"/>
                <w:szCs w:val="20"/>
                <w:color w:val="auto"/>
              </w:rPr>
            </w:pPr>
            <w:r>
              <w:rPr>
                <w:rFonts w:ascii="Arial" w:cs="Arial" w:eastAsia="Arial" w:hAnsi="Arial"/>
                <w:sz w:val="14"/>
                <w:szCs w:val="14"/>
                <w:color w:val="54565B"/>
              </w:rPr>
              <w:t>2,859,005</w:t>
            </w:r>
          </w:p>
        </w:tc>
        <w:tc>
          <w:tcPr>
            <w:tcW w:w="1080" w:type="dxa"/>
            <w:vAlign w:val="bottom"/>
          </w:tcPr>
          <w:p>
            <w:pPr>
              <w:jc w:val="right"/>
              <w:ind w:right="188"/>
              <w:spacing w:after="0"/>
              <w:rPr>
                <w:sz w:val="20"/>
                <w:szCs w:val="20"/>
                <w:color w:val="auto"/>
              </w:rPr>
            </w:pPr>
            <w:r>
              <w:rPr>
                <w:rFonts w:ascii="Arial" w:cs="Arial" w:eastAsia="Arial" w:hAnsi="Arial"/>
                <w:sz w:val="14"/>
                <w:szCs w:val="14"/>
                <w:color w:val="54565B"/>
              </w:rPr>
              <w:t>276,300</w:t>
            </w:r>
          </w:p>
        </w:tc>
        <w:tc>
          <w:tcPr>
            <w:tcW w:w="1060" w:type="dxa"/>
            <w:vAlign w:val="bottom"/>
          </w:tcPr>
          <w:p>
            <w:pPr>
              <w:jc w:val="right"/>
              <w:ind w:right="188"/>
              <w:spacing w:after="0"/>
              <w:rPr>
                <w:sz w:val="20"/>
                <w:szCs w:val="20"/>
                <w:color w:val="auto"/>
              </w:rPr>
            </w:pPr>
            <w:r>
              <w:rPr>
                <w:rFonts w:ascii="Arial" w:cs="Arial" w:eastAsia="Arial" w:hAnsi="Arial"/>
                <w:sz w:val="14"/>
                <w:szCs w:val="14"/>
                <w:color w:val="54565B"/>
              </w:rPr>
              <w:t>7,310,492</w:t>
            </w:r>
          </w:p>
        </w:tc>
        <w:tc>
          <w:tcPr>
            <w:tcW w:w="0" w:type="dxa"/>
            <w:vAlign w:val="bottom"/>
          </w:tcPr>
          <w:p>
            <w:pPr>
              <w:spacing w:after="0"/>
              <w:rPr>
                <w:sz w:val="1"/>
                <w:szCs w:val="1"/>
                <w:color w:val="auto"/>
              </w:rPr>
            </w:pPr>
          </w:p>
        </w:tc>
      </w:tr>
      <w:tr>
        <w:trPr>
          <w:trHeight w:val="116"/>
        </w:trPr>
        <w:tc>
          <w:tcPr>
            <w:tcW w:w="3220" w:type="dxa"/>
            <w:vAlign w:val="bottom"/>
          </w:tcPr>
          <w:p>
            <w:pPr>
              <w:spacing w:after="0"/>
              <w:rPr>
                <w:sz w:val="10"/>
                <w:szCs w:val="10"/>
                <w:color w:val="auto"/>
              </w:rPr>
            </w:pPr>
          </w:p>
        </w:tc>
        <w:tc>
          <w:tcPr>
            <w:tcW w:w="940" w:type="dxa"/>
            <w:vAlign w:val="bottom"/>
            <w:gridSpan w:val="2"/>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3220" w:type="dxa"/>
            <w:vAlign w:val="bottom"/>
            <w:shd w:val="clear" w:color="auto" w:fill="EAF7FA"/>
          </w:tcPr>
          <w:p>
            <w:pPr>
              <w:ind w:left="240"/>
              <w:spacing w:after="0"/>
              <w:rPr>
                <w:sz w:val="20"/>
                <w:szCs w:val="20"/>
                <w:color w:val="auto"/>
              </w:rPr>
            </w:pPr>
            <w:r>
              <w:rPr>
                <w:rFonts w:ascii="Arial" w:cs="Arial" w:eastAsia="Arial" w:hAnsi="Arial"/>
                <w:sz w:val="14"/>
                <w:szCs w:val="14"/>
                <w:b w:val="1"/>
                <w:bCs w:val="1"/>
                <w:color w:val="54565B"/>
              </w:rPr>
              <w:t>Brian S. Hertzman</w:t>
            </w:r>
          </w:p>
        </w:tc>
        <w:tc>
          <w:tcPr>
            <w:tcW w:w="60" w:type="dxa"/>
            <w:vAlign w:val="bottom"/>
            <w:shd w:val="clear" w:color="auto" w:fill="EAF7FA"/>
          </w:tcPr>
          <w:p>
            <w:pPr>
              <w:spacing w:after="0"/>
              <w:rPr>
                <w:sz w:val="24"/>
                <w:szCs w:val="24"/>
                <w:color w:val="auto"/>
              </w:rPr>
            </w:pPr>
          </w:p>
        </w:tc>
        <w:tc>
          <w:tcPr>
            <w:tcW w:w="880" w:type="dxa"/>
            <w:vAlign w:val="bottom"/>
            <w:shd w:val="clear" w:color="auto" w:fill="EAF7FA"/>
          </w:tcPr>
          <w:p>
            <w:pPr>
              <w:ind w:left="280"/>
              <w:spacing w:after="0"/>
              <w:rPr>
                <w:sz w:val="20"/>
                <w:szCs w:val="20"/>
                <w:color w:val="auto"/>
              </w:rPr>
            </w:pPr>
            <w:r>
              <w:rPr>
                <w:rFonts w:ascii="Arial" w:cs="Arial" w:eastAsia="Arial" w:hAnsi="Arial"/>
                <w:sz w:val="14"/>
                <w:szCs w:val="14"/>
                <w:color w:val="54565B"/>
              </w:rPr>
              <w:t>2025</w:t>
            </w:r>
          </w:p>
        </w:tc>
        <w:tc>
          <w:tcPr>
            <w:tcW w:w="1060" w:type="dxa"/>
            <w:vAlign w:val="bottom"/>
            <w:shd w:val="clear" w:color="auto" w:fill="EAF7FA"/>
          </w:tcPr>
          <w:p>
            <w:pPr>
              <w:jc w:val="right"/>
              <w:ind w:right="108"/>
              <w:spacing w:after="0"/>
              <w:rPr>
                <w:sz w:val="20"/>
                <w:szCs w:val="20"/>
                <w:color w:val="auto"/>
              </w:rPr>
            </w:pPr>
            <w:r>
              <w:rPr>
                <w:rFonts w:ascii="Arial" w:cs="Arial" w:eastAsia="Arial" w:hAnsi="Arial"/>
                <w:sz w:val="14"/>
                <w:szCs w:val="14"/>
                <w:color w:val="54565B"/>
              </w:rPr>
              <w:t>550,000</w:t>
            </w:r>
          </w:p>
        </w:tc>
        <w:tc>
          <w:tcPr>
            <w:tcW w:w="940" w:type="dxa"/>
            <w:vAlign w:val="bottom"/>
            <w:shd w:val="clear" w:color="auto" w:fill="EAF7FA"/>
          </w:tcPr>
          <w:p>
            <w:pPr>
              <w:jc w:val="right"/>
              <w:ind w:right="48"/>
              <w:spacing w:after="0"/>
              <w:rPr>
                <w:sz w:val="20"/>
                <w:szCs w:val="20"/>
                <w:color w:val="auto"/>
              </w:rPr>
            </w:pPr>
            <w:r>
              <w:rPr>
                <w:rFonts w:ascii="Arial" w:cs="Arial" w:eastAsia="Arial" w:hAnsi="Arial"/>
                <w:sz w:val="14"/>
                <w:szCs w:val="14"/>
                <w:color w:val="54565B"/>
              </w:rPr>
              <w:t>​ 400,051</w:t>
            </w:r>
          </w:p>
        </w:tc>
        <w:tc>
          <w:tcPr>
            <w:tcW w:w="1100" w:type="dxa"/>
            <w:vAlign w:val="bottom"/>
            <w:shd w:val="clear" w:color="auto" w:fill="EAF7FA"/>
          </w:tcPr>
          <w:p>
            <w:pPr>
              <w:jc w:val="right"/>
              <w:ind w:right="148"/>
              <w:spacing w:after="0"/>
              <w:rPr>
                <w:sz w:val="20"/>
                <w:szCs w:val="20"/>
                <w:color w:val="auto"/>
              </w:rPr>
            </w:pPr>
            <w:r>
              <w:rPr>
                <w:rFonts w:ascii="Arial" w:cs="Arial" w:eastAsia="Arial" w:hAnsi="Arial"/>
                <w:sz w:val="14"/>
                <w:szCs w:val="14"/>
                <w:color w:val="54565B"/>
              </w:rPr>
              <w:t>453,390</w:t>
            </w:r>
          </w:p>
        </w:tc>
        <w:tc>
          <w:tcPr>
            <w:tcW w:w="1080" w:type="dxa"/>
            <w:vAlign w:val="bottom"/>
            <w:shd w:val="clear" w:color="auto" w:fill="EAF7FA"/>
          </w:tcPr>
          <w:p>
            <w:pPr>
              <w:jc w:val="right"/>
              <w:ind w:right="188"/>
              <w:spacing w:after="0"/>
              <w:rPr>
                <w:sz w:val="20"/>
                <w:szCs w:val="20"/>
                <w:color w:val="auto"/>
              </w:rPr>
            </w:pPr>
            <w:r>
              <w:rPr>
                <w:rFonts w:ascii="Arial" w:cs="Arial" w:eastAsia="Arial" w:hAnsi="Arial"/>
                <w:sz w:val="14"/>
                <w:szCs w:val="14"/>
                <w:color w:val="54565B"/>
              </w:rPr>
              <w:t>​ 123,210</w:t>
            </w:r>
          </w:p>
        </w:tc>
        <w:tc>
          <w:tcPr>
            <w:tcW w:w="1060" w:type="dxa"/>
            <w:vAlign w:val="bottom"/>
            <w:shd w:val="clear" w:color="auto" w:fill="EAF7FA"/>
          </w:tcPr>
          <w:p>
            <w:pPr>
              <w:jc w:val="right"/>
              <w:ind w:right="188"/>
              <w:spacing w:after="0"/>
              <w:rPr>
                <w:sz w:val="20"/>
                <w:szCs w:val="20"/>
                <w:color w:val="auto"/>
              </w:rPr>
            </w:pPr>
            <w:r>
              <w:rPr>
                <w:rFonts w:ascii="Arial" w:cs="Arial" w:eastAsia="Arial" w:hAnsi="Arial"/>
                <w:sz w:val="14"/>
                <w:szCs w:val="14"/>
                <w:color w:val="54565B"/>
              </w:rPr>
              <w:t>​ 1,526,651</w:t>
            </w:r>
          </w:p>
        </w:tc>
        <w:tc>
          <w:tcPr>
            <w:tcW w:w="0" w:type="dxa"/>
            <w:vAlign w:val="bottom"/>
          </w:tcPr>
          <w:p>
            <w:pPr>
              <w:spacing w:after="0"/>
              <w:rPr>
                <w:sz w:val="1"/>
                <w:szCs w:val="1"/>
                <w:color w:val="auto"/>
              </w:rPr>
            </w:pPr>
          </w:p>
        </w:tc>
      </w:tr>
      <w:tr>
        <w:trPr>
          <w:trHeight w:val="195"/>
        </w:trPr>
        <w:tc>
          <w:tcPr>
            <w:tcW w:w="3220" w:type="dxa"/>
            <w:vAlign w:val="bottom"/>
            <w:shd w:val="clear" w:color="auto" w:fill="EAF7FA"/>
          </w:tcPr>
          <w:p>
            <w:pPr>
              <w:ind w:left="240"/>
              <w:spacing w:after="0"/>
              <w:rPr>
                <w:sz w:val="20"/>
                <w:szCs w:val="20"/>
                <w:color w:val="auto"/>
              </w:rPr>
            </w:pPr>
            <w:r>
              <w:rPr>
                <w:rFonts w:ascii="Arial" w:cs="Arial" w:eastAsia="Arial" w:hAnsi="Arial"/>
                <w:sz w:val="14"/>
                <w:szCs w:val="14"/>
                <w:color w:val="54565B"/>
              </w:rPr>
              <w:t>Senior Vice President and Chief Financial</w:t>
            </w:r>
          </w:p>
        </w:tc>
        <w:tc>
          <w:tcPr>
            <w:tcW w:w="60" w:type="dxa"/>
            <w:vAlign w:val="bottom"/>
            <w:shd w:val="clear" w:color="auto" w:fill="EAF7FA"/>
          </w:tcPr>
          <w:p>
            <w:pPr>
              <w:spacing w:after="0"/>
              <w:rPr>
                <w:sz w:val="16"/>
                <w:szCs w:val="16"/>
                <w:color w:val="auto"/>
              </w:rPr>
            </w:pPr>
          </w:p>
        </w:tc>
        <w:tc>
          <w:tcPr>
            <w:tcW w:w="880" w:type="dxa"/>
            <w:vAlign w:val="bottom"/>
            <w:shd w:val="clear" w:color="auto" w:fill="EAF7FA"/>
          </w:tcPr>
          <w:p>
            <w:pPr>
              <w:spacing w:after="0"/>
              <w:rPr>
                <w:sz w:val="16"/>
                <w:szCs w:val="16"/>
                <w:color w:val="auto"/>
              </w:rPr>
            </w:pPr>
          </w:p>
        </w:tc>
        <w:tc>
          <w:tcPr>
            <w:tcW w:w="1060" w:type="dxa"/>
            <w:vAlign w:val="bottom"/>
            <w:shd w:val="clear" w:color="auto" w:fill="EAF7FA"/>
          </w:tcPr>
          <w:p>
            <w:pPr>
              <w:spacing w:after="0"/>
              <w:rPr>
                <w:sz w:val="16"/>
                <w:szCs w:val="16"/>
                <w:color w:val="auto"/>
              </w:rPr>
            </w:pPr>
          </w:p>
        </w:tc>
        <w:tc>
          <w:tcPr>
            <w:tcW w:w="940" w:type="dxa"/>
            <w:vAlign w:val="bottom"/>
            <w:shd w:val="clear" w:color="auto" w:fill="EAF7FA"/>
          </w:tcPr>
          <w:p>
            <w:pPr>
              <w:spacing w:after="0"/>
              <w:rPr>
                <w:sz w:val="16"/>
                <w:szCs w:val="16"/>
                <w:color w:val="auto"/>
              </w:rPr>
            </w:pPr>
          </w:p>
        </w:tc>
        <w:tc>
          <w:tcPr>
            <w:tcW w:w="1100" w:type="dxa"/>
            <w:vAlign w:val="bottom"/>
            <w:shd w:val="clear" w:color="auto" w:fill="EAF7FA"/>
          </w:tcPr>
          <w:p>
            <w:pPr>
              <w:spacing w:after="0"/>
              <w:rPr>
                <w:sz w:val="16"/>
                <w:szCs w:val="16"/>
                <w:color w:val="auto"/>
              </w:rPr>
            </w:pPr>
          </w:p>
        </w:tc>
        <w:tc>
          <w:tcPr>
            <w:tcW w:w="1080" w:type="dxa"/>
            <w:vAlign w:val="bottom"/>
            <w:shd w:val="clear" w:color="auto" w:fill="EAF7FA"/>
          </w:tcPr>
          <w:p>
            <w:pPr>
              <w:spacing w:after="0"/>
              <w:rPr>
                <w:sz w:val="16"/>
                <w:szCs w:val="16"/>
                <w:color w:val="auto"/>
              </w:rPr>
            </w:pPr>
          </w:p>
        </w:tc>
        <w:tc>
          <w:tcPr>
            <w:tcW w:w="1060" w:type="dxa"/>
            <w:vAlign w:val="bottom"/>
            <w:shd w:val="clear" w:color="auto" w:fill="EAF7FA"/>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20" w:type="dxa"/>
            <w:vAlign w:val="bottom"/>
            <w:shd w:val="clear" w:color="auto" w:fill="EAF7FA"/>
          </w:tcPr>
          <w:p>
            <w:pPr>
              <w:ind w:left="240"/>
              <w:spacing w:after="0"/>
              <w:rPr>
                <w:sz w:val="20"/>
                <w:szCs w:val="20"/>
                <w:color w:val="auto"/>
              </w:rPr>
            </w:pPr>
            <w:r>
              <w:rPr>
                <w:rFonts w:ascii="Arial" w:cs="Arial" w:eastAsia="Arial" w:hAnsi="Arial"/>
                <w:sz w:val="14"/>
                <w:szCs w:val="14"/>
                <w:color w:val="54565B"/>
              </w:rPr>
              <w:t>Officer</w:t>
            </w:r>
          </w:p>
        </w:tc>
        <w:tc>
          <w:tcPr>
            <w:tcW w:w="60" w:type="dxa"/>
            <w:vAlign w:val="bottom"/>
            <w:shd w:val="clear" w:color="auto" w:fill="EAF7FA"/>
          </w:tcPr>
          <w:p>
            <w:pPr>
              <w:spacing w:after="0"/>
              <w:rPr>
                <w:sz w:val="18"/>
                <w:szCs w:val="18"/>
                <w:color w:val="auto"/>
              </w:rPr>
            </w:pPr>
          </w:p>
        </w:tc>
        <w:tc>
          <w:tcPr>
            <w:tcW w:w="880" w:type="dxa"/>
            <w:vAlign w:val="bottom"/>
            <w:shd w:val="clear" w:color="auto" w:fill="EAF7FA"/>
          </w:tcPr>
          <w:p>
            <w:pPr>
              <w:ind w:left="280"/>
              <w:spacing w:after="0"/>
              <w:rPr>
                <w:sz w:val="20"/>
                <w:szCs w:val="20"/>
                <w:color w:val="auto"/>
              </w:rPr>
            </w:pPr>
            <w:r>
              <w:rPr>
                <w:rFonts w:ascii="Arial" w:cs="Arial" w:eastAsia="Arial" w:hAnsi="Arial"/>
                <w:sz w:val="14"/>
                <w:szCs w:val="14"/>
                <w:color w:val="54565B"/>
              </w:rPr>
              <w:t>2024</w:t>
            </w:r>
          </w:p>
        </w:tc>
        <w:tc>
          <w:tcPr>
            <w:tcW w:w="1060" w:type="dxa"/>
            <w:vAlign w:val="bottom"/>
            <w:shd w:val="clear" w:color="auto" w:fill="EAF7FA"/>
          </w:tcPr>
          <w:p>
            <w:pPr>
              <w:jc w:val="right"/>
              <w:ind w:right="108"/>
              <w:spacing w:after="0"/>
              <w:rPr>
                <w:sz w:val="20"/>
                <w:szCs w:val="20"/>
                <w:color w:val="auto"/>
              </w:rPr>
            </w:pPr>
            <w:r>
              <w:rPr>
                <w:rFonts w:ascii="Arial" w:cs="Arial" w:eastAsia="Arial" w:hAnsi="Arial"/>
                <w:sz w:val="14"/>
                <w:szCs w:val="14"/>
                <w:color w:val="54565B"/>
              </w:rPr>
              <w:t>525,000</w:t>
            </w:r>
          </w:p>
        </w:tc>
        <w:tc>
          <w:tcPr>
            <w:tcW w:w="940" w:type="dxa"/>
            <w:vAlign w:val="bottom"/>
            <w:shd w:val="clear" w:color="auto" w:fill="EAF7FA"/>
          </w:tcPr>
          <w:p>
            <w:pPr>
              <w:jc w:val="right"/>
              <w:ind w:right="48"/>
              <w:spacing w:after="0"/>
              <w:rPr>
                <w:sz w:val="20"/>
                <w:szCs w:val="20"/>
                <w:color w:val="auto"/>
              </w:rPr>
            </w:pPr>
            <w:r>
              <w:rPr>
                <w:rFonts w:ascii="Arial" w:cs="Arial" w:eastAsia="Arial" w:hAnsi="Arial"/>
                <w:sz w:val="14"/>
                <w:szCs w:val="14"/>
                <w:color w:val="54565B"/>
              </w:rPr>
              <w:t>400,062</w:t>
            </w:r>
          </w:p>
        </w:tc>
        <w:tc>
          <w:tcPr>
            <w:tcW w:w="1100" w:type="dxa"/>
            <w:vAlign w:val="bottom"/>
            <w:shd w:val="clear" w:color="auto" w:fill="EAF7FA"/>
          </w:tcPr>
          <w:p>
            <w:pPr>
              <w:jc w:val="right"/>
              <w:ind w:right="148"/>
              <w:spacing w:after="0"/>
              <w:rPr>
                <w:sz w:val="20"/>
                <w:szCs w:val="20"/>
                <w:color w:val="auto"/>
              </w:rPr>
            </w:pPr>
            <w:r>
              <w:rPr>
                <w:rFonts w:ascii="Arial" w:cs="Arial" w:eastAsia="Arial" w:hAnsi="Arial"/>
                <w:sz w:val="14"/>
                <w:szCs w:val="14"/>
                <w:color w:val="54565B"/>
              </w:rPr>
              <w:t>446,200</w:t>
            </w:r>
          </w:p>
        </w:tc>
        <w:tc>
          <w:tcPr>
            <w:tcW w:w="1080" w:type="dxa"/>
            <w:vAlign w:val="bottom"/>
            <w:shd w:val="clear" w:color="auto" w:fill="EAF7FA"/>
          </w:tcPr>
          <w:p>
            <w:pPr>
              <w:jc w:val="right"/>
              <w:ind w:right="188"/>
              <w:spacing w:after="0"/>
              <w:rPr>
                <w:sz w:val="20"/>
                <w:szCs w:val="20"/>
                <w:color w:val="auto"/>
              </w:rPr>
            </w:pPr>
            <w:r>
              <w:rPr>
                <w:rFonts w:ascii="Arial" w:cs="Arial" w:eastAsia="Arial" w:hAnsi="Arial"/>
                <w:sz w:val="14"/>
                <w:szCs w:val="14"/>
                <w:color w:val="54565B"/>
              </w:rPr>
              <w:t>108,189</w:t>
            </w:r>
          </w:p>
        </w:tc>
        <w:tc>
          <w:tcPr>
            <w:tcW w:w="1060" w:type="dxa"/>
            <w:vAlign w:val="bottom"/>
            <w:shd w:val="clear" w:color="auto" w:fill="EAF7FA"/>
          </w:tcPr>
          <w:p>
            <w:pPr>
              <w:jc w:val="right"/>
              <w:ind w:right="188"/>
              <w:spacing w:after="0"/>
              <w:rPr>
                <w:sz w:val="20"/>
                <w:szCs w:val="20"/>
                <w:color w:val="auto"/>
              </w:rPr>
            </w:pPr>
            <w:r>
              <w:rPr>
                <w:rFonts w:ascii="Arial" w:cs="Arial" w:eastAsia="Arial" w:hAnsi="Arial"/>
                <w:sz w:val="14"/>
                <w:szCs w:val="14"/>
                <w:color w:val="54565B"/>
              </w:rPr>
              <w:t>1,479,459</w:t>
            </w:r>
          </w:p>
        </w:tc>
        <w:tc>
          <w:tcPr>
            <w:tcW w:w="0" w:type="dxa"/>
            <w:vAlign w:val="bottom"/>
          </w:tcPr>
          <w:p>
            <w:pPr>
              <w:spacing w:after="0"/>
              <w:rPr>
                <w:sz w:val="1"/>
                <w:szCs w:val="1"/>
                <w:color w:val="auto"/>
              </w:rPr>
            </w:pPr>
          </w:p>
        </w:tc>
      </w:tr>
      <w:tr>
        <w:trPr>
          <w:trHeight w:val="418"/>
        </w:trPr>
        <w:tc>
          <w:tcPr>
            <w:tcW w:w="3220" w:type="dxa"/>
            <w:vAlign w:val="bottom"/>
            <w:shd w:val="clear" w:color="auto" w:fill="EAF7FA"/>
          </w:tcPr>
          <w:p>
            <w:pPr>
              <w:spacing w:after="0"/>
              <w:rPr>
                <w:sz w:val="24"/>
                <w:szCs w:val="24"/>
                <w:color w:val="auto"/>
              </w:rPr>
            </w:pPr>
          </w:p>
        </w:tc>
        <w:tc>
          <w:tcPr>
            <w:tcW w:w="60" w:type="dxa"/>
            <w:vAlign w:val="bottom"/>
            <w:shd w:val="clear" w:color="auto" w:fill="EAF7FA"/>
          </w:tcPr>
          <w:p>
            <w:pPr>
              <w:spacing w:after="0"/>
              <w:rPr>
                <w:sz w:val="24"/>
                <w:szCs w:val="24"/>
                <w:color w:val="auto"/>
              </w:rPr>
            </w:pPr>
          </w:p>
        </w:tc>
        <w:tc>
          <w:tcPr>
            <w:tcW w:w="880" w:type="dxa"/>
            <w:vAlign w:val="bottom"/>
            <w:shd w:val="clear" w:color="auto" w:fill="EAF7FA"/>
          </w:tcPr>
          <w:p>
            <w:pPr>
              <w:ind w:left="280"/>
              <w:spacing w:after="0"/>
              <w:rPr>
                <w:sz w:val="20"/>
                <w:szCs w:val="20"/>
                <w:color w:val="auto"/>
              </w:rPr>
            </w:pPr>
            <w:r>
              <w:rPr>
                <w:rFonts w:ascii="Arial" w:cs="Arial" w:eastAsia="Arial" w:hAnsi="Arial"/>
                <w:sz w:val="14"/>
                <w:szCs w:val="14"/>
                <w:color w:val="54565B"/>
              </w:rPr>
              <w:t>2023</w:t>
            </w:r>
          </w:p>
        </w:tc>
        <w:tc>
          <w:tcPr>
            <w:tcW w:w="1060" w:type="dxa"/>
            <w:vAlign w:val="bottom"/>
            <w:shd w:val="clear" w:color="auto" w:fill="EAF7FA"/>
          </w:tcPr>
          <w:p>
            <w:pPr>
              <w:jc w:val="right"/>
              <w:ind w:right="108"/>
              <w:spacing w:after="0"/>
              <w:rPr>
                <w:sz w:val="20"/>
                <w:szCs w:val="20"/>
                <w:color w:val="auto"/>
              </w:rPr>
            </w:pPr>
            <w:r>
              <w:rPr>
                <w:rFonts w:ascii="Arial" w:cs="Arial" w:eastAsia="Arial" w:hAnsi="Arial"/>
                <w:sz w:val="14"/>
                <w:szCs w:val="14"/>
                <w:color w:val="54565B"/>
              </w:rPr>
              <w:t>500,000</w:t>
            </w:r>
          </w:p>
        </w:tc>
        <w:tc>
          <w:tcPr>
            <w:tcW w:w="940" w:type="dxa"/>
            <w:vAlign w:val="bottom"/>
            <w:shd w:val="clear" w:color="auto" w:fill="EAF7FA"/>
          </w:tcPr>
          <w:p>
            <w:pPr>
              <w:jc w:val="right"/>
              <w:ind w:right="48"/>
              <w:spacing w:after="0"/>
              <w:rPr>
                <w:sz w:val="20"/>
                <w:szCs w:val="20"/>
                <w:color w:val="auto"/>
              </w:rPr>
            </w:pPr>
            <w:r>
              <w:rPr>
                <w:rFonts w:ascii="Arial" w:cs="Arial" w:eastAsia="Arial" w:hAnsi="Arial"/>
                <w:sz w:val="14"/>
                <w:szCs w:val="14"/>
                <w:color w:val="54565B"/>
              </w:rPr>
              <w:t>320,128</w:t>
            </w:r>
          </w:p>
        </w:tc>
        <w:tc>
          <w:tcPr>
            <w:tcW w:w="1100" w:type="dxa"/>
            <w:vAlign w:val="bottom"/>
            <w:shd w:val="clear" w:color="auto" w:fill="EAF7FA"/>
          </w:tcPr>
          <w:p>
            <w:pPr>
              <w:jc w:val="right"/>
              <w:ind w:right="148"/>
              <w:spacing w:after="0"/>
              <w:rPr>
                <w:sz w:val="20"/>
                <w:szCs w:val="20"/>
                <w:color w:val="auto"/>
              </w:rPr>
            </w:pPr>
            <w:r>
              <w:rPr>
                <w:rFonts w:ascii="Arial" w:cs="Arial" w:eastAsia="Arial" w:hAnsi="Arial"/>
                <w:sz w:val="14"/>
                <w:szCs w:val="14"/>
                <w:color w:val="54565B"/>
              </w:rPr>
              <w:t>261,812</w:t>
            </w:r>
          </w:p>
        </w:tc>
        <w:tc>
          <w:tcPr>
            <w:tcW w:w="1080" w:type="dxa"/>
            <w:vAlign w:val="bottom"/>
            <w:shd w:val="clear" w:color="auto" w:fill="EAF7FA"/>
          </w:tcPr>
          <w:p>
            <w:pPr>
              <w:jc w:val="right"/>
              <w:ind w:right="188"/>
              <w:spacing w:after="0"/>
              <w:rPr>
                <w:sz w:val="20"/>
                <w:szCs w:val="20"/>
                <w:color w:val="auto"/>
              </w:rPr>
            </w:pPr>
            <w:r>
              <w:rPr>
                <w:rFonts w:ascii="Arial" w:cs="Arial" w:eastAsia="Arial" w:hAnsi="Arial"/>
                <w:sz w:val="14"/>
                <w:szCs w:val="14"/>
                <w:color w:val="54565B"/>
              </w:rPr>
              <w:t>110,629</w:t>
            </w:r>
          </w:p>
        </w:tc>
        <w:tc>
          <w:tcPr>
            <w:tcW w:w="1060" w:type="dxa"/>
            <w:vAlign w:val="bottom"/>
            <w:shd w:val="clear" w:color="auto" w:fill="EAF7FA"/>
          </w:tcPr>
          <w:p>
            <w:pPr>
              <w:jc w:val="right"/>
              <w:ind w:right="188"/>
              <w:spacing w:after="0"/>
              <w:rPr>
                <w:sz w:val="20"/>
                <w:szCs w:val="20"/>
                <w:color w:val="auto"/>
              </w:rPr>
            </w:pPr>
            <w:r>
              <w:rPr>
                <w:rFonts w:ascii="Arial" w:cs="Arial" w:eastAsia="Arial" w:hAnsi="Arial"/>
                <w:sz w:val="14"/>
                <w:szCs w:val="14"/>
                <w:color w:val="54565B"/>
              </w:rPr>
              <w:t>1,192,569</w:t>
            </w:r>
          </w:p>
        </w:tc>
        <w:tc>
          <w:tcPr>
            <w:tcW w:w="0" w:type="dxa"/>
            <w:vAlign w:val="bottom"/>
          </w:tcPr>
          <w:p>
            <w:pPr>
              <w:spacing w:after="0"/>
              <w:rPr>
                <w:sz w:val="1"/>
                <w:szCs w:val="1"/>
                <w:color w:val="auto"/>
              </w:rPr>
            </w:pPr>
          </w:p>
        </w:tc>
      </w:tr>
      <w:tr>
        <w:trPr>
          <w:trHeight w:val="116"/>
        </w:trPr>
        <w:tc>
          <w:tcPr>
            <w:tcW w:w="3220" w:type="dxa"/>
            <w:vAlign w:val="bottom"/>
            <w:shd w:val="clear" w:color="auto" w:fill="EAF7FA"/>
          </w:tcPr>
          <w:p>
            <w:pPr>
              <w:spacing w:after="0"/>
              <w:rPr>
                <w:sz w:val="10"/>
                <w:szCs w:val="10"/>
                <w:color w:val="auto"/>
              </w:rPr>
            </w:pPr>
          </w:p>
        </w:tc>
        <w:tc>
          <w:tcPr>
            <w:tcW w:w="60" w:type="dxa"/>
            <w:vAlign w:val="bottom"/>
            <w:shd w:val="clear" w:color="auto" w:fill="EAF7FA"/>
          </w:tcPr>
          <w:p>
            <w:pPr>
              <w:spacing w:after="0"/>
              <w:rPr>
                <w:sz w:val="10"/>
                <w:szCs w:val="10"/>
                <w:color w:val="auto"/>
              </w:rPr>
            </w:pPr>
          </w:p>
        </w:tc>
        <w:tc>
          <w:tcPr>
            <w:tcW w:w="880" w:type="dxa"/>
            <w:vAlign w:val="bottom"/>
            <w:shd w:val="clear" w:color="auto" w:fill="EAF7FA"/>
          </w:tcPr>
          <w:p>
            <w:pPr>
              <w:spacing w:after="0"/>
              <w:rPr>
                <w:sz w:val="10"/>
                <w:szCs w:val="10"/>
                <w:color w:val="auto"/>
              </w:rPr>
            </w:pPr>
          </w:p>
        </w:tc>
        <w:tc>
          <w:tcPr>
            <w:tcW w:w="1060" w:type="dxa"/>
            <w:vAlign w:val="bottom"/>
            <w:shd w:val="clear" w:color="auto" w:fill="EAF7FA"/>
          </w:tcPr>
          <w:p>
            <w:pPr>
              <w:spacing w:after="0"/>
              <w:rPr>
                <w:sz w:val="10"/>
                <w:szCs w:val="10"/>
                <w:color w:val="auto"/>
              </w:rPr>
            </w:pPr>
          </w:p>
        </w:tc>
        <w:tc>
          <w:tcPr>
            <w:tcW w:w="940" w:type="dxa"/>
            <w:vAlign w:val="bottom"/>
            <w:shd w:val="clear" w:color="auto" w:fill="EAF7FA"/>
          </w:tcPr>
          <w:p>
            <w:pPr>
              <w:spacing w:after="0"/>
              <w:rPr>
                <w:sz w:val="10"/>
                <w:szCs w:val="10"/>
                <w:color w:val="auto"/>
              </w:rPr>
            </w:pPr>
          </w:p>
        </w:tc>
        <w:tc>
          <w:tcPr>
            <w:tcW w:w="1100" w:type="dxa"/>
            <w:vAlign w:val="bottom"/>
            <w:shd w:val="clear" w:color="auto" w:fill="EAF7FA"/>
          </w:tcPr>
          <w:p>
            <w:pPr>
              <w:spacing w:after="0"/>
              <w:rPr>
                <w:sz w:val="10"/>
                <w:szCs w:val="10"/>
                <w:color w:val="auto"/>
              </w:rPr>
            </w:pPr>
          </w:p>
        </w:tc>
        <w:tc>
          <w:tcPr>
            <w:tcW w:w="1080" w:type="dxa"/>
            <w:vAlign w:val="bottom"/>
            <w:shd w:val="clear" w:color="auto" w:fill="EAF7FA"/>
          </w:tcPr>
          <w:p>
            <w:pPr>
              <w:spacing w:after="0"/>
              <w:rPr>
                <w:sz w:val="10"/>
                <w:szCs w:val="10"/>
                <w:color w:val="auto"/>
              </w:rPr>
            </w:pPr>
          </w:p>
        </w:tc>
        <w:tc>
          <w:tcPr>
            <w:tcW w:w="1060" w:type="dxa"/>
            <w:vAlign w:val="bottom"/>
            <w:shd w:val="clear" w:color="auto" w:fill="EAF7FA"/>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3220" w:type="dxa"/>
            <w:vAlign w:val="bottom"/>
          </w:tcPr>
          <w:p>
            <w:pPr>
              <w:ind w:left="240"/>
              <w:spacing w:after="0"/>
              <w:rPr>
                <w:sz w:val="20"/>
                <w:szCs w:val="20"/>
                <w:color w:val="auto"/>
              </w:rPr>
            </w:pPr>
            <w:r>
              <w:rPr>
                <w:rFonts w:ascii="Arial" w:cs="Arial" w:eastAsia="Arial" w:hAnsi="Arial"/>
                <w:sz w:val="14"/>
                <w:szCs w:val="14"/>
                <w:b w:val="1"/>
                <w:bCs w:val="1"/>
                <w:color w:val="54565B"/>
              </w:rPr>
              <w:t>David L. Thompson</w:t>
            </w:r>
          </w:p>
        </w:tc>
        <w:tc>
          <w:tcPr>
            <w:tcW w:w="940" w:type="dxa"/>
            <w:vAlign w:val="bottom"/>
            <w:gridSpan w:val="2"/>
          </w:tcPr>
          <w:p>
            <w:pPr>
              <w:ind w:left="340"/>
              <w:spacing w:after="0"/>
              <w:rPr>
                <w:sz w:val="20"/>
                <w:szCs w:val="20"/>
                <w:color w:val="auto"/>
              </w:rPr>
            </w:pPr>
            <w:r>
              <w:rPr>
                <w:rFonts w:ascii="Arial" w:cs="Arial" w:eastAsia="Arial" w:hAnsi="Arial"/>
                <w:sz w:val="14"/>
                <w:szCs w:val="14"/>
                <w:color w:val="54565B"/>
              </w:rPr>
              <w:t>2025</w:t>
            </w:r>
          </w:p>
        </w:tc>
        <w:tc>
          <w:tcPr>
            <w:tcW w:w="1060" w:type="dxa"/>
            <w:vAlign w:val="bottom"/>
          </w:tcPr>
          <w:p>
            <w:pPr>
              <w:jc w:val="right"/>
              <w:ind w:right="108"/>
              <w:spacing w:after="0"/>
              <w:rPr>
                <w:sz w:val="20"/>
                <w:szCs w:val="20"/>
                <w:color w:val="auto"/>
              </w:rPr>
            </w:pPr>
            <w:r>
              <w:rPr>
                <w:rFonts w:ascii="Arial" w:cs="Arial" w:eastAsia="Arial" w:hAnsi="Arial"/>
                <w:sz w:val="14"/>
                <w:szCs w:val="14"/>
                <w:color w:val="54565B"/>
              </w:rPr>
              <w:t>​ 800,000</w:t>
            </w:r>
          </w:p>
        </w:tc>
        <w:tc>
          <w:tcPr>
            <w:tcW w:w="940" w:type="dxa"/>
            <w:vAlign w:val="bottom"/>
          </w:tcPr>
          <w:p>
            <w:pPr>
              <w:jc w:val="right"/>
              <w:ind w:right="48"/>
              <w:spacing w:after="0"/>
              <w:rPr>
                <w:sz w:val="20"/>
                <w:szCs w:val="20"/>
                <w:color w:val="auto"/>
              </w:rPr>
            </w:pPr>
            <w:r>
              <w:rPr>
                <w:rFonts w:ascii="Arial" w:cs="Arial" w:eastAsia="Arial" w:hAnsi="Arial"/>
                <w:sz w:val="14"/>
                <w:szCs w:val="14"/>
                <w:color w:val="54565B"/>
              </w:rPr>
              <w:t>​ 600,077</w:t>
            </w:r>
          </w:p>
        </w:tc>
        <w:tc>
          <w:tcPr>
            <w:tcW w:w="1100" w:type="dxa"/>
            <w:vAlign w:val="bottom"/>
          </w:tcPr>
          <w:p>
            <w:pPr>
              <w:jc w:val="right"/>
              <w:ind w:right="128"/>
              <w:spacing w:after="0"/>
              <w:rPr>
                <w:sz w:val="20"/>
                <w:szCs w:val="20"/>
                <w:color w:val="auto"/>
              </w:rPr>
            </w:pPr>
            <w:r>
              <w:rPr>
                <w:rFonts w:ascii="Arial" w:cs="Arial" w:eastAsia="Arial" w:hAnsi="Arial"/>
                <w:sz w:val="14"/>
                <w:szCs w:val="14"/>
                <w:color w:val="54565B"/>
              </w:rPr>
              <w:t>1,041,900</w:t>
            </w:r>
          </w:p>
        </w:tc>
        <w:tc>
          <w:tcPr>
            <w:tcW w:w="1080" w:type="dxa"/>
            <w:vAlign w:val="bottom"/>
          </w:tcPr>
          <w:p>
            <w:pPr>
              <w:jc w:val="right"/>
              <w:ind w:right="188"/>
              <w:spacing w:after="0"/>
              <w:rPr>
                <w:sz w:val="20"/>
                <w:szCs w:val="20"/>
                <w:color w:val="auto"/>
              </w:rPr>
            </w:pPr>
            <w:r>
              <w:rPr>
                <w:rFonts w:ascii="Arial" w:cs="Arial" w:eastAsia="Arial" w:hAnsi="Arial"/>
                <w:sz w:val="14"/>
                <w:szCs w:val="14"/>
                <w:color w:val="54565B"/>
              </w:rPr>
              <w:t>​ 219,130</w:t>
            </w:r>
          </w:p>
        </w:tc>
        <w:tc>
          <w:tcPr>
            <w:tcW w:w="1060" w:type="dxa"/>
            <w:vAlign w:val="bottom"/>
          </w:tcPr>
          <w:p>
            <w:pPr>
              <w:jc w:val="right"/>
              <w:ind w:right="188"/>
              <w:spacing w:after="0"/>
              <w:rPr>
                <w:sz w:val="20"/>
                <w:szCs w:val="20"/>
                <w:color w:val="auto"/>
              </w:rPr>
            </w:pPr>
            <w:r>
              <w:rPr>
                <w:rFonts w:ascii="Arial" w:cs="Arial" w:eastAsia="Arial" w:hAnsi="Arial"/>
                <w:sz w:val="14"/>
                <w:szCs w:val="14"/>
                <w:color w:val="54565B"/>
              </w:rPr>
              <w:t>​ 2,661,106</w:t>
            </w:r>
          </w:p>
        </w:tc>
        <w:tc>
          <w:tcPr>
            <w:tcW w:w="0" w:type="dxa"/>
            <w:vAlign w:val="bottom"/>
          </w:tcPr>
          <w:p>
            <w:pPr>
              <w:spacing w:after="0"/>
              <w:rPr>
                <w:sz w:val="1"/>
                <w:szCs w:val="1"/>
                <w:color w:val="auto"/>
              </w:rPr>
            </w:pPr>
          </w:p>
        </w:tc>
      </w:tr>
      <w:tr>
        <w:trPr>
          <w:trHeight w:val="195"/>
        </w:trPr>
        <w:tc>
          <w:tcPr>
            <w:tcW w:w="3220" w:type="dxa"/>
            <w:vAlign w:val="bottom"/>
          </w:tcPr>
          <w:p>
            <w:pPr>
              <w:ind w:left="240"/>
              <w:spacing w:after="0"/>
              <w:rPr>
                <w:sz w:val="20"/>
                <w:szCs w:val="20"/>
                <w:color w:val="auto"/>
              </w:rPr>
            </w:pPr>
            <w:r>
              <w:rPr>
                <w:rFonts w:ascii="Arial" w:cs="Arial" w:eastAsia="Arial" w:hAnsi="Arial"/>
                <w:sz w:val="14"/>
                <w:szCs w:val="14"/>
                <w:color w:val="54565B"/>
              </w:rPr>
              <w:t>President and Chief Operating Officer of</w:t>
            </w: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20" w:type="dxa"/>
            <w:vAlign w:val="bottom"/>
          </w:tcPr>
          <w:p>
            <w:pPr>
              <w:ind w:left="240"/>
              <w:spacing w:after="0"/>
              <w:rPr>
                <w:sz w:val="20"/>
                <w:szCs w:val="20"/>
                <w:color w:val="auto"/>
              </w:rPr>
            </w:pPr>
            <w:r>
              <w:rPr>
                <w:rFonts w:ascii="Arial" w:cs="Arial" w:eastAsia="Arial" w:hAnsi="Arial"/>
                <w:sz w:val="14"/>
                <w:szCs w:val="14"/>
                <w:color w:val="54565B"/>
              </w:rPr>
              <w:t>Great American Insurance Group</w:t>
            </w:r>
          </w:p>
        </w:tc>
        <w:tc>
          <w:tcPr>
            <w:tcW w:w="940" w:type="dxa"/>
            <w:vAlign w:val="bottom"/>
            <w:gridSpan w:val="2"/>
          </w:tcPr>
          <w:p>
            <w:pPr>
              <w:ind w:left="340"/>
              <w:spacing w:after="0"/>
              <w:rPr>
                <w:sz w:val="20"/>
                <w:szCs w:val="20"/>
                <w:color w:val="auto"/>
              </w:rPr>
            </w:pPr>
            <w:r>
              <w:rPr>
                <w:rFonts w:ascii="Arial" w:cs="Arial" w:eastAsia="Arial" w:hAnsi="Arial"/>
                <w:sz w:val="14"/>
                <w:szCs w:val="14"/>
                <w:color w:val="54565B"/>
              </w:rPr>
              <w:t>2024</w:t>
            </w:r>
          </w:p>
        </w:tc>
        <w:tc>
          <w:tcPr>
            <w:tcW w:w="1060" w:type="dxa"/>
            <w:vAlign w:val="bottom"/>
          </w:tcPr>
          <w:p>
            <w:pPr>
              <w:jc w:val="right"/>
              <w:ind w:right="108"/>
              <w:spacing w:after="0"/>
              <w:rPr>
                <w:sz w:val="20"/>
                <w:szCs w:val="20"/>
                <w:color w:val="auto"/>
              </w:rPr>
            </w:pPr>
            <w:r>
              <w:rPr>
                <w:rFonts w:ascii="Arial" w:cs="Arial" w:eastAsia="Arial" w:hAnsi="Arial"/>
                <w:sz w:val="14"/>
                <w:szCs w:val="14"/>
                <w:color w:val="54565B"/>
              </w:rPr>
              <w:t>770,000</w:t>
            </w:r>
          </w:p>
        </w:tc>
        <w:tc>
          <w:tcPr>
            <w:tcW w:w="940" w:type="dxa"/>
            <w:vAlign w:val="bottom"/>
          </w:tcPr>
          <w:p>
            <w:pPr>
              <w:jc w:val="right"/>
              <w:ind w:right="48"/>
              <w:spacing w:after="0"/>
              <w:rPr>
                <w:sz w:val="20"/>
                <w:szCs w:val="20"/>
                <w:color w:val="auto"/>
              </w:rPr>
            </w:pPr>
            <w:r>
              <w:rPr>
                <w:rFonts w:ascii="Arial" w:cs="Arial" w:eastAsia="Arial" w:hAnsi="Arial"/>
                <w:sz w:val="14"/>
                <w:szCs w:val="14"/>
                <w:color w:val="54565B"/>
              </w:rPr>
              <w:t>600,031</w:t>
            </w:r>
          </w:p>
        </w:tc>
        <w:tc>
          <w:tcPr>
            <w:tcW w:w="1100" w:type="dxa"/>
            <w:vAlign w:val="bottom"/>
          </w:tcPr>
          <w:p>
            <w:pPr>
              <w:jc w:val="right"/>
              <w:ind w:right="148"/>
              <w:spacing w:after="0"/>
              <w:rPr>
                <w:sz w:val="20"/>
                <w:szCs w:val="20"/>
                <w:color w:val="auto"/>
              </w:rPr>
            </w:pPr>
            <w:r>
              <w:rPr>
                <w:rFonts w:ascii="Arial" w:cs="Arial" w:eastAsia="Arial" w:hAnsi="Arial"/>
                <w:sz w:val="14"/>
                <w:szCs w:val="14"/>
                <w:color w:val="54565B"/>
              </w:rPr>
              <w:t>917,550</w:t>
            </w:r>
          </w:p>
        </w:tc>
        <w:tc>
          <w:tcPr>
            <w:tcW w:w="1080" w:type="dxa"/>
            <w:vAlign w:val="bottom"/>
          </w:tcPr>
          <w:p>
            <w:pPr>
              <w:jc w:val="right"/>
              <w:ind w:right="188"/>
              <w:spacing w:after="0"/>
              <w:rPr>
                <w:sz w:val="20"/>
                <w:szCs w:val="20"/>
                <w:color w:val="auto"/>
              </w:rPr>
            </w:pPr>
            <w:r>
              <w:rPr>
                <w:rFonts w:ascii="Arial" w:cs="Arial" w:eastAsia="Arial" w:hAnsi="Arial"/>
                <w:sz w:val="14"/>
                <w:szCs w:val="14"/>
                <w:color w:val="54565B"/>
              </w:rPr>
              <w:t>196,585</w:t>
            </w:r>
          </w:p>
        </w:tc>
        <w:tc>
          <w:tcPr>
            <w:tcW w:w="1060" w:type="dxa"/>
            <w:vAlign w:val="bottom"/>
          </w:tcPr>
          <w:p>
            <w:pPr>
              <w:jc w:val="right"/>
              <w:ind w:right="188"/>
              <w:spacing w:after="0"/>
              <w:rPr>
                <w:sz w:val="20"/>
                <w:szCs w:val="20"/>
                <w:color w:val="auto"/>
              </w:rPr>
            </w:pPr>
            <w:r>
              <w:rPr>
                <w:rFonts w:ascii="Arial" w:cs="Arial" w:eastAsia="Arial" w:hAnsi="Arial"/>
                <w:sz w:val="14"/>
                <w:szCs w:val="14"/>
                <w:color w:val="54565B"/>
              </w:rPr>
              <w:t>2,484,178</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940" w:type="dxa"/>
            <w:vAlign w:val="bottom"/>
            <w:gridSpan w:val="2"/>
          </w:tcPr>
          <w:p>
            <w:pPr>
              <w:ind w:left="340"/>
              <w:spacing w:after="0"/>
              <w:rPr>
                <w:sz w:val="20"/>
                <w:szCs w:val="20"/>
                <w:color w:val="auto"/>
              </w:rPr>
            </w:pPr>
            <w:r>
              <w:rPr>
                <w:rFonts w:ascii="Arial" w:cs="Arial" w:eastAsia="Arial" w:hAnsi="Arial"/>
                <w:sz w:val="14"/>
                <w:szCs w:val="14"/>
                <w:color w:val="54565B"/>
              </w:rPr>
              <w:t>2023</w:t>
            </w:r>
          </w:p>
        </w:tc>
        <w:tc>
          <w:tcPr>
            <w:tcW w:w="1060" w:type="dxa"/>
            <w:vAlign w:val="bottom"/>
          </w:tcPr>
          <w:p>
            <w:pPr>
              <w:jc w:val="right"/>
              <w:ind w:right="108"/>
              <w:spacing w:after="0"/>
              <w:rPr>
                <w:sz w:val="20"/>
                <w:szCs w:val="20"/>
                <w:color w:val="auto"/>
              </w:rPr>
            </w:pPr>
            <w:r>
              <w:rPr>
                <w:rFonts w:ascii="Arial" w:cs="Arial" w:eastAsia="Arial" w:hAnsi="Arial"/>
                <w:sz w:val="14"/>
                <w:szCs w:val="14"/>
                <w:color w:val="54565B"/>
              </w:rPr>
              <w:t>700,000</w:t>
            </w:r>
          </w:p>
        </w:tc>
        <w:tc>
          <w:tcPr>
            <w:tcW w:w="940" w:type="dxa"/>
            <w:vAlign w:val="bottom"/>
          </w:tcPr>
          <w:p>
            <w:pPr>
              <w:jc w:val="right"/>
              <w:ind w:right="48"/>
              <w:spacing w:after="0"/>
              <w:rPr>
                <w:sz w:val="20"/>
                <w:szCs w:val="20"/>
                <w:color w:val="auto"/>
              </w:rPr>
            </w:pPr>
            <w:r>
              <w:rPr>
                <w:rFonts w:ascii="Arial" w:cs="Arial" w:eastAsia="Arial" w:hAnsi="Arial"/>
                <w:sz w:val="14"/>
                <w:szCs w:val="14"/>
                <w:color w:val="54565B"/>
              </w:rPr>
              <w:t>500,018</w:t>
            </w:r>
          </w:p>
        </w:tc>
        <w:tc>
          <w:tcPr>
            <w:tcW w:w="1100" w:type="dxa"/>
            <w:vAlign w:val="bottom"/>
          </w:tcPr>
          <w:p>
            <w:pPr>
              <w:jc w:val="right"/>
              <w:ind w:right="148"/>
              <w:spacing w:after="0"/>
              <w:rPr>
                <w:sz w:val="20"/>
                <w:szCs w:val="20"/>
                <w:color w:val="auto"/>
              </w:rPr>
            </w:pPr>
            <w:r>
              <w:rPr>
                <w:rFonts w:ascii="Arial" w:cs="Arial" w:eastAsia="Arial" w:hAnsi="Arial"/>
                <w:sz w:val="14"/>
                <w:szCs w:val="14"/>
                <w:color w:val="54565B"/>
              </w:rPr>
              <w:t>632,775</w:t>
            </w:r>
          </w:p>
        </w:tc>
        <w:tc>
          <w:tcPr>
            <w:tcW w:w="1080" w:type="dxa"/>
            <w:vAlign w:val="bottom"/>
          </w:tcPr>
          <w:p>
            <w:pPr>
              <w:jc w:val="right"/>
              <w:ind w:right="188"/>
              <w:spacing w:after="0"/>
              <w:rPr>
                <w:sz w:val="20"/>
                <w:szCs w:val="20"/>
                <w:color w:val="auto"/>
              </w:rPr>
            </w:pPr>
            <w:r>
              <w:rPr>
                <w:rFonts w:ascii="Arial" w:cs="Arial" w:eastAsia="Arial" w:hAnsi="Arial"/>
                <w:sz w:val="14"/>
                <w:szCs w:val="14"/>
                <w:color w:val="54565B"/>
              </w:rPr>
              <w:t>174,234</w:t>
            </w:r>
          </w:p>
        </w:tc>
        <w:tc>
          <w:tcPr>
            <w:tcW w:w="1060" w:type="dxa"/>
            <w:vAlign w:val="bottom"/>
          </w:tcPr>
          <w:p>
            <w:pPr>
              <w:jc w:val="right"/>
              <w:ind w:right="188"/>
              <w:spacing w:after="0"/>
              <w:rPr>
                <w:sz w:val="20"/>
                <w:szCs w:val="20"/>
                <w:color w:val="auto"/>
              </w:rPr>
            </w:pPr>
            <w:r>
              <w:rPr>
                <w:rFonts w:ascii="Arial" w:cs="Arial" w:eastAsia="Arial" w:hAnsi="Arial"/>
                <w:sz w:val="14"/>
                <w:szCs w:val="14"/>
                <w:color w:val="54565B"/>
              </w:rPr>
              <w:t>2,007,027</w:t>
            </w:r>
          </w:p>
        </w:tc>
        <w:tc>
          <w:tcPr>
            <w:tcW w:w="0" w:type="dxa"/>
            <w:vAlign w:val="bottom"/>
          </w:tcPr>
          <w:p>
            <w:pPr>
              <w:spacing w:after="0"/>
              <w:rPr>
                <w:sz w:val="1"/>
                <w:szCs w:val="1"/>
                <w:color w:val="auto"/>
              </w:rPr>
            </w:pPr>
          </w:p>
        </w:tc>
      </w:tr>
      <w:tr>
        <w:trPr>
          <w:trHeight w:val="116"/>
        </w:trPr>
        <w:tc>
          <w:tcPr>
            <w:tcW w:w="3220" w:type="dxa"/>
            <w:vAlign w:val="bottom"/>
          </w:tcPr>
          <w:p>
            <w:pPr>
              <w:spacing w:after="0"/>
              <w:rPr>
                <w:sz w:val="10"/>
                <w:szCs w:val="10"/>
                <w:color w:val="auto"/>
              </w:rPr>
            </w:pPr>
          </w:p>
        </w:tc>
        <w:tc>
          <w:tcPr>
            <w:tcW w:w="940" w:type="dxa"/>
            <w:vAlign w:val="bottom"/>
            <w:gridSpan w:val="2"/>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3220" w:type="dxa"/>
            <w:vAlign w:val="bottom"/>
            <w:shd w:val="clear" w:color="auto" w:fill="EAF7FA"/>
          </w:tcPr>
          <w:p>
            <w:pPr>
              <w:ind w:left="240"/>
              <w:spacing w:after="0"/>
              <w:rPr>
                <w:sz w:val="20"/>
                <w:szCs w:val="20"/>
                <w:color w:val="auto"/>
              </w:rPr>
            </w:pPr>
            <w:r>
              <w:rPr>
                <w:rFonts w:ascii="Arial" w:cs="Arial" w:eastAsia="Arial" w:hAnsi="Arial"/>
                <w:sz w:val="14"/>
                <w:szCs w:val="14"/>
                <w:b w:val="1"/>
                <w:bCs w:val="1"/>
                <w:color w:val="54565B"/>
              </w:rPr>
              <w:t>Mark A. Weiss</w:t>
            </w:r>
          </w:p>
        </w:tc>
        <w:tc>
          <w:tcPr>
            <w:tcW w:w="60" w:type="dxa"/>
            <w:vAlign w:val="bottom"/>
            <w:shd w:val="clear" w:color="auto" w:fill="EAF7FA"/>
          </w:tcPr>
          <w:p>
            <w:pPr>
              <w:spacing w:after="0"/>
              <w:rPr>
                <w:sz w:val="24"/>
                <w:szCs w:val="24"/>
                <w:color w:val="auto"/>
              </w:rPr>
            </w:pPr>
          </w:p>
        </w:tc>
        <w:tc>
          <w:tcPr>
            <w:tcW w:w="880" w:type="dxa"/>
            <w:vAlign w:val="bottom"/>
            <w:shd w:val="clear" w:color="auto" w:fill="EAF7FA"/>
          </w:tcPr>
          <w:p>
            <w:pPr>
              <w:ind w:left="280"/>
              <w:spacing w:after="0"/>
              <w:rPr>
                <w:sz w:val="20"/>
                <w:szCs w:val="20"/>
                <w:color w:val="auto"/>
              </w:rPr>
            </w:pPr>
            <w:r>
              <w:rPr>
                <w:rFonts w:ascii="Arial" w:cs="Arial" w:eastAsia="Arial" w:hAnsi="Arial"/>
                <w:sz w:val="14"/>
                <w:szCs w:val="14"/>
                <w:color w:val="54565B"/>
              </w:rPr>
              <w:t>2025</w:t>
            </w:r>
          </w:p>
        </w:tc>
        <w:tc>
          <w:tcPr>
            <w:tcW w:w="1060" w:type="dxa"/>
            <w:vAlign w:val="bottom"/>
            <w:shd w:val="clear" w:color="auto" w:fill="EAF7FA"/>
          </w:tcPr>
          <w:p>
            <w:pPr>
              <w:jc w:val="right"/>
              <w:ind w:right="108"/>
              <w:spacing w:after="0"/>
              <w:rPr>
                <w:sz w:val="20"/>
                <w:szCs w:val="20"/>
                <w:color w:val="auto"/>
              </w:rPr>
            </w:pPr>
            <w:r>
              <w:rPr>
                <w:rFonts w:ascii="Arial" w:cs="Arial" w:eastAsia="Arial" w:hAnsi="Arial"/>
                <w:sz w:val="14"/>
                <w:szCs w:val="14"/>
                <w:color w:val="54565B"/>
              </w:rPr>
              <w:t>580,000</w:t>
            </w:r>
          </w:p>
        </w:tc>
        <w:tc>
          <w:tcPr>
            <w:tcW w:w="940" w:type="dxa"/>
            <w:vAlign w:val="bottom"/>
            <w:shd w:val="clear" w:color="auto" w:fill="EAF7FA"/>
          </w:tcPr>
          <w:p>
            <w:pPr>
              <w:jc w:val="right"/>
              <w:ind w:right="48"/>
              <w:spacing w:after="0"/>
              <w:rPr>
                <w:sz w:val="20"/>
                <w:szCs w:val="20"/>
                <w:color w:val="auto"/>
              </w:rPr>
            </w:pPr>
            <w:r>
              <w:rPr>
                <w:rFonts w:ascii="Arial" w:cs="Arial" w:eastAsia="Arial" w:hAnsi="Arial"/>
                <w:sz w:val="14"/>
                <w:szCs w:val="14"/>
                <w:color w:val="54565B"/>
              </w:rPr>
              <w:t>​ 400,051</w:t>
            </w:r>
          </w:p>
        </w:tc>
        <w:tc>
          <w:tcPr>
            <w:tcW w:w="1100" w:type="dxa"/>
            <w:vAlign w:val="bottom"/>
            <w:shd w:val="clear" w:color="auto" w:fill="EAF7FA"/>
          </w:tcPr>
          <w:p>
            <w:pPr>
              <w:jc w:val="right"/>
              <w:ind w:right="148"/>
              <w:spacing w:after="0"/>
              <w:rPr>
                <w:sz w:val="20"/>
                <w:szCs w:val="20"/>
                <w:color w:val="auto"/>
              </w:rPr>
            </w:pPr>
            <w:r>
              <w:rPr>
                <w:rFonts w:ascii="Arial" w:cs="Arial" w:eastAsia="Arial" w:hAnsi="Arial"/>
                <w:sz w:val="14"/>
                <w:szCs w:val="14"/>
                <w:color w:val="54565B"/>
              </w:rPr>
              <w:t>431,800</w:t>
            </w:r>
          </w:p>
        </w:tc>
        <w:tc>
          <w:tcPr>
            <w:tcW w:w="1080" w:type="dxa"/>
            <w:vAlign w:val="bottom"/>
            <w:shd w:val="clear" w:color="auto" w:fill="EAF7FA"/>
          </w:tcPr>
          <w:p>
            <w:pPr>
              <w:jc w:val="right"/>
              <w:ind w:right="188"/>
              <w:spacing w:after="0"/>
              <w:rPr>
                <w:sz w:val="20"/>
                <w:szCs w:val="20"/>
                <w:color w:val="auto"/>
              </w:rPr>
            </w:pPr>
            <w:r>
              <w:rPr>
                <w:rFonts w:ascii="Arial" w:cs="Arial" w:eastAsia="Arial" w:hAnsi="Arial"/>
                <w:sz w:val="14"/>
                <w:szCs w:val="14"/>
                <w:color w:val="54565B"/>
              </w:rPr>
              <w:t>​  95,408</w:t>
            </w:r>
          </w:p>
        </w:tc>
        <w:tc>
          <w:tcPr>
            <w:tcW w:w="1060" w:type="dxa"/>
            <w:vAlign w:val="bottom"/>
            <w:shd w:val="clear" w:color="auto" w:fill="EAF7FA"/>
          </w:tcPr>
          <w:p>
            <w:pPr>
              <w:jc w:val="right"/>
              <w:ind w:right="188"/>
              <w:spacing w:after="0"/>
              <w:rPr>
                <w:sz w:val="20"/>
                <w:szCs w:val="20"/>
                <w:color w:val="auto"/>
              </w:rPr>
            </w:pPr>
            <w:r>
              <w:rPr>
                <w:rFonts w:ascii="Arial" w:cs="Arial" w:eastAsia="Arial" w:hAnsi="Arial"/>
                <w:sz w:val="14"/>
                <w:szCs w:val="14"/>
                <w:color w:val="54565B"/>
              </w:rPr>
              <w:t>​ 1,507,259</w:t>
            </w:r>
          </w:p>
        </w:tc>
        <w:tc>
          <w:tcPr>
            <w:tcW w:w="0" w:type="dxa"/>
            <w:vAlign w:val="bottom"/>
          </w:tcPr>
          <w:p>
            <w:pPr>
              <w:spacing w:after="0"/>
              <w:rPr>
                <w:sz w:val="1"/>
                <w:szCs w:val="1"/>
                <w:color w:val="auto"/>
              </w:rPr>
            </w:pPr>
          </w:p>
        </w:tc>
      </w:tr>
      <w:tr>
        <w:trPr>
          <w:trHeight w:val="223"/>
        </w:trPr>
        <w:tc>
          <w:tcPr>
            <w:tcW w:w="3220" w:type="dxa"/>
            <w:vAlign w:val="bottom"/>
            <w:shd w:val="clear" w:color="auto" w:fill="EAF7FA"/>
          </w:tcPr>
          <w:p>
            <w:pPr>
              <w:ind w:left="240"/>
              <w:spacing w:after="0"/>
              <w:rPr>
                <w:sz w:val="20"/>
                <w:szCs w:val="20"/>
                <w:color w:val="auto"/>
              </w:rPr>
            </w:pPr>
            <w:r>
              <w:rPr>
                <w:rFonts w:ascii="Arial" w:cs="Arial" w:eastAsia="Arial" w:hAnsi="Arial"/>
                <w:sz w:val="14"/>
                <w:szCs w:val="14"/>
                <w:color w:val="54565B"/>
              </w:rPr>
              <w:t>Senior Vice President and General Counsel</w:t>
            </w:r>
          </w:p>
        </w:tc>
        <w:tc>
          <w:tcPr>
            <w:tcW w:w="60" w:type="dxa"/>
            <w:vAlign w:val="bottom"/>
            <w:shd w:val="clear" w:color="auto" w:fill="EAF7FA"/>
          </w:tcPr>
          <w:p>
            <w:pPr>
              <w:spacing w:after="0"/>
              <w:rPr>
                <w:sz w:val="19"/>
                <w:szCs w:val="19"/>
                <w:color w:val="auto"/>
              </w:rPr>
            </w:pPr>
          </w:p>
        </w:tc>
        <w:tc>
          <w:tcPr>
            <w:tcW w:w="880" w:type="dxa"/>
            <w:vAlign w:val="bottom"/>
            <w:vMerge w:val="restart"/>
            <w:shd w:val="clear" w:color="auto" w:fill="EAF7FA"/>
          </w:tcPr>
          <w:p>
            <w:pPr>
              <w:ind w:left="280"/>
              <w:spacing w:after="0"/>
              <w:rPr>
                <w:sz w:val="20"/>
                <w:szCs w:val="20"/>
                <w:color w:val="auto"/>
              </w:rPr>
            </w:pPr>
            <w:r>
              <w:rPr>
                <w:rFonts w:ascii="Arial" w:cs="Arial" w:eastAsia="Arial" w:hAnsi="Arial"/>
                <w:sz w:val="14"/>
                <w:szCs w:val="14"/>
                <w:color w:val="54565B"/>
              </w:rPr>
              <w:t>2024</w:t>
            </w:r>
          </w:p>
        </w:tc>
        <w:tc>
          <w:tcPr>
            <w:tcW w:w="1060" w:type="dxa"/>
            <w:vAlign w:val="bottom"/>
            <w:vMerge w:val="restart"/>
            <w:shd w:val="clear" w:color="auto" w:fill="EAF7FA"/>
          </w:tcPr>
          <w:p>
            <w:pPr>
              <w:jc w:val="right"/>
              <w:ind w:right="108"/>
              <w:spacing w:after="0"/>
              <w:rPr>
                <w:sz w:val="20"/>
                <w:szCs w:val="20"/>
                <w:color w:val="auto"/>
              </w:rPr>
            </w:pPr>
            <w:r>
              <w:rPr>
                <w:rFonts w:ascii="Arial" w:cs="Arial" w:eastAsia="Arial" w:hAnsi="Arial"/>
                <w:sz w:val="14"/>
                <w:szCs w:val="14"/>
                <w:color w:val="54565B"/>
              </w:rPr>
              <w:t>560,000</w:t>
            </w:r>
          </w:p>
        </w:tc>
        <w:tc>
          <w:tcPr>
            <w:tcW w:w="940" w:type="dxa"/>
            <w:vAlign w:val="bottom"/>
            <w:vMerge w:val="restart"/>
            <w:shd w:val="clear" w:color="auto" w:fill="EAF7FA"/>
          </w:tcPr>
          <w:p>
            <w:pPr>
              <w:jc w:val="right"/>
              <w:ind w:right="68"/>
              <w:spacing w:after="0"/>
              <w:rPr>
                <w:sz w:val="20"/>
                <w:szCs w:val="20"/>
                <w:color w:val="auto"/>
              </w:rPr>
            </w:pPr>
            <w:r>
              <w:rPr>
                <w:rFonts w:ascii="Arial" w:cs="Arial" w:eastAsia="Arial" w:hAnsi="Arial"/>
                <w:sz w:val="14"/>
                <w:szCs w:val="14"/>
                <w:color w:val="54565B"/>
              </w:rPr>
              <w:t>380,116</w:t>
            </w:r>
          </w:p>
        </w:tc>
        <w:tc>
          <w:tcPr>
            <w:tcW w:w="1100" w:type="dxa"/>
            <w:vAlign w:val="bottom"/>
            <w:vMerge w:val="restart"/>
            <w:shd w:val="clear" w:color="auto" w:fill="EAF7FA"/>
          </w:tcPr>
          <w:p>
            <w:pPr>
              <w:jc w:val="right"/>
              <w:ind w:right="148"/>
              <w:spacing w:after="0"/>
              <w:rPr>
                <w:sz w:val="20"/>
                <w:szCs w:val="20"/>
                <w:color w:val="auto"/>
              </w:rPr>
            </w:pPr>
            <w:r>
              <w:rPr>
                <w:rFonts w:ascii="Arial" w:cs="Arial" w:eastAsia="Arial" w:hAnsi="Arial"/>
                <w:sz w:val="14"/>
                <w:szCs w:val="14"/>
                <w:color w:val="54565B"/>
              </w:rPr>
              <w:t>423,890</w:t>
            </w:r>
          </w:p>
        </w:tc>
        <w:tc>
          <w:tcPr>
            <w:tcW w:w="1080" w:type="dxa"/>
            <w:vAlign w:val="bottom"/>
            <w:vMerge w:val="restart"/>
            <w:shd w:val="clear" w:color="auto" w:fill="EAF7FA"/>
          </w:tcPr>
          <w:p>
            <w:pPr>
              <w:jc w:val="right"/>
              <w:ind w:right="188"/>
              <w:spacing w:after="0"/>
              <w:rPr>
                <w:sz w:val="20"/>
                <w:szCs w:val="20"/>
                <w:color w:val="auto"/>
              </w:rPr>
            </w:pPr>
            <w:r>
              <w:rPr>
                <w:rFonts w:ascii="Arial" w:cs="Arial" w:eastAsia="Arial" w:hAnsi="Arial"/>
                <w:sz w:val="14"/>
                <w:szCs w:val="14"/>
                <w:color w:val="54565B"/>
              </w:rPr>
              <w:t>81,257</w:t>
            </w:r>
          </w:p>
        </w:tc>
        <w:tc>
          <w:tcPr>
            <w:tcW w:w="1060" w:type="dxa"/>
            <w:vAlign w:val="bottom"/>
            <w:vMerge w:val="restart"/>
            <w:shd w:val="clear" w:color="auto" w:fill="EAF7FA"/>
          </w:tcPr>
          <w:p>
            <w:pPr>
              <w:jc w:val="right"/>
              <w:ind w:right="188"/>
              <w:spacing w:after="0"/>
              <w:rPr>
                <w:sz w:val="20"/>
                <w:szCs w:val="20"/>
                <w:color w:val="auto"/>
              </w:rPr>
            </w:pPr>
            <w:r>
              <w:rPr>
                <w:rFonts w:ascii="Arial" w:cs="Arial" w:eastAsia="Arial" w:hAnsi="Arial"/>
                <w:sz w:val="14"/>
                <w:szCs w:val="14"/>
                <w:color w:val="54565B"/>
              </w:rPr>
              <w:t>1,445,263</w:t>
            </w:r>
          </w:p>
        </w:tc>
        <w:tc>
          <w:tcPr>
            <w:tcW w:w="0" w:type="dxa"/>
            <w:vAlign w:val="bottom"/>
          </w:tcPr>
          <w:p>
            <w:pPr>
              <w:spacing w:after="0"/>
              <w:rPr>
                <w:sz w:val="1"/>
                <w:szCs w:val="1"/>
                <w:color w:val="auto"/>
              </w:rPr>
            </w:pPr>
          </w:p>
        </w:tc>
      </w:tr>
      <w:tr>
        <w:trPr>
          <w:trHeight w:val="189"/>
        </w:trPr>
        <w:tc>
          <w:tcPr>
            <w:tcW w:w="3220" w:type="dxa"/>
            <w:vAlign w:val="bottom"/>
            <w:shd w:val="clear" w:color="auto" w:fill="EAF7FA"/>
          </w:tcPr>
          <w:p>
            <w:pPr>
              <w:spacing w:after="0"/>
              <w:rPr>
                <w:sz w:val="16"/>
                <w:szCs w:val="16"/>
                <w:color w:val="auto"/>
              </w:rPr>
            </w:pPr>
          </w:p>
        </w:tc>
        <w:tc>
          <w:tcPr>
            <w:tcW w:w="60" w:type="dxa"/>
            <w:vAlign w:val="bottom"/>
            <w:shd w:val="clear" w:color="auto" w:fill="EAF7FA"/>
          </w:tcPr>
          <w:p>
            <w:pPr>
              <w:spacing w:after="0"/>
              <w:rPr>
                <w:sz w:val="16"/>
                <w:szCs w:val="16"/>
                <w:color w:val="auto"/>
              </w:rPr>
            </w:pPr>
          </w:p>
        </w:tc>
        <w:tc>
          <w:tcPr>
            <w:tcW w:w="880" w:type="dxa"/>
            <w:vAlign w:val="bottom"/>
            <w:vMerge w:val="continue"/>
            <w:shd w:val="clear" w:color="auto" w:fill="EAF7FA"/>
          </w:tcPr>
          <w:p>
            <w:pPr>
              <w:spacing w:after="0"/>
              <w:rPr>
                <w:sz w:val="16"/>
                <w:szCs w:val="16"/>
                <w:color w:val="auto"/>
              </w:rPr>
            </w:pPr>
          </w:p>
        </w:tc>
        <w:tc>
          <w:tcPr>
            <w:tcW w:w="1060" w:type="dxa"/>
            <w:vAlign w:val="bottom"/>
            <w:vMerge w:val="continue"/>
            <w:shd w:val="clear" w:color="auto" w:fill="EAF7FA"/>
          </w:tcPr>
          <w:p>
            <w:pPr>
              <w:spacing w:after="0"/>
              <w:rPr>
                <w:sz w:val="16"/>
                <w:szCs w:val="16"/>
                <w:color w:val="auto"/>
              </w:rPr>
            </w:pPr>
          </w:p>
        </w:tc>
        <w:tc>
          <w:tcPr>
            <w:tcW w:w="940" w:type="dxa"/>
            <w:vAlign w:val="bottom"/>
            <w:vMerge w:val="continue"/>
            <w:shd w:val="clear" w:color="auto" w:fill="EAF7FA"/>
          </w:tcPr>
          <w:p>
            <w:pPr>
              <w:spacing w:after="0"/>
              <w:rPr>
                <w:sz w:val="16"/>
                <w:szCs w:val="16"/>
                <w:color w:val="auto"/>
              </w:rPr>
            </w:pPr>
          </w:p>
        </w:tc>
        <w:tc>
          <w:tcPr>
            <w:tcW w:w="1100" w:type="dxa"/>
            <w:vAlign w:val="bottom"/>
            <w:vMerge w:val="continue"/>
            <w:shd w:val="clear" w:color="auto" w:fill="EAF7FA"/>
          </w:tcPr>
          <w:p>
            <w:pPr>
              <w:spacing w:after="0"/>
              <w:rPr>
                <w:sz w:val="16"/>
                <w:szCs w:val="16"/>
                <w:color w:val="auto"/>
              </w:rPr>
            </w:pPr>
          </w:p>
        </w:tc>
        <w:tc>
          <w:tcPr>
            <w:tcW w:w="1080" w:type="dxa"/>
            <w:vAlign w:val="bottom"/>
            <w:vMerge w:val="continue"/>
            <w:shd w:val="clear" w:color="auto" w:fill="EAF7FA"/>
          </w:tcPr>
          <w:p>
            <w:pPr>
              <w:spacing w:after="0"/>
              <w:rPr>
                <w:sz w:val="16"/>
                <w:szCs w:val="16"/>
                <w:color w:val="auto"/>
              </w:rPr>
            </w:pPr>
          </w:p>
        </w:tc>
        <w:tc>
          <w:tcPr>
            <w:tcW w:w="1060" w:type="dxa"/>
            <w:vAlign w:val="bottom"/>
            <w:vMerge w:val="continue"/>
            <w:shd w:val="clear" w:color="auto" w:fill="EAF7FA"/>
          </w:tcPr>
          <w:p>
            <w:pPr>
              <w:spacing w:after="0"/>
              <w:rPr>
                <w:sz w:val="16"/>
                <w:szCs w:val="16"/>
                <w:color w:val="auto"/>
              </w:rPr>
            </w:pPr>
          </w:p>
        </w:tc>
        <w:tc>
          <w:tcPr>
            <w:tcW w:w="0" w:type="dxa"/>
            <w:vAlign w:val="bottom"/>
          </w:tcPr>
          <w:p>
            <w:pPr>
              <w:spacing w:after="0"/>
              <w:rPr>
                <w:sz w:val="1"/>
                <w:szCs w:val="1"/>
                <w:color w:val="auto"/>
              </w:rPr>
            </w:pPr>
          </w:p>
        </w:tc>
      </w:tr>
      <w:tr>
        <w:trPr>
          <w:trHeight w:val="400"/>
        </w:trPr>
        <w:tc>
          <w:tcPr>
            <w:tcW w:w="3220" w:type="dxa"/>
            <w:vAlign w:val="bottom"/>
            <w:shd w:val="clear" w:color="auto" w:fill="EAF7FA"/>
          </w:tcPr>
          <w:p>
            <w:pPr>
              <w:spacing w:after="0"/>
              <w:rPr>
                <w:sz w:val="24"/>
                <w:szCs w:val="24"/>
                <w:color w:val="auto"/>
              </w:rPr>
            </w:pPr>
          </w:p>
        </w:tc>
        <w:tc>
          <w:tcPr>
            <w:tcW w:w="60" w:type="dxa"/>
            <w:vAlign w:val="bottom"/>
            <w:shd w:val="clear" w:color="auto" w:fill="EAF7FA"/>
          </w:tcPr>
          <w:p>
            <w:pPr>
              <w:spacing w:after="0"/>
              <w:rPr>
                <w:sz w:val="24"/>
                <w:szCs w:val="24"/>
                <w:color w:val="auto"/>
              </w:rPr>
            </w:pPr>
          </w:p>
        </w:tc>
        <w:tc>
          <w:tcPr>
            <w:tcW w:w="880" w:type="dxa"/>
            <w:vAlign w:val="bottom"/>
            <w:shd w:val="clear" w:color="auto" w:fill="EAF7FA"/>
          </w:tcPr>
          <w:p>
            <w:pPr>
              <w:ind w:left="280"/>
              <w:spacing w:after="0"/>
              <w:rPr>
                <w:sz w:val="20"/>
                <w:szCs w:val="20"/>
                <w:color w:val="auto"/>
              </w:rPr>
            </w:pPr>
            <w:r>
              <w:rPr>
                <w:rFonts w:ascii="Arial" w:cs="Arial" w:eastAsia="Arial" w:hAnsi="Arial"/>
                <w:sz w:val="14"/>
                <w:szCs w:val="14"/>
                <w:color w:val="54565B"/>
              </w:rPr>
              <w:t>2023</w:t>
            </w:r>
          </w:p>
        </w:tc>
        <w:tc>
          <w:tcPr>
            <w:tcW w:w="1060" w:type="dxa"/>
            <w:vAlign w:val="bottom"/>
            <w:shd w:val="clear" w:color="auto" w:fill="EAF7FA"/>
          </w:tcPr>
          <w:p>
            <w:pPr>
              <w:jc w:val="right"/>
              <w:ind w:right="108"/>
              <w:spacing w:after="0"/>
              <w:rPr>
                <w:sz w:val="20"/>
                <w:szCs w:val="20"/>
                <w:color w:val="auto"/>
              </w:rPr>
            </w:pPr>
            <w:r>
              <w:rPr>
                <w:rFonts w:ascii="Arial" w:cs="Arial" w:eastAsia="Arial" w:hAnsi="Arial"/>
                <w:sz w:val="14"/>
                <w:szCs w:val="14"/>
                <w:color w:val="54565B"/>
              </w:rPr>
              <w:t>540,000</w:t>
            </w:r>
          </w:p>
        </w:tc>
        <w:tc>
          <w:tcPr>
            <w:tcW w:w="940" w:type="dxa"/>
            <w:vAlign w:val="bottom"/>
            <w:shd w:val="clear" w:color="auto" w:fill="EAF7FA"/>
          </w:tcPr>
          <w:p>
            <w:pPr>
              <w:jc w:val="right"/>
              <w:ind w:right="48"/>
              <w:spacing w:after="0"/>
              <w:rPr>
                <w:sz w:val="20"/>
                <w:szCs w:val="20"/>
                <w:color w:val="auto"/>
              </w:rPr>
            </w:pPr>
            <w:r>
              <w:rPr>
                <w:rFonts w:ascii="Arial" w:cs="Arial" w:eastAsia="Arial" w:hAnsi="Arial"/>
                <w:sz w:val="14"/>
                <w:szCs w:val="14"/>
                <w:color w:val="54565B"/>
              </w:rPr>
              <w:t>320,128</w:t>
            </w:r>
          </w:p>
        </w:tc>
        <w:tc>
          <w:tcPr>
            <w:tcW w:w="1100" w:type="dxa"/>
            <w:vAlign w:val="bottom"/>
            <w:shd w:val="clear" w:color="auto" w:fill="EAF7FA"/>
          </w:tcPr>
          <w:p>
            <w:pPr>
              <w:jc w:val="right"/>
              <w:ind w:right="148"/>
              <w:spacing w:after="0"/>
              <w:rPr>
                <w:sz w:val="20"/>
                <w:szCs w:val="20"/>
                <w:color w:val="auto"/>
              </w:rPr>
            </w:pPr>
            <w:r>
              <w:rPr>
                <w:rFonts w:ascii="Arial" w:cs="Arial" w:eastAsia="Arial" w:hAnsi="Arial"/>
                <w:sz w:val="14"/>
                <w:szCs w:val="14"/>
                <w:color w:val="54565B"/>
              </w:rPr>
              <w:t>226,432</w:t>
            </w:r>
          </w:p>
        </w:tc>
        <w:tc>
          <w:tcPr>
            <w:tcW w:w="1080" w:type="dxa"/>
            <w:vAlign w:val="bottom"/>
            <w:shd w:val="clear" w:color="auto" w:fill="EAF7FA"/>
          </w:tcPr>
          <w:p>
            <w:pPr>
              <w:jc w:val="right"/>
              <w:ind w:right="188"/>
              <w:spacing w:after="0"/>
              <w:rPr>
                <w:sz w:val="20"/>
                <w:szCs w:val="20"/>
                <w:color w:val="auto"/>
              </w:rPr>
            </w:pPr>
            <w:r>
              <w:rPr>
                <w:rFonts w:ascii="Arial" w:cs="Arial" w:eastAsia="Arial" w:hAnsi="Arial"/>
                <w:sz w:val="14"/>
                <w:szCs w:val="14"/>
                <w:color w:val="54565B"/>
              </w:rPr>
              <w:t>79,785</w:t>
            </w:r>
          </w:p>
        </w:tc>
        <w:tc>
          <w:tcPr>
            <w:tcW w:w="1060" w:type="dxa"/>
            <w:vAlign w:val="bottom"/>
            <w:shd w:val="clear" w:color="auto" w:fill="EAF7FA"/>
          </w:tcPr>
          <w:p>
            <w:pPr>
              <w:jc w:val="right"/>
              <w:ind w:right="188"/>
              <w:spacing w:after="0"/>
              <w:rPr>
                <w:sz w:val="20"/>
                <w:szCs w:val="20"/>
                <w:color w:val="auto"/>
              </w:rPr>
            </w:pPr>
            <w:r>
              <w:rPr>
                <w:rFonts w:ascii="Arial" w:cs="Arial" w:eastAsia="Arial" w:hAnsi="Arial"/>
                <w:sz w:val="14"/>
                <w:szCs w:val="14"/>
                <w:color w:val="54565B"/>
              </w:rPr>
              <w:t>1,166,345</w:t>
            </w:r>
          </w:p>
        </w:tc>
        <w:tc>
          <w:tcPr>
            <w:tcW w:w="0" w:type="dxa"/>
            <w:vAlign w:val="bottom"/>
          </w:tcPr>
          <w:p>
            <w:pPr>
              <w:spacing w:after="0"/>
              <w:rPr>
                <w:sz w:val="1"/>
                <w:szCs w:val="1"/>
                <w:color w:val="auto"/>
              </w:rPr>
            </w:pPr>
          </w:p>
        </w:tc>
      </w:tr>
      <w:tr>
        <w:trPr>
          <w:trHeight w:val="162"/>
        </w:trPr>
        <w:tc>
          <w:tcPr>
            <w:tcW w:w="3220" w:type="dxa"/>
            <w:vAlign w:val="bottom"/>
            <w:tcBorders>
              <w:bottom w:val="single" w:sz="8" w:color="0B3C61"/>
            </w:tcBorders>
            <w:shd w:val="clear" w:color="auto" w:fill="EAF7FA"/>
          </w:tcPr>
          <w:p>
            <w:pPr>
              <w:spacing w:after="0"/>
              <w:rPr>
                <w:sz w:val="14"/>
                <w:szCs w:val="14"/>
                <w:color w:val="auto"/>
              </w:rPr>
            </w:pPr>
          </w:p>
        </w:tc>
        <w:tc>
          <w:tcPr>
            <w:tcW w:w="60" w:type="dxa"/>
            <w:vAlign w:val="bottom"/>
            <w:tcBorders>
              <w:bottom w:val="single" w:sz="8" w:color="0B3C61"/>
            </w:tcBorders>
            <w:shd w:val="clear" w:color="auto" w:fill="EAF7FA"/>
          </w:tcPr>
          <w:p>
            <w:pPr>
              <w:spacing w:after="0"/>
              <w:rPr>
                <w:sz w:val="14"/>
                <w:szCs w:val="14"/>
                <w:color w:val="auto"/>
              </w:rPr>
            </w:pPr>
          </w:p>
        </w:tc>
        <w:tc>
          <w:tcPr>
            <w:tcW w:w="880" w:type="dxa"/>
            <w:vAlign w:val="bottom"/>
            <w:tcBorders>
              <w:bottom w:val="single" w:sz="8" w:color="0B3C61"/>
            </w:tcBorders>
            <w:shd w:val="clear" w:color="auto" w:fill="EAF7FA"/>
          </w:tcPr>
          <w:p>
            <w:pPr>
              <w:spacing w:after="0"/>
              <w:rPr>
                <w:sz w:val="14"/>
                <w:szCs w:val="14"/>
                <w:color w:val="auto"/>
              </w:rPr>
            </w:pPr>
          </w:p>
        </w:tc>
        <w:tc>
          <w:tcPr>
            <w:tcW w:w="1060" w:type="dxa"/>
            <w:vAlign w:val="bottom"/>
            <w:tcBorders>
              <w:bottom w:val="single" w:sz="8" w:color="0B3C61"/>
            </w:tcBorders>
            <w:shd w:val="clear" w:color="auto" w:fill="EAF7FA"/>
          </w:tcPr>
          <w:p>
            <w:pPr>
              <w:spacing w:after="0"/>
              <w:rPr>
                <w:sz w:val="14"/>
                <w:szCs w:val="14"/>
                <w:color w:val="auto"/>
              </w:rPr>
            </w:pPr>
          </w:p>
        </w:tc>
        <w:tc>
          <w:tcPr>
            <w:tcW w:w="940" w:type="dxa"/>
            <w:vAlign w:val="bottom"/>
            <w:tcBorders>
              <w:bottom w:val="single" w:sz="8" w:color="0B3C61"/>
            </w:tcBorders>
            <w:shd w:val="clear" w:color="auto" w:fill="EAF7FA"/>
          </w:tcPr>
          <w:p>
            <w:pPr>
              <w:spacing w:after="0"/>
              <w:rPr>
                <w:sz w:val="14"/>
                <w:szCs w:val="14"/>
                <w:color w:val="auto"/>
              </w:rPr>
            </w:pPr>
          </w:p>
        </w:tc>
        <w:tc>
          <w:tcPr>
            <w:tcW w:w="1100" w:type="dxa"/>
            <w:vAlign w:val="bottom"/>
            <w:tcBorders>
              <w:bottom w:val="single" w:sz="8" w:color="0B3C61"/>
            </w:tcBorders>
            <w:shd w:val="clear" w:color="auto" w:fill="EAF7FA"/>
          </w:tcPr>
          <w:p>
            <w:pPr>
              <w:spacing w:after="0"/>
              <w:rPr>
                <w:sz w:val="14"/>
                <w:szCs w:val="14"/>
                <w:color w:val="auto"/>
              </w:rPr>
            </w:pPr>
          </w:p>
        </w:tc>
        <w:tc>
          <w:tcPr>
            <w:tcW w:w="1080" w:type="dxa"/>
            <w:vAlign w:val="bottom"/>
            <w:tcBorders>
              <w:bottom w:val="single" w:sz="8" w:color="0B3C61"/>
            </w:tcBorders>
            <w:shd w:val="clear" w:color="auto" w:fill="EAF7FA"/>
          </w:tcPr>
          <w:p>
            <w:pPr>
              <w:spacing w:after="0"/>
              <w:rPr>
                <w:sz w:val="14"/>
                <w:szCs w:val="14"/>
                <w:color w:val="auto"/>
              </w:rPr>
            </w:pPr>
          </w:p>
        </w:tc>
        <w:tc>
          <w:tcPr>
            <w:tcW w:w="1060" w:type="dxa"/>
            <w:vAlign w:val="bottom"/>
            <w:tcBorders>
              <w:bottom w:val="single" w:sz="8" w:color="0B3C61"/>
            </w:tcBorders>
            <w:shd w:val="clear" w:color="auto" w:fill="EAF7FA"/>
          </w:tcPr>
          <w:p>
            <w:pPr>
              <w:spacing w:after="0"/>
              <w:rPr>
                <w:sz w:val="14"/>
                <w:szCs w:val="1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3"/>
          <w:szCs w:val="13"/>
          <w:color w:val="54565B"/>
        </w:rPr>
        <w:t>(1)</w:t>
      </w:r>
      <w:r>
        <w:rPr>
          <w:sz w:val="20"/>
          <w:szCs w:val="20"/>
          <w:color w:val="auto"/>
        </w:rPr>
        <w:tab/>
      </w:r>
      <w:r>
        <w:rPr>
          <w:rFonts w:ascii="Arial" w:cs="Arial" w:eastAsia="Arial" w:hAnsi="Arial"/>
          <w:sz w:val="12"/>
          <w:szCs w:val="12"/>
          <w:color w:val="54565B"/>
        </w:rPr>
        <w:t>Amounts shown are not reduced to reflect the NEOs’ elections, if any, to defer receipt of salary into the Deferred Compensation Plan.</w:t>
      </w: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54 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440" w:right="60" w:hanging="272"/>
        <w:spacing w:after="0" w:line="226" w:lineRule="auto"/>
        <w:tabs>
          <w:tab w:leader="none" w:pos="440" w:val="left"/>
        </w:tabs>
        <w:numPr>
          <w:ilvl w:val="0"/>
          <w:numId w:val="22"/>
        </w:numPr>
        <w:rPr>
          <w:rFonts w:ascii="Arial" w:cs="Arial" w:eastAsia="Arial" w:hAnsi="Arial"/>
          <w:sz w:val="13"/>
          <w:szCs w:val="13"/>
          <w:color w:val="54565B"/>
        </w:rPr>
      </w:pPr>
      <w:r>
        <w:rPr>
          <w:rFonts w:ascii="Arial" w:cs="Arial" w:eastAsia="Arial" w:hAnsi="Arial"/>
          <w:sz w:val="13"/>
          <w:szCs w:val="13"/>
          <w:color w:val="54565B"/>
        </w:rPr>
        <w:t>Amount shown for 2025 represents the dollar amount which will be expensed for financial statement reporting purposes over the four-year cliff vesting period of discretionary restricted stock awards made by the Compensation Committee for compensation expense incurred by the Company. Amounts were determined in accordance with FASB ASC 718 (Compensation – Stock Compensation), rather than as an amount paid to or realized, and as such, dividends paid on restricted stock awards are not reported. Mr. Berding’s total for 2023 includes a grant of restricted stock upon his promotion to President of the Company in June 2023, which has a four-year cliff vesting period.</w:t>
      </w:r>
    </w:p>
    <w:p>
      <w:pPr>
        <w:spacing w:after="0" w:line="25" w:lineRule="exact"/>
        <w:rPr>
          <w:rFonts w:ascii="Arial" w:cs="Arial" w:eastAsia="Arial" w:hAnsi="Arial"/>
          <w:sz w:val="13"/>
          <w:szCs w:val="13"/>
          <w:color w:val="54565B"/>
        </w:rPr>
      </w:pPr>
    </w:p>
    <w:p>
      <w:pPr>
        <w:ind w:left="440" w:right="20" w:hanging="272"/>
        <w:spacing w:after="0" w:line="229" w:lineRule="auto"/>
        <w:tabs>
          <w:tab w:leader="none" w:pos="440" w:val="left"/>
        </w:tabs>
        <w:numPr>
          <w:ilvl w:val="0"/>
          <w:numId w:val="22"/>
        </w:numPr>
        <w:rPr>
          <w:rFonts w:ascii="Arial" w:cs="Arial" w:eastAsia="Arial" w:hAnsi="Arial"/>
          <w:sz w:val="13"/>
          <w:szCs w:val="13"/>
          <w:color w:val="54565B"/>
        </w:rPr>
      </w:pPr>
      <w:r>
        <w:rPr>
          <w:rFonts w:ascii="Arial" w:cs="Arial" w:eastAsia="Arial" w:hAnsi="Arial"/>
          <w:sz w:val="13"/>
          <w:szCs w:val="13"/>
          <w:color w:val="54565B"/>
        </w:rPr>
        <w:t xml:space="preserve">Non-equity incentive plan compensation payments to all NEOs except Mr. Thompson include those made pursuant to the Annual Bonus Plan, a performance-based annual cash bonus plan. For the Co-CEOs and Mr. Berding, amounts also include payments under the Senior Executive LTIC, which are further described in the Compensation Discussion and Analysis section beginning on page </w:t>
      </w:r>
      <w:r>
        <w:rPr>
          <w:rFonts w:ascii="Arial" w:cs="Arial" w:eastAsia="Arial" w:hAnsi="Arial"/>
          <w:sz w:val="13"/>
          <w:szCs w:val="13"/>
          <w:u w:val="single" w:color="auto"/>
          <w:color w:val="0000EE"/>
        </w:rPr>
        <w:t>50</w:t>
      </w:r>
      <w:r>
        <w:rPr>
          <w:rFonts w:ascii="Arial" w:cs="Arial" w:eastAsia="Arial" w:hAnsi="Arial"/>
          <w:sz w:val="13"/>
          <w:szCs w:val="13"/>
          <w:color w:val="54565B"/>
        </w:rPr>
        <w:t xml:space="preserve"> of this proxy statement. For discussion of Mr. Thompson’s incentive compensation, see “Compensation Discussion &amp; Analysis—Annual Bonus Plan” beginning on page </w:t>
      </w:r>
      <w:r>
        <w:rPr>
          <w:rFonts w:ascii="Arial" w:cs="Arial" w:eastAsia="Arial" w:hAnsi="Arial"/>
          <w:sz w:val="13"/>
          <w:szCs w:val="13"/>
          <w:u w:val="single" w:color="auto"/>
          <w:color w:val="0000EE"/>
        </w:rPr>
        <w:t>46</w:t>
      </w:r>
      <w:r>
        <w:rPr>
          <w:rFonts w:ascii="Arial" w:cs="Arial" w:eastAsia="Arial" w:hAnsi="Arial"/>
          <w:sz w:val="13"/>
          <w:szCs w:val="13"/>
          <w:color w:val="54565B"/>
        </w:rPr>
        <w:t>.</w:t>
      </w:r>
    </w:p>
    <w:p>
      <w:pPr>
        <w:spacing w:after="0" w:line="23" w:lineRule="exact"/>
        <w:rPr>
          <w:rFonts w:ascii="Arial" w:cs="Arial" w:eastAsia="Arial" w:hAnsi="Arial"/>
          <w:sz w:val="13"/>
          <w:szCs w:val="13"/>
          <w:color w:val="54565B"/>
        </w:rPr>
      </w:pPr>
    </w:p>
    <w:p>
      <w:pPr>
        <w:ind w:left="440" w:hanging="272"/>
        <w:spacing w:after="0"/>
        <w:tabs>
          <w:tab w:leader="none" w:pos="440" w:val="left"/>
        </w:tabs>
        <w:numPr>
          <w:ilvl w:val="0"/>
          <w:numId w:val="22"/>
        </w:numPr>
        <w:rPr>
          <w:rFonts w:ascii="Arial" w:cs="Arial" w:eastAsia="Arial" w:hAnsi="Arial"/>
          <w:sz w:val="13"/>
          <w:szCs w:val="13"/>
          <w:color w:val="54565B"/>
        </w:rPr>
      </w:pPr>
      <w:r>
        <w:rPr>
          <w:rFonts w:ascii="Arial" w:cs="Arial" w:eastAsia="Arial" w:hAnsi="Arial"/>
          <w:sz w:val="13"/>
          <w:szCs w:val="13"/>
          <w:color w:val="54565B"/>
        </w:rPr>
        <w:t>The All Other Compensation chart below details the components of these amounts.</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54565B"/>
        </w:rPr>
        <w:t>All Other Compensation ($)—2025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60" w:type="dxa"/>
            <w:vAlign w:val="bottom"/>
            <w:shd w:val="clear" w:color="auto" w:fill="0B3C61"/>
          </w:tcPr>
          <w:p>
            <w:pPr>
              <w:spacing w:after="0"/>
              <w:rPr>
                <w:sz w:val="22"/>
                <w:szCs w:val="22"/>
                <w:color w:val="auto"/>
              </w:rPr>
            </w:pPr>
          </w:p>
        </w:tc>
        <w:tc>
          <w:tcPr>
            <w:tcW w:w="3160" w:type="dxa"/>
            <w:vAlign w:val="bottom"/>
            <w:shd w:val="clear" w:color="auto" w:fill="0B3C61"/>
          </w:tcPr>
          <w:p>
            <w:pPr>
              <w:spacing w:after="0"/>
              <w:rPr>
                <w:sz w:val="22"/>
                <w:szCs w:val="22"/>
                <w:color w:val="auto"/>
              </w:rPr>
            </w:pPr>
          </w:p>
        </w:tc>
        <w:tc>
          <w:tcPr>
            <w:tcW w:w="1080" w:type="dxa"/>
            <w:vAlign w:val="bottom"/>
            <w:shd w:val="clear" w:color="auto" w:fill="0B3C61"/>
          </w:tcPr>
          <w:p>
            <w:pPr>
              <w:jc w:val="right"/>
              <w:ind w:right="268"/>
              <w:spacing w:after="0"/>
              <w:rPr>
                <w:sz w:val="20"/>
                <w:szCs w:val="20"/>
                <w:color w:val="auto"/>
              </w:rPr>
            </w:pPr>
            <w:r>
              <w:rPr>
                <w:rFonts w:ascii="Arial" w:cs="Arial" w:eastAsia="Arial" w:hAnsi="Arial"/>
                <w:sz w:val="14"/>
                <w:szCs w:val="14"/>
                <w:color w:val="FFFFFF"/>
              </w:rPr>
              <w:t>C.H.</w:t>
            </w:r>
          </w:p>
        </w:tc>
        <w:tc>
          <w:tcPr>
            <w:tcW w:w="940" w:type="dxa"/>
            <w:vAlign w:val="bottom"/>
            <w:shd w:val="clear" w:color="auto" w:fill="0B3C61"/>
          </w:tcPr>
          <w:p>
            <w:pPr>
              <w:jc w:val="right"/>
              <w:ind w:right="288"/>
              <w:spacing w:after="0"/>
              <w:rPr>
                <w:sz w:val="20"/>
                <w:szCs w:val="20"/>
                <w:color w:val="auto"/>
              </w:rPr>
            </w:pPr>
            <w:r>
              <w:rPr>
                <w:rFonts w:ascii="Arial" w:cs="Arial" w:eastAsia="Arial" w:hAnsi="Arial"/>
                <w:sz w:val="14"/>
                <w:szCs w:val="14"/>
                <w:color w:val="FFFFFF"/>
              </w:rPr>
              <w:t>S.C.</w:t>
            </w:r>
          </w:p>
        </w:tc>
        <w:tc>
          <w:tcPr>
            <w:tcW w:w="860" w:type="dxa"/>
            <w:vAlign w:val="bottom"/>
            <w:shd w:val="clear" w:color="auto" w:fill="0B3C61"/>
          </w:tcPr>
          <w:p>
            <w:pPr>
              <w:jc w:val="right"/>
              <w:ind w:right="248"/>
              <w:spacing w:after="0"/>
              <w:rPr>
                <w:sz w:val="20"/>
                <w:szCs w:val="20"/>
                <w:color w:val="auto"/>
              </w:rPr>
            </w:pPr>
            <w:r>
              <w:rPr>
                <w:rFonts w:ascii="Arial" w:cs="Arial" w:eastAsia="Arial" w:hAnsi="Arial"/>
                <w:sz w:val="14"/>
                <w:szCs w:val="14"/>
                <w:color w:val="FFFFFF"/>
              </w:rPr>
              <w:t>J.B.</w:t>
            </w:r>
          </w:p>
        </w:tc>
        <w:tc>
          <w:tcPr>
            <w:tcW w:w="1000" w:type="dxa"/>
            <w:vAlign w:val="bottom"/>
            <w:shd w:val="clear" w:color="auto" w:fill="0B3C61"/>
          </w:tcPr>
          <w:p>
            <w:pPr>
              <w:jc w:val="right"/>
              <w:ind w:right="328"/>
              <w:spacing w:after="0"/>
              <w:rPr>
                <w:sz w:val="20"/>
                <w:szCs w:val="20"/>
                <w:color w:val="auto"/>
              </w:rPr>
            </w:pPr>
            <w:r>
              <w:rPr>
                <w:rFonts w:ascii="Arial" w:cs="Arial" w:eastAsia="Arial" w:hAnsi="Arial"/>
                <w:sz w:val="14"/>
                <w:szCs w:val="14"/>
                <w:color w:val="FFFFFF"/>
              </w:rPr>
              <w:t>B.S.</w:t>
            </w:r>
          </w:p>
        </w:tc>
        <w:tc>
          <w:tcPr>
            <w:tcW w:w="1140" w:type="dxa"/>
            <w:vAlign w:val="bottom"/>
            <w:shd w:val="clear" w:color="auto" w:fill="0B3C61"/>
          </w:tcPr>
          <w:p>
            <w:pPr>
              <w:jc w:val="right"/>
              <w:ind w:right="408"/>
              <w:spacing w:after="0"/>
              <w:rPr>
                <w:sz w:val="20"/>
                <w:szCs w:val="20"/>
                <w:color w:val="auto"/>
              </w:rPr>
            </w:pPr>
            <w:r>
              <w:rPr>
                <w:rFonts w:ascii="Arial" w:cs="Arial" w:eastAsia="Arial" w:hAnsi="Arial"/>
                <w:sz w:val="14"/>
                <w:szCs w:val="14"/>
                <w:color w:val="FFFFFF"/>
              </w:rPr>
              <w:t>D.L.</w:t>
            </w:r>
          </w:p>
        </w:tc>
        <w:tc>
          <w:tcPr>
            <w:tcW w:w="1060" w:type="dxa"/>
            <w:vAlign w:val="bottom"/>
            <w:shd w:val="clear" w:color="auto" w:fill="0B3C61"/>
          </w:tcPr>
          <w:p>
            <w:pPr>
              <w:jc w:val="right"/>
              <w:ind w:right="388"/>
              <w:spacing w:after="0"/>
              <w:rPr>
                <w:sz w:val="20"/>
                <w:szCs w:val="20"/>
                <w:color w:val="auto"/>
              </w:rPr>
            </w:pPr>
            <w:r>
              <w:rPr>
                <w:rFonts w:ascii="Arial" w:cs="Arial" w:eastAsia="Arial" w:hAnsi="Arial"/>
                <w:sz w:val="14"/>
                <w:szCs w:val="14"/>
                <w:color w:val="FFFFFF"/>
              </w:rPr>
              <w:t>M.A.</w:t>
            </w:r>
          </w:p>
        </w:tc>
        <w:tc>
          <w:tcPr>
            <w:tcW w:w="0" w:type="dxa"/>
            <w:vAlign w:val="bottom"/>
          </w:tcPr>
          <w:p>
            <w:pPr>
              <w:spacing w:after="0"/>
              <w:rPr>
                <w:sz w:val="1"/>
                <w:szCs w:val="1"/>
                <w:color w:val="auto"/>
              </w:rPr>
            </w:pPr>
          </w:p>
        </w:tc>
      </w:tr>
      <w:tr>
        <w:trPr>
          <w:trHeight w:val="190"/>
        </w:trPr>
        <w:tc>
          <w:tcPr>
            <w:tcW w:w="160" w:type="dxa"/>
            <w:vAlign w:val="bottom"/>
            <w:shd w:val="clear" w:color="auto" w:fill="0B3C61"/>
          </w:tcPr>
          <w:p>
            <w:pPr>
              <w:spacing w:after="0"/>
              <w:rPr>
                <w:sz w:val="16"/>
                <w:szCs w:val="16"/>
                <w:color w:val="auto"/>
              </w:rPr>
            </w:pPr>
          </w:p>
        </w:tc>
        <w:tc>
          <w:tcPr>
            <w:tcW w:w="3160" w:type="dxa"/>
            <w:vAlign w:val="bottom"/>
            <w:shd w:val="clear" w:color="auto" w:fill="0B3C61"/>
          </w:tcPr>
          <w:p>
            <w:pPr>
              <w:ind w:left="80"/>
              <w:spacing w:after="0"/>
              <w:rPr>
                <w:sz w:val="20"/>
                <w:szCs w:val="20"/>
                <w:color w:val="auto"/>
              </w:rPr>
            </w:pPr>
            <w:r>
              <w:rPr>
                <w:rFonts w:ascii="Arial" w:cs="Arial" w:eastAsia="Arial" w:hAnsi="Arial"/>
                <w:sz w:val="14"/>
                <w:szCs w:val="14"/>
                <w:color w:val="FFFFFF"/>
              </w:rPr>
              <w:t>Item</w:t>
            </w:r>
          </w:p>
        </w:tc>
        <w:tc>
          <w:tcPr>
            <w:tcW w:w="1080" w:type="dxa"/>
            <w:vAlign w:val="bottom"/>
            <w:shd w:val="clear" w:color="auto" w:fill="0B3C61"/>
          </w:tcPr>
          <w:p>
            <w:pPr>
              <w:jc w:val="right"/>
              <w:ind w:right="68"/>
              <w:spacing w:after="0"/>
              <w:rPr>
                <w:sz w:val="20"/>
                <w:szCs w:val="20"/>
                <w:color w:val="auto"/>
              </w:rPr>
            </w:pPr>
            <w:r>
              <w:rPr>
                <w:rFonts w:ascii="Arial" w:cs="Arial" w:eastAsia="Arial" w:hAnsi="Arial"/>
                <w:sz w:val="14"/>
                <w:szCs w:val="14"/>
                <w:color w:val="FFFFFF"/>
              </w:rPr>
              <w:t>Lindner III</w:t>
            </w:r>
          </w:p>
        </w:tc>
        <w:tc>
          <w:tcPr>
            <w:tcW w:w="940" w:type="dxa"/>
            <w:vAlign w:val="bottom"/>
            <w:shd w:val="clear" w:color="auto" w:fill="0B3C61"/>
          </w:tcPr>
          <w:p>
            <w:pPr>
              <w:jc w:val="right"/>
              <w:ind w:right="168"/>
              <w:spacing w:after="0"/>
              <w:rPr>
                <w:sz w:val="20"/>
                <w:szCs w:val="20"/>
                <w:color w:val="auto"/>
              </w:rPr>
            </w:pPr>
            <w:r>
              <w:rPr>
                <w:rFonts w:ascii="Arial" w:cs="Arial" w:eastAsia="Arial" w:hAnsi="Arial"/>
                <w:sz w:val="14"/>
                <w:szCs w:val="14"/>
                <w:color w:val="FFFFFF"/>
              </w:rPr>
              <w:t>Lindner</w:t>
            </w:r>
          </w:p>
        </w:tc>
        <w:tc>
          <w:tcPr>
            <w:tcW w:w="860" w:type="dxa"/>
            <w:vAlign w:val="bottom"/>
            <w:shd w:val="clear" w:color="auto" w:fill="0B3C61"/>
          </w:tcPr>
          <w:p>
            <w:pPr>
              <w:jc w:val="right"/>
              <w:ind w:right="108"/>
              <w:spacing w:after="0"/>
              <w:rPr>
                <w:sz w:val="20"/>
                <w:szCs w:val="20"/>
                <w:color w:val="auto"/>
              </w:rPr>
            </w:pPr>
            <w:r>
              <w:rPr>
                <w:rFonts w:ascii="Arial" w:cs="Arial" w:eastAsia="Arial" w:hAnsi="Arial"/>
                <w:sz w:val="14"/>
                <w:szCs w:val="14"/>
                <w:color w:val="FFFFFF"/>
              </w:rPr>
              <w:t>Berding</w:t>
            </w:r>
          </w:p>
        </w:tc>
        <w:tc>
          <w:tcPr>
            <w:tcW w:w="1000" w:type="dxa"/>
            <w:vAlign w:val="bottom"/>
            <w:shd w:val="clear" w:color="auto" w:fill="0B3C61"/>
          </w:tcPr>
          <w:p>
            <w:pPr>
              <w:jc w:val="right"/>
              <w:ind w:right="128"/>
              <w:spacing w:after="0"/>
              <w:rPr>
                <w:sz w:val="20"/>
                <w:szCs w:val="20"/>
                <w:color w:val="auto"/>
              </w:rPr>
            </w:pPr>
            <w:r>
              <w:rPr>
                <w:rFonts w:ascii="Arial" w:cs="Arial" w:eastAsia="Arial" w:hAnsi="Arial"/>
                <w:sz w:val="14"/>
                <w:szCs w:val="14"/>
                <w:color w:val="FFFFFF"/>
              </w:rPr>
              <w:t>Hertzman</w:t>
            </w:r>
          </w:p>
        </w:tc>
        <w:tc>
          <w:tcPr>
            <w:tcW w:w="1140" w:type="dxa"/>
            <w:vAlign w:val="bottom"/>
            <w:shd w:val="clear" w:color="auto" w:fill="0B3C61"/>
          </w:tcPr>
          <w:p>
            <w:pPr>
              <w:jc w:val="right"/>
              <w:ind w:right="188"/>
              <w:spacing w:after="0"/>
              <w:rPr>
                <w:sz w:val="20"/>
                <w:szCs w:val="20"/>
                <w:color w:val="auto"/>
              </w:rPr>
            </w:pPr>
            <w:r>
              <w:rPr>
                <w:rFonts w:ascii="Arial" w:cs="Arial" w:eastAsia="Arial" w:hAnsi="Arial"/>
                <w:sz w:val="14"/>
                <w:szCs w:val="14"/>
                <w:color w:val="FFFFFF"/>
              </w:rPr>
              <w:t>Thompson</w:t>
            </w:r>
          </w:p>
        </w:tc>
        <w:tc>
          <w:tcPr>
            <w:tcW w:w="1060" w:type="dxa"/>
            <w:vAlign w:val="bottom"/>
            <w:shd w:val="clear" w:color="auto" w:fill="0B3C61"/>
          </w:tcPr>
          <w:p>
            <w:pPr>
              <w:jc w:val="right"/>
              <w:ind w:right="328"/>
              <w:spacing w:after="0"/>
              <w:rPr>
                <w:sz w:val="20"/>
                <w:szCs w:val="20"/>
                <w:color w:val="auto"/>
              </w:rPr>
            </w:pPr>
            <w:r>
              <w:rPr>
                <w:rFonts w:ascii="Arial" w:cs="Arial" w:eastAsia="Arial" w:hAnsi="Arial"/>
                <w:sz w:val="14"/>
                <w:szCs w:val="14"/>
                <w:color w:val="FFFFFF"/>
              </w:rPr>
              <w:t>Weiss</w:t>
            </w:r>
          </w:p>
        </w:tc>
        <w:tc>
          <w:tcPr>
            <w:tcW w:w="0" w:type="dxa"/>
            <w:vAlign w:val="bottom"/>
          </w:tcPr>
          <w:p>
            <w:pPr>
              <w:spacing w:after="0"/>
              <w:rPr>
                <w:sz w:val="1"/>
                <w:szCs w:val="1"/>
                <w:color w:val="auto"/>
              </w:rPr>
            </w:pPr>
          </w:p>
        </w:tc>
      </w:tr>
      <w:tr>
        <w:trPr>
          <w:trHeight w:val="62"/>
        </w:trPr>
        <w:tc>
          <w:tcPr>
            <w:tcW w:w="160" w:type="dxa"/>
            <w:vAlign w:val="bottom"/>
            <w:shd w:val="clear" w:color="auto" w:fill="0B3C61"/>
          </w:tcPr>
          <w:p>
            <w:pPr>
              <w:spacing w:after="0"/>
              <w:rPr>
                <w:sz w:val="5"/>
                <w:szCs w:val="5"/>
                <w:color w:val="auto"/>
              </w:rPr>
            </w:pPr>
          </w:p>
        </w:tc>
        <w:tc>
          <w:tcPr>
            <w:tcW w:w="3160" w:type="dxa"/>
            <w:vAlign w:val="bottom"/>
            <w:shd w:val="clear" w:color="auto" w:fill="0B3C61"/>
          </w:tcPr>
          <w:p>
            <w:pPr>
              <w:spacing w:after="0"/>
              <w:rPr>
                <w:sz w:val="5"/>
                <w:szCs w:val="5"/>
                <w:color w:val="auto"/>
              </w:rPr>
            </w:pPr>
          </w:p>
        </w:tc>
        <w:tc>
          <w:tcPr>
            <w:tcW w:w="1080" w:type="dxa"/>
            <w:vAlign w:val="bottom"/>
            <w:shd w:val="clear" w:color="auto" w:fill="0B3C61"/>
          </w:tcPr>
          <w:p>
            <w:pPr>
              <w:spacing w:after="0"/>
              <w:rPr>
                <w:sz w:val="5"/>
                <w:szCs w:val="5"/>
                <w:color w:val="auto"/>
              </w:rPr>
            </w:pPr>
          </w:p>
        </w:tc>
        <w:tc>
          <w:tcPr>
            <w:tcW w:w="940" w:type="dxa"/>
            <w:vAlign w:val="bottom"/>
            <w:shd w:val="clear" w:color="auto" w:fill="0B3C61"/>
          </w:tcPr>
          <w:p>
            <w:pPr>
              <w:spacing w:after="0"/>
              <w:rPr>
                <w:sz w:val="5"/>
                <w:szCs w:val="5"/>
                <w:color w:val="auto"/>
              </w:rPr>
            </w:pPr>
          </w:p>
        </w:tc>
        <w:tc>
          <w:tcPr>
            <w:tcW w:w="860" w:type="dxa"/>
            <w:vAlign w:val="bottom"/>
            <w:shd w:val="clear" w:color="auto" w:fill="0B3C61"/>
          </w:tcPr>
          <w:p>
            <w:pPr>
              <w:spacing w:after="0"/>
              <w:rPr>
                <w:sz w:val="5"/>
                <w:szCs w:val="5"/>
                <w:color w:val="auto"/>
              </w:rPr>
            </w:pPr>
          </w:p>
        </w:tc>
        <w:tc>
          <w:tcPr>
            <w:tcW w:w="1000" w:type="dxa"/>
            <w:vAlign w:val="bottom"/>
            <w:shd w:val="clear" w:color="auto" w:fill="0B3C61"/>
          </w:tcPr>
          <w:p>
            <w:pPr>
              <w:spacing w:after="0"/>
              <w:rPr>
                <w:sz w:val="5"/>
                <w:szCs w:val="5"/>
                <w:color w:val="auto"/>
              </w:rPr>
            </w:pPr>
          </w:p>
        </w:tc>
        <w:tc>
          <w:tcPr>
            <w:tcW w:w="1140" w:type="dxa"/>
            <w:vAlign w:val="bottom"/>
            <w:shd w:val="clear" w:color="auto" w:fill="0B3C61"/>
          </w:tcPr>
          <w:p>
            <w:pPr>
              <w:spacing w:after="0"/>
              <w:rPr>
                <w:sz w:val="5"/>
                <w:szCs w:val="5"/>
                <w:color w:val="auto"/>
              </w:rPr>
            </w:pPr>
          </w:p>
        </w:tc>
        <w:tc>
          <w:tcPr>
            <w:tcW w:w="1060" w:type="dxa"/>
            <w:vAlign w:val="bottom"/>
            <w:shd w:val="clear" w:color="auto" w:fill="0B3C61"/>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3160" w:type="dxa"/>
            <w:vAlign w:val="bottom"/>
          </w:tcPr>
          <w:p>
            <w:pPr>
              <w:ind w:left="80"/>
              <w:spacing w:after="0"/>
              <w:rPr>
                <w:sz w:val="20"/>
                <w:szCs w:val="20"/>
                <w:color w:val="auto"/>
              </w:rPr>
            </w:pPr>
            <w:r>
              <w:rPr>
                <w:rFonts w:ascii="Arial" w:cs="Arial" w:eastAsia="Arial" w:hAnsi="Arial"/>
                <w:sz w:val="14"/>
                <w:szCs w:val="14"/>
                <w:color w:val="54565B"/>
              </w:rPr>
              <w:t>Insurance (Auto/Home Executive Insurance</w:t>
            </w: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color w:val="54565B"/>
              </w:rPr>
              <w:t>600,000</w:t>
            </w: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color w:val="54565B"/>
              </w:rPr>
              <w:t>600,000</w:t>
            </w: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color w:val="54565B"/>
              </w:rPr>
              <w:t>51,580</w:t>
            </w:r>
          </w:p>
        </w:tc>
        <w:tc>
          <w:tcPr>
            <w:tcW w:w="1000" w:type="dxa"/>
            <w:vAlign w:val="bottom"/>
            <w:vMerge w:val="restart"/>
          </w:tcPr>
          <w:p>
            <w:pPr>
              <w:jc w:val="right"/>
              <w:ind w:right="188"/>
              <w:spacing w:after="0"/>
              <w:rPr>
                <w:sz w:val="20"/>
                <w:szCs w:val="20"/>
                <w:color w:val="auto"/>
              </w:rPr>
            </w:pPr>
            <w:r>
              <w:rPr>
                <w:rFonts w:ascii="Arial" w:cs="Arial" w:eastAsia="Arial" w:hAnsi="Arial"/>
                <w:sz w:val="14"/>
                <w:szCs w:val="14"/>
                <w:color w:val="54565B"/>
              </w:rPr>
              <w:t>45,943</w:t>
            </w:r>
          </w:p>
        </w:tc>
        <w:tc>
          <w:tcPr>
            <w:tcW w:w="1140" w:type="dxa"/>
            <w:vAlign w:val="bottom"/>
            <w:vMerge w:val="restart"/>
          </w:tcPr>
          <w:p>
            <w:pPr>
              <w:jc w:val="right"/>
              <w:ind w:right="268"/>
              <w:spacing w:after="0"/>
              <w:rPr>
                <w:sz w:val="20"/>
                <w:szCs w:val="20"/>
                <w:color w:val="auto"/>
              </w:rPr>
            </w:pPr>
            <w:r>
              <w:rPr>
                <w:rFonts w:ascii="Arial" w:cs="Arial" w:eastAsia="Arial" w:hAnsi="Arial"/>
                <w:sz w:val="14"/>
                <w:szCs w:val="14"/>
                <w:color w:val="54565B"/>
              </w:rPr>
              <w:t>100,000</w:t>
            </w:r>
          </w:p>
        </w:tc>
        <w:tc>
          <w:tcPr>
            <w:tcW w:w="1060" w:type="dxa"/>
            <w:vAlign w:val="bottom"/>
            <w:vMerge w:val="restart"/>
          </w:tcPr>
          <w:p>
            <w:pPr>
              <w:jc w:val="right"/>
              <w:ind w:right="288"/>
              <w:spacing w:after="0"/>
              <w:rPr>
                <w:sz w:val="20"/>
                <w:szCs w:val="20"/>
                <w:color w:val="auto"/>
              </w:rPr>
            </w:pPr>
            <w:r>
              <w:rPr>
                <w:rFonts w:ascii="Arial" w:cs="Arial" w:eastAsia="Arial" w:hAnsi="Arial"/>
                <w:sz w:val="14"/>
                <w:szCs w:val="14"/>
                <w:color w:val="54565B"/>
              </w:rPr>
              <w:t>16,836​</w:t>
            </w: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3160" w:type="dxa"/>
            <w:vAlign w:val="bottom"/>
            <w:vMerge w:val="restart"/>
          </w:tcPr>
          <w:p>
            <w:pPr>
              <w:ind w:left="80"/>
              <w:spacing w:after="0" w:line="255" w:lineRule="exact"/>
              <w:rPr>
                <w:sz w:val="20"/>
                <w:szCs w:val="20"/>
                <w:color w:val="auto"/>
              </w:rPr>
            </w:pPr>
            <w:r>
              <w:rPr>
                <w:rFonts w:ascii="Arial" w:cs="Arial" w:eastAsia="Arial" w:hAnsi="Arial"/>
                <w:sz w:val="14"/>
                <w:szCs w:val="14"/>
                <w:color w:val="54565B"/>
              </w:rPr>
              <w:t>Program)</w:t>
            </w:r>
            <w:r>
              <w:rPr>
                <w:rFonts w:ascii="Arial" w:cs="Arial" w:eastAsia="Arial" w:hAnsi="Arial"/>
                <w:sz w:val="23"/>
                <w:szCs w:val="23"/>
                <w:color w:val="54565B"/>
                <w:vertAlign w:val="superscript"/>
              </w:rPr>
              <w:t>(1)</w:t>
            </w:r>
          </w:p>
        </w:tc>
        <w:tc>
          <w:tcPr>
            <w:tcW w:w="10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 w:type="dxa"/>
            <w:vAlign w:val="bottom"/>
          </w:tcPr>
          <w:p>
            <w:pPr>
              <w:spacing w:after="0"/>
              <w:rPr>
                <w:sz w:val="11"/>
                <w:szCs w:val="11"/>
                <w:color w:val="auto"/>
              </w:rPr>
            </w:pPr>
          </w:p>
        </w:tc>
        <w:tc>
          <w:tcPr>
            <w:tcW w:w="31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160" w:type="dxa"/>
            <w:vAlign w:val="bottom"/>
            <w:shd w:val="clear" w:color="auto" w:fill="EAF7FA"/>
          </w:tcPr>
          <w:p>
            <w:pPr>
              <w:spacing w:after="0"/>
              <w:rPr>
                <w:sz w:val="24"/>
                <w:szCs w:val="24"/>
                <w:color w:val="auto"/>
              </w:rPr>
            </w:pPr>
          </w:p>
        </w:tc>
        <w:tc>
          <w:tcPr>
            <w:tcW w:w="3160" w:type="dxa"/>
            <w:vAlign w:val="bottom"/>
            <w:shd w:val="clear" w:color="auto" w:fill="EAF7FA"/>
          </w:tcPr>
          <w:p>
            <w:pPr>
              <w:ind w:left="80"/>
              <w:spacing w:after="0"/>
              <w:rPr>
                <w:sz w:val="20"/>
                <w:szCs w:val="20"/>
                <w:color w:val="auto"/>
              </w:rPr>
            </w:pPr>
            <w:r>
              <w:rPr>
                <w:rFonts w:ascii="Arial" w:cs="Arial" w:eastAsia="Arial" w:hAnsi="Arial"/>
                <w:sz w:val="14"/>
                <w:szCs w:val="14"/>
                <w:color w:val="54565B"/>
              </w:rPr>
              <w:t>Aircraft Usage</w:t>
            </w:r>
            <w:r>
              <w:rPr>
                <w:rFonts w:ascii="Arial" w:cs="Arial" w:eastAsia="Arial" w:hAnsi="Arial"/>
                <w:sz w:val="23"/>
                <w:szCs w:val="23"/>
                <w:color w:val="54565B"/>
                <w:vertAlign w:val="superscript"/>
              </w:rPr>
              <w:t>(2)</w:t>
            </w:r>
          </w:p>
        </w:tc>
        <w:tc>
          <w:tcPr>
            <w:tcW w:w="1080" w:type="dxa"/>
            <w:vAlign w:val="bottom"/>
            <w:shd w:val="clear" w:color="auto" w:fill="EAF7FA"/>
          </w:tcPr>
          <w:p>
            <w:pPr>
              <w:jc w:val="right"/>
              <w:ind w:right="88"/>
              <w:spacing w:after="0"/>
              <w:rPr>
                <w:sz w:val="20"/>
                <w:szCs w:val="20"/>
                <w:color w:val="auto"/>
              </w:rPr>
            </w:pPr>
            <w:r>
              <w:rPr>
                <w:rFonts w:ascii="Arial" w:cs="Arial" w:eastAsia="Arial" w:hAnsi="Arial"/>
                <w:sz w:val="14"/>
                <w:szCs w:val="14"/>
                <w:color w:val="54565B"/>
              </w:rPr>
              <w:t>945,957</w:t>
            </w:r>
          </w:p>
        </w:tc>
        <w:tc>
          <w:tcPr>
            <w:tcW w:w="940" w:type="dxa"/>
            <w:vAlign w:val="bottom"/>
            <w:shd w:val="clear" w:color="auto" w:fill="EAF7FA"/>
          </w:tcPr>
          <w:p>
            <w:pPr>
              <w:jc w:val="right"/>
              <w:ind w:right="88"/>
              <w:spacing w:after="0"/>
              <w:rPr>
                <w:sz w:val="20"/>
                <w:szCs w:val="20"/>
                <w:color w:val="auto"/>
              </w:rPr>
            </w:pPr>
            <w:r>
              <w:rPr>
                <w:rFonts w:ascii="Arial" w:cs="Arial" w:eastAsia="Arial" w:hAnsi="Arial"/>
                <w:sz w:val="14"/>
                <w:szCs w:val="14"/>
                <w:color w:val="54565B"/>
              </w:rPr>
              <w:t>1,068,181</w:t>
            </w:r>
          </w:p>
        </w:tc>
        <w:tc>
          <w:tcPr>
            <w:tcW w:w="860" w:type="dxa"/>
            <w:vAlign w:val="bottom"/>
            <w:shd w:val="clear" w:color="auto" w:fill="EAF7FA"/>
          </w:tcPr>
          <w:p>
            <w:pPr>
              <w:jc w:val="right"/>
              <w:ind w:right="88"/>
              <w:spacing w:after="0"/>
              <w:rPr>
                <w:sz w:val="20"/>
                <w:szCs w:val="20"/>
                <w:color w:val="auto"/>
              </w:rPr>
            </w:pPr>
            <w:r>
              <w:rPr>
                <w:rFonts w:ascii="Arial" w:cs="Arial" w:eastAsia="Arial" w:hAnsi="Arial"/>
                <w:sz w:val="14"/>
                <w:szCs w:val="14"/>
                <w:color w:val="54565B"/>
              </w:rPr>
              <w:t>240,579</w:t>
            </w:r>
          </w:p>
        </w:tc>
        <w:tc>
          <w:tcPr>
            <w:tcW w:w="1000" w:type="dxa"/>
            <w:vAlign w:val="bottom"/>
            <w:shd w:val="clear" w:color="auto" w:fill="EAF7FA"/>
          </w:tcPr>
          <w:p>
            <w:pPr>
              <w:jc w:val="right"/>
              <w:ind w:right="188"/>
              <w:spacing w:after="0"/>
              <w:rPr>
                <w:sz w:val="20"/>
                <w:szCs w:val="20"/>
                <w:color w:val="auto"/>
              </w:rPr>
            </w:pPr>
            <w:r>
              <w:rPr>
                <w:rFonts w:ascii="Arial" w:cs="Arial" w:eastAsia="Arial" w:hAnsi="Arial"/>
                <w:sz w:val="14"/>
                <w:szCs w:val="14"/>
                <w:color w:val="54565B"/>
              </w:rPr>
              <w:t>—</w:t>
            </w:r>
          </w:p>
        </w:tc>
        <w:tc>
          <w:tcPr>
            <w:tcW w:w="1140" w:type="dxa"/>
            <w:vAlign w:val="bottom"/>
            <w:shd w:val="clear" w:color="auto" w:fill="EAF7FA"/>
          </w:tcPr>
          <w:p>
            <w:pPr>
              <w:jc w:val="right"/>
              <w:ind w:right="288"/>
              <w:spacing w:after="0"/>
              <w:rPr>
                <w:sz w:val="20"/>
                <w:szCs w:val="20"/>
                <w:color w:val="auto"/>
              </w:rPr>
            </w:pPr>
            <w:r>
              <w:rPr>
                <w:rFonts w:ascii="Arial" w:cs="Arial" w:eastAsia="Arial" w:hAnsi="Arial"/>
                <w:sz w:val="14"/>
                <w:szCs w:val="14"/>
                <w:color w:val="54565B"/>
              </w:rPr>
              <w:t>—</w:t>
            </w:r>
          </w:p>
        </w:tc>
        <w:tc>
          <w:tcPr>
            <w:tcW w:w="1060" w:type="dxa"/>
            <w:vAlign w:val="bottom"/>
            <w:shd w:val="clear" w:color="auto" w:fill="EAF7FA"/>
          </w:tcPr>
          <w:p>
            <w:pPr>
              <w:jc w:val="right"/>
              <w:ind w:right="308"/>
              <w:spacing w:after="0"/>
              <w:rPr>
                <w:sz w:val="20"/>
                <w:szCs w:val="20"/>
                <w:color w:val="auto"/>
              </w:rPr>
            </w:pPr>
            <w:r>
              <w:rPr>
                <w:rFonts w:ascii="Arial" w:cs="Arial" w:eastAsia="Arial" w:hAnsi="Arial"/>
                <w:sz w:val="14"/>
                <w:szCs w:val="14"/>
                <w:color w:val="54565B"/>
              </w:rPr>
              <w:t>—</w:t>
            </w:r>
          </w:p>
        </w:tc>
        <w:tc>
          <w:tcPr>
            <w:tcW w:w="0" w:type="dxa"/>
            <w:vAlign w:val="bottom"/>
          </w:tcPr>
          <w:p>
            <w:pPr>
              <w:spacing w:after="0"/>
              <w:rPr>
                <w:sz w:val="1"/>
                <w:szCs w:val="1"/>
                <w:color w:val="auto"/>
              </w:rPr>
            </w:pPr>
          </w:p>
        </w:tc>
      </w:tr>
      <w:tr>
        <w:trPr>
          <w:trHeight w:val="283"/>
        </w:trPr>
        <w:tc>
          <w:tcPr>
            <w:tcW w:w="160" w:type="dxa"/>
            <w:vAlign w:val="bottom"/>
          </w:tcPr>
          <w:p>
            <w:pPr>
              <w:spacing w:after="0"/>
              <w:rPr>
                <w:sz w:val="24"/>
                <w:szCs w:val="24"/>
                <w:color w:val="auto"/>
              </w:rPr>
            </w:pPr>
          </w:p>
        </w:tc>
        <w:tc>
          <w:tcPr>
            <w:tcW w:w="3160" w:type="dxa"/>
            <w:vAlign w:val="bottom"/>
          </w:tcPr>
          <w:p>
            <w:pPr>
              <w:ind w:left="80"/>
              <w:spacing w:after="0"/>
              <w:rPr>
                <w:sz w:val="20"/>
                <w:szCs w:val="20"/>
                <w:color w:val="auto"/>
              </w:rPr>
            </w:pPr>
            <w:r>
              <w:rPr>
                <w:rFonts w:ascii="Arial" w:cs="Arial" w:eastAsia="Arial" w:hAnsi="Arial"/>
                <w:sz w:val="14"/>
                <w:szCs w:val="14"/>
                <w:color w:val="54565B"/>
              </w:rPr>
              <w:t>Annual RASP Contribution</w:t>
            </w:r>
            <w:r>
              <w:rPr>
                <w:rFonts w:ascii="Arial" w:cs="Arial" w:eastAsia="Arial" w:hAnsi="Arial"/>
                <w:sz w:val="23"/>
                <w:szCs w:val="23"/>
                <w:color w:val="54565B"/>
                <w:vertAlign w:val="superscript"/>
              </w:rPr>
              <w:t>(3)</w:t>
            </w:r>
          </w:p>
        </w:tc>
        <w:tc>
          <w:tcPr>
            <w:tcW w:w="1080" w:type="dxa"/>
            <w:vAlign w:val="bottom"/>
          </w:tcPr>
          <w:p>
            <w:pPr>
              <w:jc w:val="right"/>
              <w:ind w:right="88"/>
              <w:spacing w:after="0"/>
              <w:rPr>
                <w:sz w:val="20"/>
                <w:szCs w:val="20"/>
                <w:color w:val="auto"/>
              </w:rPr>
            </w:pPr>
            <w:r>
              <w:rPr>
                <w:rFonts w:ascii="Arial" w:cs="Arial" w:eastAsia="Arial" w:hAnsi="Arial"/>
                <w:sz w:val="14"/>
                <w:szCs w:val="14"/>
                <w:color w:val="54565B"/>
              </w:rPr>
              <w:t>26,250</w:t>
            </w:r>
          </w:p>
        </w:tc>
        <w:tc>
          <w:tcPr>
            <w:tcW w:w="940" w:type="dxa"/>
            <w:vAlign w:val="bottom"/>
          </w:tcPr>
          <w:p>
            <w:pPr>
              <w:jc w:val="right"/>
              <w:ind w:right="108"/>
              <w:spacing w:after="0"/>
              <w:rPr>
                <w:sz w:val="20"/>
                <w:szCs w:val="20"/>
                <w:color w:val="auto"/>
              </w:rPr>
            </w:pPr>
            <w:r>
              <w:rPr>
                <w:rFonts w:ascii="Arial" w:cs="Arial" w:eastAsia="Arial" w:hAnsi="Arial"/>
                <w:sz w:val="14"/>
                <w:szCs w:val="14"/>
                <w:color w:val="54565B"/>
              </w:rPr>
              <w:t>26,250</w:t>
            </w:r>
          </w:p>
        </w:tc>
        <w:tc>
          <w:tcPr>
            <w:tcW w:w="860" w:type="dxa"/>
            <w:vAlign w:val="bottom"/>
          </w:tcPr>
          <w:p>
            <w:pPr>
              <w:jc w:val="right"/>
              <w:ind w:right="108"/>
              <w:spacing w:after="0"/>
              <w:rPr>
                <w:sz w:val="20"/>
                <w:szCs w:val="20"/>
                <w:color w:val="auto"/>
              </w:rPr>
            </w:pPr>
            <w:r>
              <w:rPr>
                <w:rFonts w:ascii="Arial" w:cs="Arial" w:eastAsia="Arial" w:hAnsi="Arial"/>
                <w:sz w:val="14"/>
                <w:szCs w:val="14"/>
                <w:color w:val="54565B"/>
              </w:rPr>
              <w:t>26,250</w:t>
            </w:r>
          </w:p>
        </w:tc>
        <w:tc>
          <w:tcPr>
            <w:tcW w:w="1000" w:type="dxa"/>
            <w:vAlign w:val="bottom"/>
          </w:tcPr>
          <w:p>
            <w:pPr>
              <w:jc w:val="right"/>
              <w:ind w:right="188"/>
              <w:spacing w:after="0"/>
              <w:rPr>
                <w:sz w:val="20"/>
                <w:szCs w:val="20"/>
                <w:color w:val="auto"/>
              </w:rPr>
            </w:pPr>
            <w:r>
              <w:rPr>
                <w:rFonts w:ascii="Arial" w:cs="Arial" w:eastAsia="Arial" w:hAnsi="Arial"/>
                <w:sz w:val="14"/>
                <w:szCs w:val="14"/>
                <w:color w:val="54565B"/>
              </w:rPr>
              <w:t>26,250</w:t>
            </w:r>
          </w:p>
        </w:tc>
        <w:tc>
          <w:tcPr>
            <w:tcW w:w="1140" w:type="dxa"/>
            <w:vAlign w:val="bottom"/>
          </w:tcPr>
          <w:p>
            <w:pPr>
              <w:jc w:val="right"/>
              <w:ind w:right="288"/>
              <w:spacing w:after="0"/>
              <w:rPr>
                <w:sz w:val="20"/>
                <w:szCs w:val="20"/>
                <w:color w:val="auto"/>
              </w:rPr>
            </w:pPr>
            <w:r>
              <w:rPr>
                <w:rFonts w:ascii="Arial" w:cs="Arial" w:eastAsia="Arial" w:hAnsi="Arial"/>
                <w:sz w:val="14"/>
                <w:szCs w:val="14"/>
                <w:color w:val="54565B"/>
              </w:rPr>
              <w:t>26,250</w:t>
            </w:r>
          </w:p>
        </w:tc>
        <w:tc>
          <w:tcPr>
            <w:tcW w:w="1060" w:type="dxa"/>
            <w:vAlign w:val="bottom"/>
          </w:tcPr>
          <w:p>
            <w:pPr>
              <w:jc w:val="right"/>
              <w:ind w:right="288"/>
              <w:spacing w:after="0"/>
              <w:rPr>
                <w:sz w:val="20"/>
                <w:szCs w:val="20"/>
                <w:color w:val="auto"/>
              </w:rPr>
            </w:pPr>
            <w:r>
              <w:rPr>
                <w:rFonts w:ascii="Arial" w:cs="Arial" w:eastAsia="Arial" w:hAnsi="Arial"/>
                <w:sz w:val="14"/>
                <w:szCs w:val="14"/>
                <w:color w:val="54565B"/>
              </w:rPr>
              <w:t>26,250</w:t>
            </w:r>
          </w:p>
        </w:tc>
        <w:tc>
          <w:tcPr>
            <w:tcW w:w="0" w:type="dxa"/>
            <w:vAlign w:val="bottom"/>
          </w:tcPr>
          <w:p>
            <w:pPr>
              <w:spacing w:after="0"/>
              <w:rPr>
                <w:sz w:val="1"/>
                <w:szCs w:val="1"/>
                <w:color w:val="auto"/>
              </w:rPr>
            </w:pPr>
          </w:p>
        </w:tc>
      </w:tr>
      <w:tr>
        <w:trPr>
          <w:trHeight w:val="284"/>
        </w:trPr>
        <w:tc>
          <w:tcPr>
            <w:tcW w:w="160" w:type="dxa"/>
            <w:vAlign w:val="bottom"/>
            <w:shd w:val="clear" w:color="auto" w:fill="EAF7FA"/>
          </w:tcPr>
          <w:p>
            <w:pPr>
              <w:spacing w:after="0"/>
              <w:rPr>
                <w:sz w:val="24"/>
                <w:szCs w:val="24"/>
                <w:color w:val="auto"/>
              </w:rPr>
            </w:pPr>
          </w:p>
        </w:tc>
        <w:tc>
          <w:tcPr>
            <w:tcW w:w="3160" w:type="dxa"/>
            <w:vAlign w:val="bottom"/>
            <w:shd w:val="clear" w:color="auto" w:fill="EAF7FA"/>
          </w:tcPr>
          <w:p>
            <w:pPr>
              <w:ind w:left="80"/>
              <w:spacing w:after="0"/>
              <w:rPr>
                <w:sz w:val="20"/>
                <w:szCs w:val="20"/>
                <w:color w:val="auto"/>
              </w:rPr>
            </w:pPr>
            <w:r>
              <w:rPr>
                <w:rFonts w:ascii="Arial" w:cs="Arial" w:eastAsia="Arial" w:hAnsi="Arial"/>
                <w:sz w:val="14"/>
                <w:szCs w:val="14"/>
                <w:color w:val="54565B"/>
              </w:rPr>
              <w:t>Annual Auxiliary RASP Contribution</w:t>
            </w:r>
            <w:r>
              <w:rPr>
                <w:rFonts w:ascii="Arial" w:cs="Arial" w:eastAsia="Arial" w:hAnsi="Arial"/>
                <w:sz w:val="23"/>
                <w:szCs w:val="23"/>
                <w:color w:val="54565B"/>
                <w:vertAlign w:val="superscript"/>
              </w:rPr>
              <w:t>(3)</w:t>
            </w:r>
          </w:p>
        </w:tc>
        <w:tc>
          <w:tcPr>
            <w:tcW w:w="1080" w:type="dxa"/>
            <w:vAlign w:val="bottom"/>
            <w:shd w:val="clear" w:color="auto" w:fill="EAF7FA"/>
          </w:tcPr>
          <w:p>
            <w:pPr>
              <w:jc w:val="right"/>
              <w:ind w:right="88"/>
              <w:spacing w:after="0"/>
              <w:rPr>
                <w:sz w:val="20"/>
                <w:szCs w:val="20"/>
                <w:color w:val="auto"/>
              </w:rPr>
            </w:pPr>
            <w:r>
              <w:rPr>
                <w:rFonts w:ascii="Arial" w:cs="Arial" w:eastAsia="Arial" w:hAnsi="Arial"/>
                <w:sz w:val="14"/>
                <w:szCs w:val="14"/>
                <w:color w:val="54565B"/>
              </w:rPr>
              <w:t>32,500</w:t>
            </w:r>
          </w:p>
        </w:tc>
        <w:tc>
          <w:tcPr>
            <w:tcW w:w="940" w:type="dxa"/>
            <w:vAlign w:val="bottom"/>
            <w:shd w:val="clear" w:color="auto" w:fill="EAF7FA"/>
          </w:tcPr>
          <w:p>
            <w:pPr>
              <w:jc w:val="right"/>
              <w:ind w:right="108"/>
              <w:spacing w:after="0"/>
              <w:rPr>
                <w:sz w:val="20"/>
                <w:szCs w:val="20"/>
                <w:color w:val="auto"/>
              </w:rPr>
            </w:pPr>
            <w:r>
              <w:rPr>
                <w:rFonts w:ascii="Arial" w:cs="Arial" w:eastAsia="Arial" w:hAnsi="Arial"/>
                <w:sz w:val="14"/>
                <w:szCs w:val="14"/>
                <w:color w:val="54565B"/>
              </w:rPr>
              <w:t>32,500</w:t>
            </w:r>
          </w:p>
        </w:tc>
        <w:tc>
          <w:tcPr>
            <w:tcW w:w="860" w:type="dxa"/>
            <w:vAlign w:val="bottom"/>
            <w:shd w:val="clear" w:color="auto" w:fill="EAF7FA"/>
          </w:tcPr>
          <w:p>
            <w:pPr>
              <w:jc w:val="right"/>
              <w:ind w:right="108"/>
              <w:spacing w:after="0"/>
              <w:rPr>
                <w:sz w:val="20"/>
                <w:szCs w:val="20"/>
                <w:color w:val="auto"/>
              </w:rPr>
            </w:pPr>
            <w:r>
              <w:rPr>
                <w:rFonts w:ascii="Arial" w:cs="Arial" w:eastAsia="Arial" w:hAnsi="Arial"/>
                <w:sz w:val="14"/>
                <w:szCs w:val="14"/>
                <w:color w:val="54565B"/>
              </w:rPr>
              <w:t>32,500</w:t>
            </w:r>
          </w:p>
        </w:tc>
        <w:tc>
          <w:tcPr>
            <w:tcW w:w="1000" w:type="dxa"/>
            <w:vAlign w:val="bottom"/>
            <w:shd w:val="clear" w:color="auto" w:fill="EAF7FA"/>
          </w:tcPr>
          <w:p>
            <w:pPr>
              <w:jc w:val="right"/>
              <w:ind w:right="188"/>
              <w:spacing w:after="0"/>
              <w:rPr>
                <w:sz w:val="20"/>
                <w:szCs w:val="20"/>
                <w:color w:val="auto"/>
              </w:rPr>
            </w:pPr>
            <w:r>
              <w:rPr>
                <w:rFonts w:ascii="Arial" w:cs="Arial" w:eastAsia="Arial" w:hAnsi="Arial"/>
                <w:sz w:val="14"/>
                <w:szCs w:val="14"/>
                <w:color w:val="54565B"/>
              </w:rPr>
              <w:t>32,070</w:t>
            </w:r>
          </w:p>
        </w:tc>
        <w:tc>
          <w:tcPr>
            <w:tcW w:w="1140" w:type="dxa"/>
            <w:vAlign w:val="bottom"/>
            <w:shd w:val="clear" w:color="auto" w:fill="EAF7FA"/>
          </w:tcPr>
          <w:p>
            <w:pPr>
              <w:jc w:val="right"/>
              <w:ind w:right="288"/>
              <w:spacing w:after="0"/>
              <w:rPr>
                <w:sz w:val="20"/>
                <w:szCs w:val="20"/>
                <w:color w:val="auto"/>
              </w:rPr>
            </w:pPr>
            <w:r>
              <w:rPr>
                <w:rFonts w:ascii="Arial" w:cs="Arial" w:eastAsia="Arial" w:hAnsi="Arial"/>
                <w:sz w:val="14"/>
                <w:szCs w:val="14"/>
                <w:color w:val="54565B"/>
              </w:rPr>
              <w:t>32,500</w:t>
            </w:r>
          </w:p>
        </w:tc>
        <w:tc>
          <w:tcPr>
            <w:tcW w:w="1060" w:type="dxa"/>
            <w:vAlign w:val="bottom"/>
            <w:shd w:val="clear" w:color="auto" w:fill="EAF7FA"/>
          </w:tcPr>
          <w:p>
            <w:pPr>
              <w:jc w:val="right"/>
              <w:ind w:right="288"/>
              <w:spacing w:after="0"/>
              <w:rPr>
                <w:sz w:val="20"/>
                <w:szCs w:val="20"/>
                <w:color w:val="auto"/>
              </w:rPr>
            </w:pPr>
            <w:r>
              <w:rPr>
                <w:rFonts w:ascii="Arial" w:cs="Arial" w:eastAsia="Arial" w:hAnsi="Arial"/>
                <w:sz w:val="14"/>
                <w:szCs w:val="14"/>
                <w:color w:val="54565B"/>
              </w:rPr>
              <w:t>32,500</w:t>
            </w:r>
          </w:p>
        </w:tc>
        <w:tc>
          <w:tcPr>
            <w:tcW w:w="0" w:type="dxa"/>
            <w:vAlign w:val="bottom"/>
          </w:tcPr>
          <w:p>
            <w:pPr>
              <w:spacing w:after="0"/>
              <w:rPr>
                <w:sz w:val="1"/>
                <w:szCs w:val="1"/>
                <w:color w:val="auto"/>
              </w:rPr>
            </w:pPr>
          </w:p>
        </w:tc>
      </w:tr>
      <w:tr>
        <w:trPr>
          <w:trHeight w:val="283"/>
        </w:trPr>
        <w:tc>
          <w:tcPr>
            <w:tcW w:w="160" w:type="dxa"/>
            <w:vAlign w:val="bottom"/>
          </w:tcPr>
          <w:p>
            <w:pPr>
              <w:spacing w:after="0"/>
              <w:rPr>
                <w:sz w:val="24"/>
                <w:szCs w:val="24"/>
                <w:color w:val="auto"/>
              </w:rPr>
            </w:pPr>
          </w:p>
        </w:tc>
        <w:tc>
          <w:tcPr>
            <w:tcW w:w="3160" w:type="dxa"/>
            <w:vAlign w:val="bottom"/>
          </w:tcPr>
          <w:p>
            <w:pPr>
              <w:ind w:left="80"/>
              <w:spacing w:after="0"/>
              <w:rPr>
                <w:sz w:val="20"/>
                <w:szCs w:val="20"/>
                <w:color w:val="auto"/>
              </w:rPr>
            </w:pPr>
            <w:r>
              <w:rPr>
                <w:rFonts w:ascii="Arial" w:cs="Arial" w:eastAsia="Arial" w:hAnsi="Arial"/>
                <w:sz w:val="14"/>
                <w:szCs w:val="14"/>
                <w:color w:val="54565B"/>
              </w:rPr>
              <w:t>Other</w:t>
            </w:r>
            <w:r>
              <w:rPr>
                <w:rFonts w:ascii="Arial" w:cs="Arial" w:eastAsia="Arial" w:hAnsi="Arial"/>
                <w:sz w:val="23"/>
                <w:szCs w:val="23"/>
                <w:color w:val="54565B"/>
                <w:vertAlign w:val="superscript"/>
              </w:rPr>
              <w:t>(4)</w:t>
            </w:r>
          </w:p>
        </w:tc>
        <w:tc>
          <w:tcPr>
            <w:tcW w:w="1080" w:type="dxa"/>
            <w:vAlign w:val="bottom"/>
          </w:tcPr>
          <w:p>
            <w:pPr>
              <w:jc w:val="right"/>
              <w:ind w:right="88"/>
              <w:spacing w:after="0"/>
              <w:rPr>
                <w:sz w:val="20"/>
                <w:szCs w:val="20"/>
                <w:color w:val="auto"/>
              </w:rPr>
            </w:pPr>
            <w:r>
              <w:rPr>
                <w:rFonts w:ascii="Arial" w:cs="Arial" w:eastAsia="Arial" w:hAnsi="Arial"/>
                <w:sz w:val="14"/>
                <w:szCs w:val="14"/>
                <w:color w:val="54565B"/>
              </w:rPr>
              <w:t>​ 233,057</w:t>
            </w:r>
          </w:p>
        </w:tc>
        <w:tc>
          <w:tcPr>
            <w:tcW w:w="940" w:type="dxa"/>
            <w:vAlign w:val="bottom"/>
          </w:tcPr>
          <w:p>
            <w:pPr>
              <w:jc w:val="right"/>
              <w:ind w:right="108"/>
              <w:spacing w:after="0"/>
              <w:rPr>
                <w:sz w:val="20"/>
                <w:szCs w:val="20"/>
                <w:color w:val="auto"/>
              </w:rPr>
            </w:pPr>
            <w:r>
              <w:rPr>
                <w:rFonts w:ascii="Arial" w:cs="Arial" w:eastAsia="Arial" w:hAnsi="Arial"/>
                <w:sz w:val="14"/>
                <w:szCs w:val="14"/>
                <w:color w:val="54565B"/>
              </w:rPr>
              <w:t>​ 216,586</w:t>
            </w:r>
          </w:p>
        </w:tc>
        <w:tc>
          <w:tcPr>
            <w:tcW w:w="860" w:type="dxa"/>
            <w:vAlign w:val="bottom"/>
          </w:tcPr>
          <w:p>
            <w:pPr>
              <w:jc w:val="right"/>
              <w:ind w:right="108"/>
              <w:spacing w:after="0"/>
              <w:rPr>
                <w:sz w:val="20"/>
                <w:szCs w:val="20"/>
                <w:color w:val="auto"/>
              </w:rPr>
            </w:pPr>
            <w:r>
              <w:rPr>
                <w:rFonts w:ascii="Arial" w:cs="Arial" w:eastAsia="Arial" w:hAnsi="Arial"/>
                <w:sz w:val="14"/>
                <w:szCs w:val="14"/>
                <w:color w:val="54565B"/>
              </w:rPr>
              <w:t>​ 38,050</w:t>
            </w:r>
          </w:p>
        </w:tc>
        <w:tc>
          <w:tcPr>
            <w:tcW w:w="1000" w:type="dxa"/>
            <w:vAlign w:val="bottom"/>
          </w:tcPr>
          <w:p>
            <w:pPr>
              <w:jc w:val="right"/>
              <w:ind w:right="188"/>
              <w:spacing w:after="0"/>
              <w:rPr>
                <w:sz w:val="20"/>
                <w:szCs w:val="20"/>
                <w:color w:val="auto"/>
              </w:rPr>
            </w:pPr>
            <w:r>
              <w:rPr>
                <w:rFonts w:ascii="Arial" w:cs="Arial" w:eastAsia="Arial" w:hAnsi="Arial"/>
                <w:sz w:val="14"/>
                <w:szCs w:val="14"/>
                <w:color w:val="54565B"/>
              </w:rPr>
              <w:t>​ 18,947</w:t>
            </w:r>
          </w:p>
        </w:tc>
        <w:tc>
          <w:tcPr>
            <w:tcW w:w="1140" w:type="dxa"/>
            <w:vAlign w:val="bottom"/>
          </w:tcPr>
          <w:p>
            <w:pPr>
              <w:jc w:val="right"/>
              <w:ind w:right="288"/>
              <w:spacing w:after="0"/>
              <w:rPr>
                <w:sz w:val="20"/>
                <w:szCs w:val="20"/>
                <w:color w:val="auto"/>
              </w:rPr>
            </w:pPr>
            <w:r>
              <w:rPr>
                <w:rFonts w:ascii="Arial" w:cs="Arial" w:eastAsia="Arial" w:hAnsi="Arial"/>
                <w:sz w:val="14"/>
                <w:szCs w:val="14"/>
                <w:color w:val="54565B"/>
              </w:rPr>
              <w:t>​ 60,380</w:t>
            </w:r>
          </w:p>
        </w:tc>
        <w:tc>
          <w:tcPr>
            <w:tcW w:w="1060" w:type="dxa"/>
            <w:vAlign w:val="bottom"/>
          </w:tcPr>
          <w:p>
            <w:pPr>
              <w:jc w:val="right"/>
              <w:ind w:right="288"/>
              <w:spacing w:after="0"/>
              <w:rPr>
                <w:sz w:val="20"/>
                <w:szCs w:val="20"/>
                <w:color w:val="auto"/>
              </w:rPr>
            </w:pPr>
            <w:r>
              <w:rPr>
                <w:rFonts w:ascii="Arial" w:cs="Arial" w:eastAsia="Arial" w:hAnsi="Arial"/>
                <w:sz w:val="14"/>
                <w:szCs w:val="14"/>
                <w:color w:val="54565B"/>
              </w:rPr>
              <w:t>​19,822</w:t>
            </w:r>
          </w:p>
        </w:tc>
        <w:tc>
          <w:tcPr>
            <w:tcW w:w="0" w:type="dxa"/>
            <w:vAlign w:val="bottom"/>
          </w:tcPr>
          <w:p>
            <w:pPr>
              <w:spacing w:after="0"/>
              <w:rPr>
                <w:sz w:val="1"/>
                <w:szCs w:val="1"/>
                <w:color w:val="auto"/>
              </w:rPr>
            </w:pPr>
          </w:p>
        </w:tc>
      </w:tr>
      <w:tr>
        <w:trPr>
          <w:trHeight w:val="236"/>
        </w:trPr>
        <w:tc>
          <w:tcPr>
            <w:tcW w:w="160" w:type="dxa"/>
            <w:vAlign w:val="bottom"/>
            <w:tcBorders>
              <w:bottom w:val="single" w:sz="8" w:color="EAF7FA"/>
            </w:tcBorders>
            <w:shd w:val="clear" w:color="auto" w:fill="EAF7FA"/>
          </w:tcPr>
          <w:p>
            <w:pPr>
              <w:spacing w:after="0"/>
              <w:rPr>
                <w:sz w:val="20"/>
                <w:szCs w:val="20"/>
                <w:color w:val="auto"/>
              </w:rPr>
            </w:pPr>
          </w:p>
        </w:tc>
        <w:tc>
          <w:tcPr>
            <w:tcW w:w="3160" w:type="dxa"/>
            <w:vAlign w:val="bottom"/>
            <w:tcBorders>
              <w:bottom w:val="single" w:sz="8" w:color="EAF7FA"/>
            </w:tcBorders>
            <w:shd w:val="clear" w:color="auto" w:fill="EAF7FA"/>
          </w:tcPr>
          <w:p>
            <w:pPr>
              <w:ind w:left="440"/>
              <w:spacing w:after="0"/>
              <w:rPr>
                <w:sz w:val="20"/>
                <w:szCs w:val="20"/>
                <w:color w:val="auto"/>
              </w:rPr>
            </w:pPr>
            <w:r>
              <w:rPr>
                <w:rFonts w:ascii="Arial" w:cs="Arial" w:eastAsia="Arial" w:hAnsi="Arial"/>
                <w:sz w:val="14"/>
                <w:szCs w:val="14"/>
                <w:b w:val="1"/>
                <w:bCs w:val="1"/>
                <w:color w:val="54565B"/>
              </w:rPr>
              <w:t>Total</w:t>
            </w:r>
          </w:p>
        </w:tc>
        <w:tc>
          <w:tcPr>
            <w:tcW w:w="1080" w:type="dxa"/>
            <w:vAlign w:val="bottom"/>
            <w:tcBorders>
              <w:bottom w:val="single" w:sz="8" w:color="EAF7FA"/>
            </w:tcBorders>
            <w:shd w:val="clear" w:color="auto" w:fill="EAF7FA"/>
          </w:tcPr>
          <w:p>
            <w:pPr>
              <w:jc w:val="right"/>
              <w:ind w:right="68"/>
              <w:spacing w:after="0"/>
              <w:rPr>
                <w:sz w:val="20"/>
                <w:szCs w:val="20"/>
                <w:color w:val="auto"/>
              </w:rPr>
            </w:pPr>
            <w:r>
              <w:rPr>
                <w:rFonts w:ascii="Arial" w:cs="Arial" w:eastAsia="Arial" w:hAnsi="Arial"/>
                <w:sz w:val="14"/>
                <w:szCs w:val="14"/>
                <w:color w:val="54565B"/>
              </w:rPr>
              <w:t>1,837,764​</w:t>
            </w:r>
          </w:p>
        </w:tc>
        <w:tc>
          <w:tcPr>
            <w:tcW w:w="940" w:type="dxa"/>
            <w:vAlign w:val="bottom"/>
            <w:tcBorders>
              <w:bottom w:val="single" w:sz="8" w:color="EAF7FA"/>
            </w:tcBorders>
            <w:shd w:val="clear" w:color="auto" w:fill="EAF7FA"/>
          </w:tcPr>
          <w:p>
            <w:pPr>
              <w:jc w:val="right"/>
              <w:ind w:right="88"/>
              <w:spacing w:after="0"/>
              <w:rPr>
                <w:sz w:val="20"/>
                <w:szCs w:val="20"/>
                <w:color w:val="auto"/>
              </w:rPr>
            </w:pPr>
            <w:r>
              <w:rPr>
                <w:rFonts w:ascii="Arial" w:cs="Arial" w:eastAsia="Arial" w:hAnsi="Arial"/>
                <w:sz w:val="14"/>
                <w:szCs w:val="14"/>
                <w:color w:val="54565B"/>
              </w:rPr>
              <w:t>1,943,517​</w:t>
            </w:r>
          </w:p>
        </w:tc>
        <w:tc>
          <w:tcPr>
            <w:tcW w:w="860" w:type="dxa"/>
            <w:vAlign w:val="bottom"/>
            <w:tcBorders>
              <w:bottom w:val="single" w:sz="8" w:color="EAF7FA"/>
            </w:tcBorders>
            <w:shd w:val="clear" w:color="auto" w:fill="EAF7FA"/>
          </w:tcPr>
          <w:p>
            <w:pPr>
              <w:jc w:val="right"/>
              <w:ind w:right="88"/>
              <w:spacing w:after="0"/>
              <w:rPr>
                <w:sz w:val="20"/>
                <w:szCs w:val="20"/>
                <w:color w:val="auto"/>
              </w:rPr>
            </w:pPr>
            <w:r>
              <w:rPr>
                <w:rFonts w:ascii="Arial" w:cs="Arial" w:eastAsia="Arial" w:hAnsi="Arial"/>
                <w:sz w:val="14"/>
                <w:szCs w:val="14"/>
                <w:color w:val="54565B"/>
              </w:rPr>
              <w:t>389,229​</w:t>
            </w:r>
          </w:p>
        </w:tc>
        <w:tc>
          <w:tcPr>
            <w:tcW w:w="1000" w:type="dxa"/>
            <w:vAlign w:val="bottom"/>
            <w:tcBorders>
              <w:bottom w:val="single" w:sz="8" w:color="EAF7FA"/>
            </w:tcBorders>
            <w:shd w:val="clear" w:color="auto" w:fill="EAF7FA"/>
          </w:tcPr>
          <w:p>
            <w:pPr>
              <w:jc w:val="right"/>
              <w:ind w:right="168"/>
              <w:spacing w:after="0"/>
              <w:rPr>
                <w:sz w:val="20"/>
                <w:szCs w:val="20"/>
                <w:color w:val="auto"/>
              </w:rPr>
            </w:pPr>
            <w:r>
              <w:rPr>
                <w:rFonts w:ascii="Arial" w:cs="Arial" w:eastAsia="Arial" w:hAnsi="Arial"/>
                <w:sz w:val="14"/>
                <w:szCs w:val="14"/>
                <w:color w:val="54565B"/>
              </w:rPr>
              <w:t>123,210​</w:t>
            </w:r>
          </w:p>
        </w:tc>
        <w:tc>
          <w:tcPr>
            <w:tcW w:w="1140" w:type="dxa"/>
            <w:vAlign w:val="bottom"/>
            <w:tcBorders>
              <w:bottom w:val="single" w:sz="8" w:color="EAF7FA"/>
            </w:tcBorders>
            <w:shd w:val="clear" w:color="auto" w:fill="EAF7FA"/>
          </w:tcPr>
          <w:p>
            <w:pPr>
              <w:jc w:val="right"/>
              <w:ind w:right="268"/>
              <w:spacing w:after="0"/>
              <w:rPr>
                <w:sz w:val="20"/>
                <w:szCs w:val="20"/>
                <w:color w:val="auto"/>
              </w:rPr>
            </w:pPr>
            <w:r>
              <w:rPr>
                <w:rFonts w:ascii="Arial" w:cs="Arial" w:eastAsia="Arial" w:hAnsi="Arial"/>
                <w:sz w:val="14"/>
                <w:szCs w:val="14"/>
                <w:color w:val="54565B"/>
              </w:rPr>
              <w:t>219,130​</w:t>
            </w:r>
          </w:p>
        </w:tc>
        <w:tc>
          <w:tcPr>
            <w:tcW w:w="1060" w:type="dxa"/>
            <w:vAlign w:val="bottom"/>
            <w:tcBorders>
              <w:bottom w:val="single" w:sz="8" w:color="EAF7FA"/>
            </w:tcBorders>
            <w:shd w:val="clear" w:color="auto" w:fill="EAF7FA"/>
          </w:tcPr>
          <w:p>
            <w:pPr>
              <w:jc w:val="right"/>
              <w:ind w:right="288"/>
              <w:spacing w:after="0"/>
              <w:rPr>
                <w:sz w:val="20"/>
                <w:szCs w:val="20"/>
                <w:color w:val="auto"/>
              </w:rPr>
            </w:pPr>
            <w:r>
              <w:rPr>
                <w:rFonts w:ascii="Arial" w:cs="Arial" w:eastAsia="Arial" w:hAnsi="Arial"/>
                <w:sz w:val="14"/>
                <w:szCs w:val="14"/>
                <w:color w:val="54565B"/>
              </w:rPr>
              <w:t>​95,408</w:t>
            </w:r>
          </w:p>
        </w:tc>
        <w:tc>
          <w:tcPr>
            <w:tcW w:w="0" w:type="dxa"/>
            <w:vAlign w:val="bottom"/>
          </w:tcPr>
          <w:p>
            <w:pPr>
              <w:spacing w:after="0"/>
              <w:rPr>
                <w:sz w:val="1"/>
                <w:szCs w:val="1"/>
                <w:color w:val="auto"/>
              </w:rPr>
            </w:pPr>
          </w:p>
        </w:tc>
      </w:tr>
      <w:tr>
        <w:trPr>
          <w:trHeight w:val="20"/>
        </w:trPr>
        <w:tc>
          <w:tcPr>
            <w:tcW w:w="160" w:type="dxa"/>
            <w:vAlign w:val="bottom"/>
            <w:shd w:val="clear" w:color="auto" w:fill="0B3C61"/>
          </w:tcPr>
          <w:p>
            <w:pPr>
              <w:spacing w:after="0" w:line="20" w:lineRule="exact"/>
              <w:rPr>
                <w:sz w:val="1"/>
                <w:szCs w:val="1"/>
                <w:color w:val="auto"/>
              </w:rPr>
            </w:pPr>
          </w:p>
        </w:tc>
        <w:tc>
          <w:tcPr>
            <w:tcW w:w="3160" w:type="dxa"/>
            <w:vAlign w:val="bottom"/>
            <w:shd w:val="clear" w:color="auto" w:fill="0B3C61"/>
          </w:tcPr>
          <w:p>
            <w:pPr>
              <w:spacing w:after="0" w:line="20" w:lineRule="exact"/>
              <w:rPr>
                <w:sz w:val="1"/>
                <w:szCs w:val="1"/>
                <w:color w:val="auto"/>
              </w:rPr>
            </w:pPr>
          </w:p>
        </w:tc>
        <w:tc>
          <w:tcPr>
            <w:tcW w:w="1080" w:type="dxa"/>
            <w:vAlign w:val="bottom"/>
            <w:shd w:val="clear" w:color="auto" w:fill="0B3C61"/>
          </w:tcPr>
          <w:p>
            <w:pPr>
              <w:spacing w:after="0" w:line="20" w:lineRule="exact"/>
              <w:rPr>
                <w:sz w:val="1"/>
                <w:szCs w:val="1"/>
                <w:color w:val="auto"/>
              </w:rPr>
            </w:pPr>
          </w:p>
        </w:tc>
        <w:tc>
          <w:tcPr>
            <w:tcW w:w="940" w:type="dxa"/>
            <w:vAlign w:val="bottom"/>
            <w:shd w:val="clear" w:color="auto" w:fill="0B3C61"/>
          </w:tcPr>
          <w:p>
            <w:pPr>
              <w:spacing w:after="0" w:line="20" w:lineRule="exact"/>
              <w:rPr>
                <w:sz w:val="1"/>
                <w:szCs w:val="1"/>
                <w:color w:val="auto"/>
              </w:rPr>
            </w:pPr>
          </w:p>
        </w:tc>
        <w:tc>
          <w:tcPr>
            <w:tcW w:w="860" w:type="dxa"/>
            <w:vAlign w:val="bottom"/>
            <w:shd w:val="clear" w:color="auto" w:fill="0B3C61"/>
          </w:tcPr>
          <w:p>
            <w:pPr>
              <w:spacing w:after="0" w:line="20" w:lineRule="exact"/>
              <w:rPr>
                <w:sz w:val="1"/>
                <w:szCs w:val="1"/>
                <w:color w:val="auto"/>
              </w:rPr>
            </w:pPr>
          </w:p>
        </w:tc>
        <w:tc>
          <w:tcPr>
            <w:tcW w:w="1000" w:type="dxa"/>
            <w:vAlign w:val="bottom"/>
            <w:shd w:val="clear" w:color="auto" w:fill="0B3C61"/>
          </w:tcPr>
          <w:p>
            <w:pPr>
              <w:spacing w:after="0" w:line="20" w:lineRule="exact"/>
              <w:rPr>
                <w:sz w:val="1"/>
                <w:szCs w:val="1"/>
                <w:color w:val="auto"/>
              </w:rPr>
            </w:pPr>
          </w:p>
        </w:tc>
        <w:tc>
          <w:tcPr>
            <w:tcW w:w="1140" w:type="dxa"/>
            <w:vAlign w:val="bottom"/>
            <w:shd w:val="clear" w:color="auto" w:fill="0B3C61"/>
          </w:tcPr>
          <w:p>
            <w:pPr>
              <w:spacing w:after="0" w:line="20" w:lineRule="exact"/>
              <w:rPr>
                <w:sz w:val="1"/>
                <w:szCs w:val="1"/>
                <w:color w:val="auto"/>
              </w:rPr>
            </w:pPr>
          </w:p>
        </w:tc>
        <w:tc>
          <w:tcPr>
            <w:tcW w:w="1060" w:type="dxa"/>
            <w:vAlign w:val="bottom"/>
            <w:shd w:val="clear" w:color="auto" w:fill="0B3C6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right="160" w:hanging="272"/>
        <w:spacing w:after="0" w:line="243" w:lineRule="auto"/>
        <w:tabs>
          <w:tab w:leader="none" w:pos="440" w:val="left"/>
        </w:tabs>
        <w:numPr>
          <w:ilvl w:val="0"/>
          <w:numId w:val="23"/>
        </w:numPr>
        <w:rPr>
          <w:rFonts w:ascii="Arial" w:cs="Arial" w:eastAsia="Arial" w:hAnsi="Arial"/>
          <w:sz w:val="13"/>
          <w:szCs w:val="13"/>
          <w:color w:val="54565B"/>
        </w:rPr>
      </w:pPr>
      <w:r>
        <w:rPr>
          <w:rFonts w:ascii="Arial" w:cs="Arial" w:eastAsia="Arial" w:hAnsi="Arial"/>
          <w:sz w:val="13"/>
          <w:szCs w:val="13"/>
          <w:color w:val="54565B"/>
        </w:rPr>
        <w:t>The insurance benefit is limited to $600,000 for Mr. C.H. Lindner III and Mr. S.C. Lindner, who reimburse the Company for premiums in excess of the limit. The insurance benefit is limited to $100,000 for Mr. Thompson, who reimburses the Company for premiums in excess of the limit.</w:t>
      </w:r>
    </w:p>
    <w:p>
      <w:pPr>
        <w:spacing w:after="0" w:line="21" w:lineRule="exact"/>
        <w:rPr>
          <w:rFonts w:ascii="Arial" w:cs="Arial" w:eastAsia="Arial" w:hAnsi="Arial"/>
          <w:sz w:val="13"/>
          <w:szCs w:val="13"/>
          <w:color w:val="54565B"/>
        </w:rPr>
      </w:pPr>
    </w:p>
    <w:p>
      <w:pPr>
        <w:ind w:left="440" w:right="40" w:hanging="272"/>
        <w:spacing w:after="0" w:line="226" w:lineRule="auto"/>
        <w:tabs>
          <w:tab w:leader="none" w:pos="440" w:val="left"/>
        </w:tabs>
        <w:numPr>
          <w:ilvl w:val="0"/>
          <w:numId w:val="23"/>
        </w:numPr>
        <w:rPr>
          <w:rFonts w:ascii="Arial" w:cs="Arial" w:eastAsia="Arial" w:hAnsi="Arial"/>
          <w:sz w:val="13"/>
          <w:szCs w:val="13"/>
          <w:color w:val="54565B"/>
        </w:rPr>
      </w:pPr>
      <w:r>
        <w:rPr>
          <w:rFonts w:ascii="Arial" w:cs="Arial" w:eastAsia="Arial" w:hAnsi="Arial"/>
          <w:sz w:val="13"/>
          <w:szCs w:val="13"/>
          <w:color w:val="54565B"/>
        </w:rPr>
        <w:t>The value of the use of corporate aircraft is calculated based on the aggregate incremental cost to the Company, including fuel costs, trip-related maintenance, universal weather-monitoring costs, on-board catering, landing/ramp fees and other miscellaneous variable costs. Fixed costs which do not change based on usage, such as pilot salaries, the amortized costs of the company aircraft, and the cost of maintenance not related to trips, are excluded. Amounts for personal use of company aircraft are included in the table. This incremental cost valuation of aircraft use is different from the standard industry fare level valuation used to impute income to the executives for tax purposes.</w:t>
      </w:r>
    </w:p>
    <w:p>
      <w:pPr>
        <w:spacing w:after="0" w:line="25" w:lineRule="exact"/>
        <w:rPr>
          <w:rFonts w:ascii="Arial" w:cs="Arial" w:eastAsia="Arial" w:hAnsi="Arial"/>
          <w:sz w:val="13"/>
          <w:szCs w:val="13"/>
          <w:color w:val="54565B"/>
        </w:rPr>
      </w:pPr>
    </w:p>
    <w:p>
      <w:pPr>
        <w:ind w:left="440" w:hanging="272"/>
        <w:spacing w:after="0"/>
        <w:tabs>
          <w:tab w:leader="none" w:pos="440" w:val="left"/>
        </w:tabs>
        <w:numPr>
          <w:ilvl w:val="0"/>
          <w:numId w:val="23"/>
        </w:numPr>
        <w:rPr>
          <w:rFonts w:ascii="Arial" w:cs="Arial" w:eastAsia="Arial" w:hAnsi="Arial"/>
          <w:sz w:val="12"/>
          <w:szCs w:val="12"/>
          <w:color w:val="54565B"/>
        </w:rPr>
      </w:pPr>
      <w:r>
        <w:rPr>
          <w:rFonts w:ascii="Arial" w:cs="Arial" w:eastAsia="Arial" w:hAnsi="Arial"/>
          <w:sz w:val="12"/>
          <w:szCs w:val="12"/>
          <w:color w:val="54565B"/>
        </w:rPr>
        <w:t xml:space="preserve">For information regarding the RASP and Auxiliary RASP, see “Compensation Discussion and Analysis—Retirement and Other Related Benefits” on page </w:t>
      </w:r>
      <w:r>
        <w:rPr>
          <w:rFonts w:ascii="Arial" w:cs="Arial" w:eastAsia="Arial" w:hAnsi="Arial"/>
          <w:sz w:val="12"/>
          <w:szCs w:val="12"/>
          <w:u w:val="single" w:color="auto"/>
          <w:color w:val="0000EE"/>
        </w:rPr>
        <w:t>53</w:t>
      </w:r>
      <w:r>
        <w:rPr>
          <w:rFonts w:ascii="Arial" w:cs="Arial" w:eastAsia="Arial" w:hAnsi="Arial"/>
          <w:sz w:val="12"/>
          <w:szCs w:val="12"/>
          <w:color w:val="54565B"/>
        </w:rPr>
        <w:t>.</w:t>
      </w:r>
    </w:p>
    <w:p>
      <w:pPr>
        <w:spacing w:after="0" w:line="51" w:lineRule="exact"/>
        <w:rPr>
          <w:rFonts w:ascii="Arial" w:cs="Arial" w:eastAsia="Arial" w:hAnsi="Arial"/>
          <w:sz w:val="12"/>
          <w:szCs w:val="12"/>
          <w:color w:val="54565B"/>
        </w:rPr>
      </w:pPr>
    </w:p>
    <w:p>
      <w:pPr>
        <w:ind w:left="440" w:right="280" w:hanging="272"/>
        <w:spacing w:after="0" w:line="233" w:lineRule="auto"/>
        <w:tabs>
          <w:tab w:leader="none" w:pos="440" w:val="left"/>
        </w:tabs>
        <w:numPr>
          <w:ilvl w:val="0"/>
          <w:numId w:val="23"/>
        </w:numPr>
        <w:rPr>
          <w:rFonts w:ascii="Arial" w:cs="Arial" w:eastAsia="Arial" w:hAnsi="Arial"/>
          <w:sz w:val="13"/>
          <w:szCs w:val="13"/>
          <w:color w:val="54565B"/>
        </w:rPr>
      </w:pPr>
      <w:r>
        <w:rPr>
          <w:rFonts w:ascii="Arial" w:cs="Arial" w:eastAsia="Arial" w:hAnsi="Arial"/>
          <w:sz w:val="13"/>
          <w:szCs w:val="13"/>
          <w:color w:val="54565B"/>
        </w:rPr>
        <w:t xml:space="preserve">Includes executive security services (see page </w:t>
      </w:r>
      <w:r>
        <w:rPr>
          <w:rFonts w:ascii="Arial" w:cs="Arial" w:eastAsia="Arial" w:hAnsi="Arial"/>
          <w:sz w:val="13"/>
          <w:szCs w:val="13"/>
          <w:u w:val="single" w:color="auto"/>
          <w:color w:val="0000EE"/>
        </w:rPr>
        <w:t>53</w:t>
      </w:r>
      <w:r>
        <w:rPr>
          <w:rFonts w:ascii="Arial" w:cs="Arial" w:eastAsia="Arial" w:hAnsi="Arial"/>
          <w:sz w:val="13"/>
          <w:szCs w:val="13"/>
          <w:color w:val="54565B"/>
        </w:rPr>
        <w:t xml:space="preserve"> regarding the AFG security program’s 2025 enhancements), group life insurance; car, parking and related expenses; business club dues; and health savings account company match. Also includes estimated amounts for meals and entertainment, travel services, including limited corporate aircraft use by Co-CEO family members, and administrative services.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0B3C61"/>
        </w:rPr>
        <w:t>POTENTIAL PAYMENTS UPON TERMINATION OR CHANGE IN CONTROL</w:t>
      </w:r>
    </w:p>
    <w:p>
      <w:pPr>
        <w:spacing w:after="0" w:line="97"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54565B"/>
        </w:rPr>
        <w:t>As described in the Compensation Discussion and Analysis section, the NEOs do not have employment, severance or change in control agreements with the Company. All outstanding unvested equity awards are subject to a double trigger.</w:t>
      </w:r>
    </w:p>
    <w:p>
      <w:pPr>
        <w:spacing w:after="0" w:line="260" w:lineRule="exact"/>
        <w:rPr>
          <w:sz w:val="20"/>
          <w:szCs w:val="20"/>
          <w:color w:val="auto"/>
        </w:rPr>
      </w:pPr>
    </w:p>
    <w:p>
      <w:pPr>
        <w:ind w:left="6360"/>
        <w:spacing w:after="0"/>
        <w:rPr>
          <w:sz w:val="20"/>
          <w:szCs w:val="20"/>
          <w:color w:val="auto"/>
        </w:rPr>
      </w:pPr>
      <w:r>
        <w:rPr>
          <w:rFonts w:ascii="Arial" w:cs="Arial" w:eastAsia="Arial" w:hAnsi="Arial"/>
          <w:sz w:val="12"/>
          <w:szCs w:val="12"/>
          <w:color w:val="0B3C61"/>
        </w:rPr>
        <w:t xml:space="preserve">2026 Proxy Statement | American Financial Group   </w:t>
      </w:r>
      <w:r>
        <w:rPr>
          <w:rFonts w:ascii="Arial" w:cs="Arial" w:eastAsia="Arial" w:hAnsi="Arial"/>
          <w:sz w:val="12"/>
          <w:szCs w:val="12"/>
          <w:b w:val="1"/>
          <w:bCs w:val="1"/>
          <w:color w:val="EA1D2D"/>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154940</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0B3C61"/>
        </w:rPr>
        <w:t>GRANTS OF PLAN-BASED AWARDS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60" w:type="dxa"/>
            <w:vAlign w:val="bottom"/>
            <w:shd w:val="clear" w:color="auto" w:fill="0B3C61"/>
          </w:tcPr>
          <w:p>
            <w:pPr>
              <w:spacing w:after="0"/>
              <w:rPr>
                <w:sz w:val="22"/>
                <w:szCs w:val="22"/>
                <w:color w:val="auto"/>
              </w:rPr>
            </w:pPr>
          </w:p>
        </w:tc>
        <w:tc>
          <w:tcPr>
            <w:tcW w:w="2080" w:type="dxa"/>
            <w:vAlign w:val="bottom"/>
            <w:shd w:val="clear" w:color="auto" w:fill="0B3C61"/>
          </w:tcPr>
          <w:p>
            <w:pPr>
              <w:spacing w:after="0"/>
              <w:rPr>
                <w:sz w:val="22"/>
                <w:szCs w:val="22"/>
                <w:color w:val="auto"/>
              </w:rPr>
            </w:pPr>
          </w:p>
        </w:tc>
        <w:tc>
          <w:tcPr>
            <w:tcW w:w="60" w:type="dxa"/>
            <w:vAlign w:val="bottom"/>
            <w:shd w:val="clear" w:color="auto" w:fill="0B3C61"/>
          </w:tcPr>
          <w:p>
            <w:pPr>
              <w:spacing w:after="0"/>
              <w:rPr>
                <w:sz w:val="22"/>
                <w:szCs w:val="22"/>
                <w:color w:val="auto"/>
              </w:rPr>
            </w:pPr>
          </w:p>
        </w:tc>
        <w:tc>
          <w:tcPr>
            <w:tcW w:w="1180" w:type="dxa"/>
            <w:vAlign w:val="bottom"/>
            <w:shd w:val="clear" w:color="auto" w:fill="0B3C61"/>
          </w:tcPr>
          <w:p>
            <w:pPr>
              <w:spacing w:after="0"/>
              <w:rPr>
                <w:sz w:val="22"/>
                <w:szCs w:val="22"/>
                <w:color w:val="auto"/>
              </w:rPr>
            </w:pPr>
          </w:p>
        </w:tc>
        <w:tc>
          <w:tcPr>
            <w:tcW w:w="70" w:type="dxa"/>
            <w:vAlign w:val="bottom"/>
            <w:shd w:val="clear" w:color="auto" w:fill="0B3C61"/>
          </w:tcPr>
          <w:p>
            <w:pPr>
              <w:spacing w:after="0"/>
              <w:rPr>
                <w:sz w:val="22"/>
                <w:szCs w:val="22"/>
                <w:color w:val="auto"/>
              </w:rPr>
            </w:pPr>
          </w:p>
        </w:tc>
        <w:tc>
          <w:tcPr>
            <w:tcW w:w="850" w:type="dxa"/>
            <w:vAlign w:val="bottom"/>
            <w:shd w:val="clear" w:color="auto" w:fill="0B3C61"/>
          </w:tcPr>
          <w:p>
            <w:pPr>
              <w:spacing w:after="0"/>
              <w:rPr>
                <w:sz w:val="22"/>
                <w:szCs w:val="22"/>
                <w:color w:val="auto"/>
              </w:rPr>
            </w:pPr>
          </w:p>
        </w:tc>
        <w:tc>
          <w:tcPr>
            <w:tcW w:w="420" w:type="dxa"/>
            <w:vAlign w:val="bottom"/>
            <w:shd w:val="clear" w:color="auto" w:fill="0B3C61"/>
          </w:tcPr>
          <w:p>
            <w:pPr>
              <w:spacing w:after="0"/>
              <w:rPr>
                <w:sz w:val="22"/>
                <w:szCs w:val="22"/>
                <w:color w:val="auto"/>
              </w:rPr>
            </w:pPr>
          </w:p>
        </w:tc>
        <w:tc>
          <w:tcPr>
            <w:tcW w:w="1240" w:type="dxa"/>
            <w:vAlign w:val="bottom"/>
            <w:shd w:val="clear" w:color="auto" w:fill="0B3C61"/>
          </w:tcPr>
          <w:p>
            <w:pPr>
              <w:spacing w:after="0"/>
              <w:rPr>
                <w:sz w:val="22"/>
                <w:szCs w:val="22"/>
                <w:color w:val="auto"/>
              </w:rPr>
            </w:pPr>
          </w:p>
        </w:tc>
        <w:tc>
          <w:tcPr>
            <w:tcW w:w="860" w:type="dxa"/>
            <w:vAlign w:val="bottom"/>
            <w:shd w:val="clear" w:color="auto" w:fill="0B3C61"/>
          </w:tcPr>
          <w:p>
            <w:pPr>
              <w:spacing w:after="0"/>
              <w:rPr>
                <w:sz w:val="22"/>
                <w:szCs w:val="22"/>
                <w:color w:val="auto"/>
              </w:rPr>
            </w:pPr>
          </w:p>
        </w:tc>
        <w:tc>
          <w:tcPr>
            <w:tcW w:w="60" w:type="dxa"/>
            <w:vAlign w:val="bottom"/>
            <w:shd w:val="clear" w:color="auto" w:fill="0B3C61"/>
          </w:tcPr>
          <w:p>
            <w:pPr>
              <w:spacing w:after="0"/>
              <w:rPr>
                <w:sz w:val="22"/>
                <w:szCs w:val="22"/>
                <w:color w:val="auto"/>
              </w:rPr>
            </w:pPr>
          </w:p>
        </w:tc>
        <w:tc>
          <w:tcPr>
            <w:tcW w:w="76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All other</w:t>
            </w:r>
          </w:p>
        </w:tc>
        <w:tc>
          <w:tcPr>
            <w:tcW w:w="640" w:type="dxa"/>
            <w:vAlign w:val="bottom"/>
            <w:shd w:val="clear" w:color="auto" w:fill="0B3C61"/>
          </w:tcPr>
          <w:p>
            <w:pPr>
              <w:spacing w:after="0"/>
              <w:rPr>
                <w:sz w:val="22"/>
                <w:szCs w:val="22"/>
                <w:color w:val="auto"/>
              </w:rPr>
            </w:pPr>
          </w:p>
        </w:tc>
        <w:tc>
          <w:tcPr>
            <w:tcW w:w="1020" w:type="dxa"/>
            <w:vAlign w:val="bottom"/>
            <w:shd w:val="clear" w:color="auto" w:fill="0B3C61"/>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60" w:type="dxa"/>
            <w:vAlign w:val="bottom"/>
            <w:shd w:val="clear" w:color="auto" w:fill="0B3C61"/>
          </w:tcPr>
          <w:p>
            <w:pPr>
              <w:spacing w:after="0"/>
              <w:rPr>
                <w:sz w:val="14"/>
                <w:szCs w:val="14"/>
                <w:color w:val="auto"/>
              </w:rPr>
            </w:pPr>
          </w:p>
        </w:tc>
        <w:tc>
          <w:tcPr>
            <w:tcW w:w="2080" w:type="dxa"/>
            <w:vAlign w:val="bottom"/>
            <w:shd w:val="clear" w:color="auto" w:fill="0B3C61"/>
          </w:tcPr>
          <w:p>
            <w:pPr>
              <w:spacing w:after="0"/>
              <w:rPr>
                <w:sz w:val="14"/>
                <w:szCs w:val="14"/>
                <w:color w:val="auto"/>
              </w:rPr>
            </w:pPr>
          </w:p>
        </w:tc>
        <w:tc>
          <w:tcPr>
            <w:tcW w:w="60" w:type="dxa"/>
            <w:vAlign w:val="bottom"/>
            <w:shd w:val="clear" w:color="auto" w:fill="0B3C61"/>
          </w:tcPr>
          <w:p>
            <w:pPr>
              <w:spacing w:after="0"/>
              <w:rPr>
                <w:sz w:val="14"/>
                <w:szCs w:val="14"/>
                <w:color w:val="auto"/>
              </w:rPr>
            </w:pPr>
          </w:p>
        </w:tc>
        <w:tc>
          <w:tcPr>
            <w:tcW w:w="1180" w:type="dxa"/>
            <w:vAlign w:val="bottom"/>
            <w:shd w:val="clear" w:color="auto" w:fill="0B3C61"/>
          </w:tcPr>
          <w:p>
            <w:pPr>
              <w:spacing w:after="0"/>
              <w:rPr>
                <w:sz w:val="14"/>
                <w:szCs w:val="14"/>
                <w:color w:val="auto"/>
              </w:rPr>
            </w:pPr>
          </w:p>
        </w:tc>
        <w:tc>
          <w:tcPr>
            <w:tcW w:w="70" w:type="dxa"/>
            <w:vAlign w:val="bottom"/>
            <w:shd w:val="clear" w:color="auto" w:fill="0B3C61"/>
          </w:tcPr>
          <w:p>
            <w:pPr>
              <w:spacing w:after="0"/>
              <w:rPr>
                <w:sz w:val="14"/>
                <w:szCs w:val="14"/>
                <w:color w:val="auto"/>
              </w:rPr>
            </w:pPr>
          </w:p>
        </w:tc>
        <w:tc>
          <w:tcPr>
            <w:tcW w:w="850" w:type="dxa"/>
            <w:vAlign w:val="bottom"/>
            <w:shd w:val="clear" w:color="auto" w:fill="0B3C61"/>
          </w:tcPr>
          <w:p>
            <w:pPr>
              <w:spacing w:after="0"/>
              <w:rPr>
                <w:sz w:val="14"/>
                <w:szCs w:val="14"/>
                <w:color w:val="auto"/>
              </w:rPr>
            </w:pPr>
          </w:p>
        </w:tc>
        <w:tc>
          <w:tcPr>
            <w:tcW w:w="1660" w:type="dxa"/>
            <w:vAlign w:val="bottom"/>
            <w:gridSpan w:val="2"/>
            <w:shd w:val="clear" w:color="auto" w:fill="0B3C61"/>
          </w:tcPr>
          <w:p>
            <w:pPr>
              <w:jc w:val="center"/>
              <w:spacing w:after="0"/>
              <w:rPr>
                <w:sz w:val="20"/>
                <w:szCs w:val="20"/>
                <w:color w:val="auto"/>
              </w:rPr>
            </w:pPr>
            <w:r>
              <w:rPr>
                <w:rFonts w:ascii="Arial" w:cs="Arial" w:eastAsia="Arial" w:hAnsi="Arial"/>
                <w:sz w:val="14"/>
                <w:szCs w:val="14"/>
                <w:color w:val="FFFFFF"/>
              </w:rPr>
              <w:t>Estimated Future Payouts</w:t>
            </w:r>
          </w:p>
        </w:tc>
        <w:tc>
          <w:tcPr>
            <w:tcW w:w="860" w:type="dxa"/>
            <w:vAlign w:val="bottom"/>
            <w:shd w:val="clear" w:color="auto" w:fill="0B3C61"/>
          </w:tcPr>
          <w:p>
            <w:pPr>
              <w:spacing w:after="0"/>
              <w:rPr>
                <w:sz w:val="14"/>
                <w:szCs w:val="14"/>
                <w:color w:val="auto"/>
              </w:rPr>
            </w:pPr>
          </w:p>
        </w:tc>
        <w:tc>
          <w:tcPr>
            <w:tcW w:w="60" w:type="dxa"/>
            <w:vAlign w:val="bottom"/>
            <w:shd w:val="clear" w:color="auto" w:fill="0B3C61"/>
          </w:tcPr>
          <w:p>
            <w:pPr>
              <w:spacing w:after="0"/>
              <w:rPr>
                <w:sz w:val="14"/>
                <w:szCs w:val="14"/>
                <w:color w:val="auto"/>
              </w:rPr>
            </w:pPr>
          </w:p>
        </w:tc>
        <w:tc>
          <w:tcPr>
            <w:tcW w:w="760" w:type="dxa"/>
            <w:vAlign w:val="bottom"/>
            <w:shd w:val="clear" w:color="auto" w:fill="0B3C61"/>
          </w:tcPr>
          <w:p>
            <w:pPr>
              <w:jc w:val="center"/>
              <w:spacing w:after="0"/>
              <w:rPr>
                <w:sz w:val="20"/>
                <w:szCs w:val="20"/>
                <w:color w:val="auto"/>
              </w:rPr>
            </w:pPr>
            <w:r>
              <w:rPr>
                <w:rFonts w:ascii="Arial" w:cs="Arial" w:eastAsia="Arial" w:hAnsi="Arial"/>
                <w:sz w:val="14"/>
                <w:szCs w:val="14"/>
                <w:color w:val="FFFFFF"/>
                <w:w w:val="96"/>
              </w:rPr>
              <w:t>Stock</w:t>
            </w:r>
          </w:p>
        </w:tc>
        <w:tc>
          <w:tcPr>
            <w:tcW w:w="64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Closing</w:t>
            </w:r>
          </w:p>
        </w:tc>
        <w:tc>
          <w:tcPr>
            <w:tcW w:w="1020" w:type="dxa"/>
            <w:vAlign w:val="bottom"/>
            <w:shd w:val="clear" w:color="auto" w:fill="0B3C6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shd w:val="clear" w:color="auto" w:fill="0B3C61"/>
          </w:tcPr>
          <w:p>
            <w:pPr>
              <w:spacing w:after="0"/>
              <w:rPr>
                <w:sz w:val="14"/>
                <w:szCs w:val="14"/>
                <w:color w:val="auto"/>
              </w:rPr>
            </w:pPr>
          </w:p>
        </w:tc>
        <w:tc>
          <w:tcPr>
            <w:tcW w:w="2080" w:type="dxa"/>
            <w:vAlign w:val="bottom"/>
            <w:shd w:val="clear" w:color="auto" w:fill="0B3C61"/>
          </w:tcPr>
          <w:p>
            <w:pPr>
              <w:spacing w:after="0"/>
              <w:rPr>
                <w:sz w:val="14"/>
                <w:szCs w:val="14"/>
                <w:color w:val="auto"/>
              </w:rPr>
            </w:pPr>
          </w:p>
        </w:tc>
        <w:tc>
          <w:tcPr>
            <w:tcW w:w="60" w:type="dxa"/>
            <w:vAlign w:val="bottom"/>
            <w:shd w:val="clear" w:color="auto" w:fill="0B3C61"/>
          </w:tcPr>
          <w:p>
            <w:pPr>
              <w:spacing w:after="0"/>
              <w:rPr>
                <w:sz w:val="14"/>
                <w:szCs w:val="14"/>
                <w:color w:val="auto"/>
              </w:rPr>
            </w:pPr>
          </w:p>
        </w:tc>
        <w:tc>
          <w:tcPr>
            <w:tcW w:w="1180" w:type="dxa"/>
            <w:vAlign w:val="bottom"/>
            <w:shd w:val="clear" w:color="auto" w:fill="0B3C61"/>
          </w:tcPr>
          <w:p>
            <w:pPr>
              <w:spacing w:after="0"/>
              <w:rPr>
                <w:sz w:val="14"/>
                <w:szCs w:val="14"/>
                <w:color w:val="auto"/>
              </w:rPr>
            </w:pPr>
          </w:p>
        </w:tc>
        <w:tc>
          <w:tcPr>
            <w:tcW w:w="70" w:type="dxa"/>
            <w:vAlign w:val="bottom"/>
            <w:shd w:val="clear" w:color="auto" w:fill="0B3C61"/>
          </w:tcPr>
          <w:p>
            <w:pPr>
              <w:spacing w:after="0"/>
              <w:rPr>
                <w:sz w:val="14"/>
                <w:szCs w:val="14"/>
                <w:color w:val="auto"/>
              </w:rPr>
            </w:pPr>
          </w:p>
        </w:tc>
        <w:tc>
          <w:tcPr>
            <w:tcW w:w="3370" w:type="dxa"/>
            <w:vAlign w:val="bottom"/>
            <w:gridSpan w:val="4"/>
            <w:shd w:val="clear" w:color="auto" w:fill="0B3C61"/>
          </w:tcPr>
          <w:p>
            <w:pPr>
              <w:jc w:val="center"/>
              <w:spacing w:after="0"/>
              <w:rPr>
                <w:sz w:val="20"/>
                <w:szCs w:val="20"/>
                <w:color w:val="auto"/>
              </w:rPr>
            </w:pPr>
            <w:r>
              <w:rPr>
                <w:rFonts w:ascii="Arial" w:cs="Arial" w:eastAsia="Arial" w:hAnsi="Arial"/>
                <w:sz w:val="14"/>
                <w:szCs w:val="14"/>
                <w:color w:val="FFFFFF"/>
              </w:rPr>
              <w:t>Under Non-Equity Incentive Plan</w:t>
            </w:r>
          </w:p>
        </w:tc>
        <w:tc>
          <w:tcPr>
            <w:tcW w:w="60" w:type="dxa"/>
            <w:vAlign w:val="bottom"/>
            <w:shd w:val="clear" w:color="auto" w:fill="0B3C61"/>
          </w:tcPr>
          <w:p>
            <w:pPr>
              <w:spacing w:after="0"/>
              <w:rPr>
                <w:sz w:val="14"/>
                <w:szCs w:val="14"/>
                <w:color w:val="auto"/>
              </w:rPr>
            </w:pPr>
          </w:p>
        </w:tc>
        <w:tc>
          <w:tcPr>
            <w:tcW w:w="760" w:type="dxa"/>
            <w:vAlign w:val="bottom"/>
            <w:shd w:val="clear" w:color="auto" w:fill="0B3C61"/>
          </w:tcPr>
          <w:p>
            <w:pPr>
              <w:jc w:val="center"/>
              <w:spacing w:after="0"/>
              <w:rPr>
                <w:sz w:val="20"/>
                <w:szCs w:val="20"/>
                <w:color w:val="auto"/>
              </w:rPr>
            </w:pPr>
            <w:r>
              <w:rPr>
                <w:rFonts w:ascii="Arial" w:cs="Arial" w:eastAsia="Arial" w:hAnsi="Arial"/>
                <w:sz w:val="14"/>
                <w:szCs w:val="14"/>
                <w:color w:val="FFFFFF"/>
                <w:w w:val="98"/>
              </w:rPr>
              <w:t>Awards:</w:t>
            </w:r>
          </w:p>
        </w:tc>
        <w:tc>
          <w:tcPr>
            <w:tcW w:w="64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Market</w:t>
            </w:r>
          </w:p>
        </w:tc>
        <w:tc>
          <w:tcPr>
            <w:tcW w:w="1020" w:type="dxa"/>
            <w:vAlign w:val="bottom"/>
            <w:shd w:val="clear" w:color="auto" w:fill="0B3C61"/>
          </w:tcPr>
          <w:p>
            <w:pPr>
              <w:jc w:val="center"/>
              <w:ind w:right="88"/>
              <w:spacing w:after="0"/>
              <w:rPr>
                <w:sz w:val="20"/>
                <w:szCs w:val="20"/>
                <w:color w:val="auto"/>
              </w:rPr>
            </w:pPr>
            <w:r>
              <w:rPr>
                <w:rFonts w:ascii="Arial" w:cs="Arial" w:eastAsia="Arial" w:hAnsi="Arial"/>
                <w:sz w:val="14"/>
                <w:szCs w:val="14"/>
                <w:color w:val="FFFFFF"/>
              </w:rPr>
              <w:t>Grant Date</w:t>
            </w:r>
          </w:p>
        </w:tc>
        <w:tc>
          <w:tcPr>
            <w:tcW w:w="0" w:type="dxa"/>
            <w:vAlign w:val="bottom"/>
          </w:tcPr>
          <w:p>
            <w:pPr>
              <w:spacing w:after="0"/>
              <w:rPr>
                <w:sz w:val="1"/>
                <w:szCs w:val="1"/>
                <w:color w:val="auto"/>
              </w:rPr>
            </w:pPr>
          </w:p>
        </w:tc>
      </w:tr>
      <w:tr>
        <w:trPr>
          <w:trHeight w:val="162"/>
        </w:trPr>
        <w:tc>
          <w:tcPr>
            <w:tcW w:w="160" w:type="dxa"/>
            <w:vAlign w:val="bottom"/>
            <w:shd w:val="clear" w:color="auto" w:fill="0B3C61"/>
          </w:tcPr>
          <w:p>
            <w:pPr>
              <w:spacing w:after="0"/>
              <w:rPr>
                <w:sz w:val="14"/>
                <w:szCs w:val="14"/>
                <w:color w:val="auto"/>
              </w:rPr>
            </w:pPr>
          </w:p>
        </w:tc>
        <w:tc>
          <w:tcPr>
            <w:tcW w:w="2080" w:type="dxa"/>
            <w:vAlign w:val="bottom"/>
            <w:shd w:val="clear" w:color="auto" w:fill="0B3C61"/>
          </w:tcPr>
          <w:p>
            <w:pPr>
              <w:spacing w:after="0"/>
              <w:rPr>
                <w:sz w:val="14"/>
                <w:szCs w:val="14"/>
                <w:color w:val="auto"/>
              </w:rPr>
            </w:pPr>
          </w:p>
        </w:tc>
        <w:tc>
          <w:tcPr>
            <w:tcW w:w="60" w:type="dxa"/>
            <w:vAlign w:val="bottom"/>
            <w:shd w:val="clear" w:color="auto" w:fill="0B3C61"/>
          </w:tcPr>
          <w:p>
            <w:pPr>
              <w:spacing w:after="0"/>
              <w:rPr>
                <w:sz w:val="14"/>
                <w:szCs w:val="14"/>
                <w:color w:val="auto"/>
              </w:rPr>
            </w:pPr>
          </w:p>
        </w:tc>
        <w:tc>
          <w:tcPr>
            <w:tcW w:w="1180" w:type="dxa"/>
            <w:vAlign w:val="bottom"/>
            <w:shd w:val="clear" w:color="auto" w:fill="0B3C61"/>
          </w:tcPr>
          <w:p>
            <w:pPr>
              <w:spacing w:after="0"/>
              <w:rPr>
                <w:sz w:val="14"/>
                <w:szCs w:val="14"/>
                <w:color w:val="auto"/>
              </w:rPr>
            </w:pPr>
          </w:p>
        </w:tc>
        <w:tc>
          <w:tcPr>
            <w:tcW w:w="70" w:type="dxa"/>
            <w:vAlign w:val="bottom"/>
            <w:shd w:val="clear" w:color="auto" w:fill="0B3C61"/>
          </w:tcPr>
          <w:p>
            <w:pPr>
              <w:spacing w:after="0"/>
              <w:rPr>
                <w:sz w:val="14"/>
                <w:szCs w:val="14"/>
                <w:color w:val="auto"/>
              </w:rPr>
            </w:pPr>
          </w:p>
        </w:tc>
        <w:tc>
          <w:tcPr>
            <w:tcW w:w="850" w:type="dxa"/>
            <w:vAlign w:val="bottom"/>
            <w:shd w:val="clear" w:color="auto" w:fill="0B3C61"/>
          </w:tcPr>
          <w:p>
            <w:pPr>
              <w:spacing w:after="0"/>
              <w:rPr>
                <w:sz w:val="14"/>
                <w:szCs w:val="14"/>
                <w:color w:val="auto"/>
              </w:rPr>
            </w:pPr>
          </w:p>
        </w:tc>
        <w:tc>
          <w:tcPr>
            <w:tcW w:w="420" w:type="dxa"/>
            <w:vAlign w:val="bottom"/>
            <w:shd w:val="clear" w:color="auto" w:fill="0B3C61"/>
          </w:tcPr>
          <w:p>
            <w:pPr>
              <w:spacing w:after="0"/>
              <w:rPr>
                <w:sz w:val="14"/>
                <w:szCs w:val="14"/>
                <w:color w:val="auto"/>
              </w:rPr>
            </w:pPr>
          </w:p>
        </w:tc>
        <w:tc>
          <w:tcPr>
            <w:tcW w:w="1240" w:type="dxa"/>
            <w:vAlign w:val="bottom"/>
            <w:shd w:val="clear" w:color="auto" w:fill="0B3C61"/>
          </w:tcPr>
          <w:p>
            <w:pPr>
              <w:jc w:val="center"/>
              <w:ind w:right="308"/>
              <w:spacing w:after="0"/>
              <w:rPr>
                <w:sz w:val="20"/>
                <w:szCs w:val="20"/>
                <w:color w:val="auto"/>
              </w:rPr>
            </w:pPr>
            <w:r>
              <w:rPr>
                <w:rFonts w:ascii="Arial" w:cs="Arial" w:eastAsia="Arial" w:hAnsi="Arial"/>
                <w:sz w:val="14"/>
                <w:szCs w:val="14"/>
                <w:color w:val="FFFFFF"/>
                <w:w w:val="98"/>
              </w:rPr>
              <w:t>Awards</w:t>
            </w:r>
          </w:p>
        </w:tc>
        <w:tc>
          <w:tcPr>
            <w:tcW w:w="860" w:type="dxa"/>
            <w:vAlign w:val="bottom"/>
            <w:shd w:val="clear" w:color="auto" w:fill="0B3C61"/>
          </w:tcPr>
          <w:p>
            <w:pPr>
              <w:spacing w:after="0"/>
              <w:rPr>
                <w:sz w:val="14"/>
                <w:szCs w:val="14"/>
                <w:color w:val="auto"/>
              </w:rPr>
            </w:pPr>
          </w:p>
        </w:tc>
        <w:tc>
          <w:tcPr>
            <w:tcW w:w="60" w:type="dxa"/>
            <w:vAlign w:val="bottom"/>
            <w:shd w:val="clear" w:color="auto" w:fill="0B3C61"/>
          </w:tcPr>
          <w:p>
            <w:pPr>
              <w:spacing w:after="0"/>
              <w:rPr>
                <w:sz w:val="14"/>
                <w:szCs w:val="14"/>
                <w:color w:val="auto"/>
              </w:rPr>
            </w:pPr>
          </w:p>
        </w:tc>
        <w:tc>
          <w:tcPr>
            <w:tcW w:w="76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Number</w:t>
            </w:r>
          </w:p>
        </w:tc>
        <w:tc>
          <w:tcPr>
            <w:tcW w:w="64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Price on</w:t>
            </w:r>
          </w:p>
        </w:tc>
        <w:tc>
          <w:tcPr>
            <w:tcW w:w="1020" w:type="dxa"/>
            <w:vAlign w:val="bottom"/>
            <w:shd w:val="clear" w:color="auto" w:fill="0B3C61"/>
          </w:tcPr>
          <w:p>
            <w:pPr>
              <w:jc w:val="center"/>
              <w:ind w:right="68"/>
              <w:spacing w:after="0"/>
              <w:rPr>
                <w:sz w:val="20"/>
                <w:szCs w:val="20"/>
                <w:color w:val="auto"/>
              </w:rPr>
            </w:pPr>
            <w:r>
              <w:rPr>
                <w:rFonts w:ascii="Arial" w:cs="Arial" w:eastAsia="Arial" w:hAnsi="Arial"/>
                <w:sz w:val="14"/>
                <w:szCs w:val="14"/>
                <w:color w:val="FFFFFF"/>
              </w:rPr>
              <w:t>Fair Value</w:t>
            </w:r>
          </w:p>
        </w:tc>
        <w:tc>
          <w:tcPr>
            <w:tcW w:w="0" w:type="dxa"/>
            <w:vAlign w:val="bottom"/>
          </w:tcPr>
          <w:p>
            <w:pPr>
              <w:spacing w:after="0"/>
              <w:rPr>
                <w:sz w:val="1"/>
                <w:szCs w:val="1"/>
                <w:color w:val="auto"/>
              </w:rPr>
            </w:pPr>
          </w:p>
        </w:tc>
      </w:tr>
      <w:tr>
        <w:trPr>
          <w:trHeight w:val="162"/>
        </w:trPr>
        <w:tc>
          <w:tcPr>
            <w:tcW w:w="160" w:type="dxa"/>
            <w:vAlign w:val="bottom"/>
            <w:shd w:val="clear" w:color="auto" w:fill="0B3C61"/>
          </w:tcPr>
          <w:p>
            <w:pPr>
              <w:spacing w:after="0"/>
              <w:rPr>
                <w:sz w:val="14"/>
                <w:szCs w:val="14"/>
                <w:color w:val="auto"/>
              </w:rPr>
            </w:pPr>
          </w:p>
        </w:tc>
        <w:tc>
          <w:tcPr>
            <w:tcW w:w="2080" w:type="dxa"/>
            <w:vAlign w:val="bottom"/>
            <w:shd w:val="clear" w:color="auto" w:fill="0B3C61"/>
          </w:tcPr>
          <w:p>
            <w:pPr>
              <w:spacing w:after="0"/>
              <w:rPr>
                <w:sz w:val="14"/>
                <w:szCs w:val="14"/>
                <w:color w:val="auto"/>
              </w:rPr>
            </w:pPr>
          </w:p>
        </w:tc>
        <w:tc>
          <w:tcPr>
            <w:tcW w:w="60" w:type="dxa"/>
            <w:vAlign w:val="bottom"/>
            <w:shd w:val="clear" w:color="auto" w:fill="0B3C61"/>
          </w:tcPr>
          <w:p>
            <w:pPr>
              <w:spacing w:after="0"/>
              <w:rPr>
                <w:sz w:val="14"/>
                <w:szCs w:val="14"/>
                <w:color w:val="auto"/>
              </w:rPr>
            </w:pPr>
          </w:p>
        </w:tc>
        <w:tc>
          <w:tcPr>
            <w:tcW w:w="1180" w:type="dxa"/>
            <w:vAlign w:val="bottom"/>
            <w:shd w:val="clear" w:color="auto" w:fill="0B3C61"/>
          </w:tcPr>
          <w:p>
            <w:pPr>
              <w:spacing w:after="0"/>
              <w:rPr>
                <w:sz w:val="14"/>
                <w:szCs w:val="14"/>
                <w:color w:val="auto"/>
              </w:rPr>
            </w:pPr>
          </w:p>
        </w:tc>
        <w:tc>
          <w:tcPr>
            <w:tcW w:w="70" w:type="dxa"/>
            <w:vAlign w:val="bottom"/>
            <w:shd w:val="clear" w:color="auto" w:fill="0B3C61"/>
          </w:tcPr>
          <w:p>
            <w:pPr>
              <w:spacing w:after="0"/>
              <w:rPr>
                <w:sz w:val="14"/>
                <w:szCs w:val="14"/>
                <w:color w:val="auto"/>
              </w:rPr>
            </w:pPr>
          </w:p>
        </w:tc>
        <w:tc>
          <w:tcPr>
            <w:tcW w:w="850" w:type="dxa"/>
            <w:vAlign w:val="bottom"/>
            <w:shd w:val="clear" w:color="auto" w:fill="0B3C61"/>
          </w:tcPr>
          <w:p>
            <w:pPr>
              <w:spacing w:after="0"/>
              <w:rPr>
                <w:sz w:val="14"/>
                <w:szCs w:val="14"/>
                <w:color w:val="auto"/>
              </w:rPr>
            </w:pPr>
          </w:p>
        </w:tc>
        <w:tc>
          <w:tcPr>
            <w:tcW w:w="420" w:type="dxa"/>
            <w:vAlign w:val="bottom"/>
            <w:shd w:val="clear" w:color="auto" w:fill="0B3C61"/>
          </w:tcPr>
          <w:p>
            <w:pPr>
              <w:spacing w:after="0"/>
              <w:rPr>
                <w:sz w:val="14"/>
                <w:szCs w:val="14"/>
                <w:color w:val="auto"/>
              </w:rPr>
            </w:pPr>
          </w:p>
        </w:tc>
        <w:tc>
          <w:tcPr>
            <w:tcW w:w="1240" w:type="dxa"/>
            <w:vAlign w:val="bottom"/>
            <w:shd w:val="clear" w:color="auto" w:fill="0B3C61"/>
          </w:tcPr>
          <w:p>
            <w:pPr>
              <w:spacing w:after="0"/>
              <w:rPr>
                <w:sz w:val="14"/>
                <w:szCs w:val="14"/>
                <w:color w:val="auto"/>
              </w:rPr>
            </w:pPr>
          </w:p>
        </w:tc>
        <w:tc>
          <w:tcPr>
            <w:tcW w:w="860" w:type="dxa"/>
            <w:vAlign w:val="bottom"/>
            <w:shd w:val="clear" w:color="auto" w:fill="0B3C61"/>
          </w:tcPr>
          <w:p>
            <w:pPr>
              <w:spacing w:after="0"/>
              <w:rPr>
                <w:sz w:val="14"/>
                <w:szCs w:val="14"/>
                <w:color w:val="auto"/>
              </w:rPr>
            </w:pPr>
          </w:p>
        </w:tc>
        <w:tc>
          <w:tcPr>
            <w:tcW w:w="60" w:type="dxa"/>
            <w:vAlign w:val="bottom"/>
            <w:shd w:val="clear" w:color="auto" w:fill="0B3C61"/>
          </w:tcPr>
          <w:p>
            <w:pPr>
              <w:spacing w:after="0"/>
              <w:rPr>
                <w:sz w:val="14"/>
                <w:szCs w:val="14"/>
                <w:color w:val="auto"/>
              </w:rPr>
            </w:pPr>
          </w:p>
        </w:tc>
        <w:tc>
          <w:tcPr>
            <w:tcW w:w="76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of Shares</w:t>
            </w:r>
          </w:p>
        </w:tc>
        <w:tc>
          <w:tcPr>
            <w:tcW w:w="64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the</w:t>
            </w:r>
          </w:p>
        </w:tc>
        <w:tc>
          <w:tcPr>
            <w:tcW w:w="1020" w:type="dxa"/>
            <w:vAlign w:val="bottom"/>
            <w:shd w:val="clear" w:color="auto" w:fill="0B3C61"/>
          </w:tcPr>
          <w:p>
            <w:pPr>
              <w:jc w:val="center"/>
              <w:ind w:right="28"/>
              <w:spacing w:after="0"/>
              <w:rPr>
                <w:sz w:val="20"/>
                <w:szCs w:val="20"/>
                <w:color w:val="auto"/>
              </w:rPr>
            </w:pPr>
            <w:r>
              <w:rPr>
                <w:rFonts w:ascii="Arial" w:cs="Arial" w:eastAsia="Arial" w:hAnsi="Arial"/>
                <w:sz w:val="14"/>
                <w:szCs w:val="14"/>
                <w:color w:val="FFFFFF"/>
              </w:rPr>
              <w:t>of Stock and</w:t>
            </w:r>
          </w:p>
        </w:tc>
        <w:tc>
          <w:tcPr>
            <w:tcW w:w="0" w:type="dxa"/>
            <w:vAlign w:val="bottom"/>
          </w:tcPr>
          <w:p>
            <w:pPr>
              <w:spacing w:after="0"/>
              <w:rPr>
                <w:sz w:val="1"/>
                <w:szCs w:val="1"/>
                <w:color w:val="auto"/>
              </w:rPr>
            </w:pPr>
          </w:p>
        </w:tc>
      </w:tr>
      <w:tr>
        <w:trPr>
          <w:trHeight w:val="162"/>
        </w:trPr>
        <w:tc>
          <w:tcPr>
            <w:tcW w:w="160" w:type="dxa"/>
            <w:vAlign w:val="bottom"/>
            <w:shd w:val="clear" w:color="auto" w:fill="0B3C61"/>
          </w:tcPr>
          <w:p>
            <w:pPr>
              <w:spacing w:after="0"/>
              <w:rPr>
                <w:sz w:val="14"/>
                <w:szCs w:val="14"/>
                <w:color w:val="auto"/>
              </w:rPr>
            </w:pPr>
          </w:p>
        </w:tc>
        <w:tc>
          <w:tcPr>
            <w:tcW w:w="2080" w:type="dxa"/>
            <w:vAlign w:val="bottom"/>
            <w:shd w:val="clear" w:color="auto" w:fill="0B3C61"/>
          </w:tcPr>
          <w:p>
            <w:pPr>
              <w:spacing w:after="0"/>
              <w:rPr>
                <w:sz w:val="14"/>
                <w:szCs w:val="14"/>
                <w:color w:val="auto"/>
              </w:rPr>
            </w:pPr>
          </w:p>
        </w:tc>
        <w:tc>
          <w:tcPr>
            <w:tcW w:w="60" w:type="dxa"/>
            <w:vAlign w:val="bottom"/>
            <w:shd w:val="clear" w:color="auto" w:fill="0B3C61"/>
          </w:tcPr>
          <w:p>
            <w:pPr>
              <w:spacing w:after="0"/>
              <w:rPr>
                <w:sz w:val="14"/>
                <w:szCs w:val="14"/>
                <w:color w:val="auto"/>
              </w:rPr>
            </w:pPr>
          </w:p>
        </w:tc>
        <w:tc>
          <w:tcPr>
            <w:tcW w:w="1180" w:type="dxa"/>
            <w:vAlign w:val="bottom"/>
            <w:shd w:val="clear" w:color="auto" w:fill="0B3C61"/>
          </w:tcPr>
          <w:p>
            <w:pPr>
              <w:spacing w:after="0"/>
              <w:rPr>
                <w:sz w:val="14"/>
                <w:szCs w:val="14"/>
                <w:color w:val="auto"/>
              </w:rPr>
            </w:pPr>
          </w:p>
        </w:tc>
        <w:tc>
          <w:tcPr>
            <w:tcW w:w="70" w:type="dxa"/>
            <w:vAlign w:val="bottom"/>
            <w:shd w:val="clear" w:color="auto" w:fill="0B3C61"/>
          </w:tcPr>
          <w:p>
            <w:pPr>
              <w:spacing w:after="0"/>
              <w:rPr>
                <w:sz w:val="14"/>
                <w:szCs w:val="14"/>
                <w:color w:val="auto"/>
              </w:rPr>
            </w:pPr>
          </w:p>
        </w:tc>
        <w:tc>
          <w:tcPr>
            <w:tcW w:w="850" w:type="dxa"/>
            <w:vAlign w:val="bottom"/>
            <w:shd w:val="clear" w:color="auto" w:fill="0B3C61"/>
          </w:tcPr>
          <w:p>
            <w:pPr>
              <w:spacing w:after="0"/>
              <w:rPr>
                <w:sz w:val="14"/>
                <w:szCs w:val="14"/>
                <w:color w:val="auto"/>
              </w:rPr>
            </w:pPr>
          </w:p>
        </w:tc>
        <w:tc>
          <w:tcPr>
            <w:tcW w:w="420" w:type="dxa"/>
            <w:vAlign w:val="bottom"/>
            <w:shd w:val="clear" w:color="auto" w:fill="0B3C61"/>
          </w:tcPr>
          <w:p>
            <w:pPr>
              <w:spacing w:after="0"/>
              <w:rPr>
                <w:sz w:val="14"/>
                <w:szCs w:val="14"/>
                <w:color w:val="auto"/>
              </w:rPr>
            </w:pPr>
          </w:p>
        </w:tc>
        <w:tc>
          <w:tcPr>
            <w:tcW w:w="1240" w:type="dxa"/>
            <w:vAlign w:val="bottom"/>
            <w:shd w:val="clear" w:color="auto" w:fill="0B3C61"/>
          </w:tcPr>
          <w:p>
            <w:pPr>
              <w:spacing w:after="0"/>
              <w:rPr>
                <w:sz w:val="14"/>
                <w:szCs w:val="14"/>
                <w:color w:val="auto"/>
              </w:rPr>
            </w:pPr>
          </w:p>
        </w:tc>
        <w:tc>
          <w:tcPr>
            <w:tcW w:w="860" w:type="dxa"/>
            <w:vAlign w:val="bottom"/>
            <w:shd w:val="clear" w:color="auto" w:fill="0B3C61"/>
          </w:tcPr>
          <w:p>
            <w:pPr>
              <w:spacing w:after="0"/>
              <w:rPr>
                <w:sz w:val="14"/>
                <w:szCs w:val="14"/>
                <w:color w:val="auto"/>
              </w:rPr>
            </w:pPr>
          </w:p>
        </w:tc>
        <w:tc>
          <w:tcPr>
            <w:tcW w:w="60" w:type="dxa"/>
            <w:vAlign w:val="bottom"/>
            <w:shd w:val="clear" w:color="auto" w:fill="0B3C61"/>
          </w:tcPr>
          <w:p>
            <w:pPr>
              <w:spacing w:after="0"/>
              <w:rPr>
                <w:sz w:val="14"/>
                <w:szCs w:val="14"/>
                <w:color w:val="auto"/>
              </w:rPr>
            </w:pPr>
          </w:p>
        </w:tc>
        <w:tc>
          <w:tcPr>
            <w:tcW w:w="760" w:type="dxa"/>
            <w:vAlign w:val="bottom"/>
            <w:shd w:val="clear" w:color="auto" w:fill="0B3C61"/>
          </w:tcPr>
          <w:p>
            <w:pPr>
              <w:jc w:val="center"/>
              <w:spacing w:after="0"/>
              <w:rPr>
                <w:sz w:val="20"/>
                <w:szCs w:val="20"/>
                <w:color w:val="auto"/>
              </w:rPr>
            </w:pPr>
            <w:r>
              <w:rPr>
                <w:rFonts w:ascii="Arial" w:cs="Arial" w:eastAsia="Arial" w:hAnsi="Arial"/>
                <w:sz w:val="14"/>
                <w:szCs w:val="14"/>
                <w:color w:val="FFFFFF"/>
                <w:w w:val="98"/>
              </w:rPr>
              <w:t>of Stock</w:t>
            </w:r>
          </w:p>
        </w:tc>
        <w:tc>
          <w:tcPr>
            <w:tcW w:w="64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Date</w:t>
            </w:r>
          </w:p>
        </w:tc>
        <w:tc>
          <w:tcPr>
            <w:tcW w:w="1020" w:type="dxa"/>
            <w:vAlign w:val="bottom"/>
            <w:shd w:val="clear" w:color="auto" w:fill="0B3C61"/>
          </w:tcPr>
          <w:p>
            <w:pPr>
              <w:jc w:val="center"/>
              <w:ind w:right="88"/>
              <w:spacing w:after="0"/>
              <w:rPr>
                <w:sz w:val="20"/>
                <w:szCs w:val="20"/>
                <w:color w:val="auto"/>
              </w:rPr>
            </w:pPr>
            <w:r>
              <w:rPr>
                <w:rFonts w:ascii="Arial" w:cs="Arial" w:eastAsia="Arial" w:hAnsi="Arial"/>
                <w:sz w:val="14"/>
                <w:szCs w:val="14"/>
                <w:color w:val="FFFFFF"/>
              </w:rPr>
              <w:t>Option</w:t>
            </w:r>
          </w:p>
        </w:tc>
        <w:tc>
          <w:tcPr>
            <w:tcW w:w="0" w:type="dxa"/>
            <w:vAlign w:val="bottom"/>
          </w:tcPr>
          <w:p>
            <w:pPr>
              <w:spacing w:after="0"/>
              <w:rPr>
                <w:sz w:val="1"/>
                <w:szCs w:val="1"/>
                <w:color w:val="auto"/>
              </w:rPr>
            </w:pPr>
          </w:p>
        </w:tc>
      </w:tr>
      <w:tr>
        <w:trPr>
          <w:trHeight w:val="162"/>
        </w:trPr>
        <w:tc>
          <w:tcPr>
            <w:tcW w:w="160" w:type="dxa"/>
            <w:vAlign w:val="bottom"/>
            <w:shd w:val="clear" w:color="auto" w:fill="0B3C61"/>
          </w:tcPr>
          <w:p>
            <w:pPr>
              <w:spacing w:after="0"/>
              <w:rPr>
                <w:sz w:val="14"/>
                <w:szCs w:val="14"/>
                <w:color w:val="auto"/>
              </w:rPr>
            </w:pPr>
          </w:p>
        </w:tc>
        <w:tc>
          <w:tcPr>
            <w:tcW w:w="2080" w:type="dxa"/>
            <w:vAlign w:val="bottom"/>
            <w:shd w:val="clear" w:color="auto" w:fill="0B3C61"/>
          </w:tcPr>
          <w:p>
            <w:pPr>
              <w:spacing w:after="0"/>
              <w:rPr>
                <w:sz w:val="14"/>
                <w:szCs w:val="14"/>
                <w:color w:val="auto"/>
              </w:rPr>
            </w:pPr>
          </w:p>
        </w:tc>
        <w:tc>
          <w:tcPr>
            <w:tcW w:w="60" w:type="dxa"/>
            <w:vAlign w:val="bottom"/>
            <w:shd w:val="clear" w:color="auto" w:fill="0B3C61"/>
          </w:tcPr>
          <w:p>
            <w:pPr>
              <w:spacing w:after="0"/>
              <w:rPr>
                <w:sz w:val="14"/>
                <w:szCs w:val="14"/>
                <w:color w:val="auto"/>
              </w:rPr>
            </w:pPr>
          </w:p>
        </w:tc>
        <w:tc>
          <w:tcPr>
            <w:tcW w:w="1180" w:type="dxa"/>
            <w:vAlign w:val="bottom"/>
            <w:shd w:val="clear" w:color="auto" w:fill="0B3C61"/>
          </w:tcPr>
          <w:p>
            <w:pPr>
              <w:spacing w:after="0"/>
              <w:rPr>
                <w:sz w:val="14"/>
                <w:szCs w:val="14"/>
                <w:color w:val="auto"/>
              </w:rPr>
            </w:pPr>
          </w:p>
        </w:tc>
        <w:tc>
          <w:tcPr>
            <w:tcW w:w="70" w:type="dxa"/>
            <w:vAlign w:val="bottom"/>
            <w:shd w:val="clear" w:color="auto" w:fill="0B3C61"/>
          </w:tcPr>
          <w:p>
            <w:pPr>
              <w:spacing w:after="0"/>
              <w:rPr>
                <w:sz w:val="14"/>
                <w:szCs w:val="14"/>
                <w:color w:val="auto"/>
              </w:rPr>
            </w:pPr>
          </w:p>
        </w:tc>
        <w:tc>
          <w:tcPr>
            <w:tcW w:w="850" w:type="dxa"/>
            <w:vAlign w:val="bottom"/>
            <w:shd w:val="clear" w:color="auto" w:fill="0B3C61"/>
          </w:tcPr>
          <w:p>
            <w:pPr>
              <w:jc w:val="right"/>
              <w:spacing w:after="0"/>
              <w:rPr>
                <w:sz w:val="20"/>
                <w:szCs w:val="20"/>
                <w:color w:val="auto"/>
              </w:rPr>
            </w:pPr>
            <w:r>
              <w:rPr>
                <w:rFonts w:ascii="Arial" w:cs="Arial" w:eastAsia="Arial" w:hAnsi="Arial"/>
                <w:sz w:val="14"/>
                <w:szCs w:val="14"/>
                <w:color w:val="FFFFFF"/>
              </w:rPr>
              <w:t>Threshold</w:t>
            </w:r>
          </w:p>
        </w:tc>
        <w:tc>
          <w:tcPr>
            <w:tcW w:w="420" w:type="dxa"/>
            <w:vAlign w:val="bottom"/>
            <w:shd w:val="clear" w:color="auto" w:fill="0B3C61"/>
          </w:tcPr>
          <w:p>
            <w:pPr>
              <w:spacing w:after="0"/>
              <w:rPr>
                <w:sz w:val="14"/>
                <w:szCs w:val="14"/>
                <w:color w:val="auto"/>
              </w:rPr>
            </w:pPr>
          </w:p>
        </w:tc>
        <w:tc>
          <w:tcPr>
            <w:tcW w:w="1240" w:type="dxa"/>
            <w:vAlign w:val="bottom"/>
            <w:shd w:val="clear" w:color="auto" w:fill="0B3C61"/>
          </w:tcPr>
          <w:p>
            <w:pPr>
              <w:jc w:val="center"/>
              <w:ind w:right="328"/>
              <w:spacing w:after="0"/>
              <w:rPr>
                <w:sz w:val="20"/>
                <w:szCs w:val="20"/>
                <w:color w:val="auto"/>
              </w:rPr>
            </w:pPr>
            <w:r>
              <w:rPr>
                <w:rFonts w:ascii="Arial" w:cs="Arial" w:eastAsia="Arial" w:hAnsi="Arial"/>
                <w:sz w:val="14"/>
                <w:szCs w:val="14"/>
                <w:color w:val="FFFFFF"/>
                <w:w w:val="98"/>
              </w:rPr>
              <w:t>Target</w:t>
            </w:r>
          </w:p>
        </w:tc>
        <w:tc>
          <w:tcPr>
            <w:tcW w:w="860" w:type="dxa"/>
            <w:vAlign w:val="bottom"/>
            <w:shd w:val="clear" w:color="auto" w:fill="0B3C61"/>
          </w:tcPr>
          <w:p>
            <w:pPr>
              <w:jc w:val="right"/>
              <w:ind w:right="148"/>
              <w:spacing w:after="0"/>
              <w:rPr>
                <w:sz w:val="20"/>
                <w:szCs w:val="20"/>
                <w:color w:val="auto"/>
              </w:rPr>
            </w:pPr>
            <w:r>
              <w:rPr>
                <w:rFonts w:ascii="Arial" w:cs="Arial" w:eastAsia="Arial" w:hAnsi="Arial"/>
                <w:sz w:val="14"/>
                <w:szCs w:val="14"/>
                <w:color w:val="FFFFFF"/>
              </w:rPr>
              <w:t>Maximum</w:t>
            </w:r>
          </w:p>
        </w:tc>
        <w:tc>
          <w:tcPr>
            <w:tcW w:w="60" w:type="dxa"/>
            <w:vAlign w:val="bottom"/>
            <w:shd w:val="clear" w:color="auto" w:fill="0B3C61"/>
          </w:tcPr>
          <w:p>
            <w:pPr>
              <w:spacing w:after="0"/>
              <w:rPr>
                <w:sz w:val="14"/>
                <w:szCs w:val="14"/>
                <w:color w:val="auto"/>
              </w:rPr>
            </w:pPr>
          </w:p>
        </w:tc>
        <w:tc>
          <w:tcPr>
            <w:tcW w:w="76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or Units</w:t>
            </w:r>
          </w:p>
        </w:tc>
        <w:tc>
          <w:tcPr>
            <w:tcW w:w="64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of Grant</w:t>
            </w:r>
          </w:p>
        </w:tc>
        <w:tc>
          <w:tcPr>
            <w:tcW w:w="1020" w:type="dxa"/>
            <w:vAlign w:val="bottom"/>
            <w:shd w:val="clear" w:color="auto" w:fill="0B3C61"/>
          </w:tcPr>
          <w:p>
            <w:pPr>
              <w:jc w:val="center"/>
              <w:ind w:right="68"/>
              <w:spacing w:after="0"/>
              <w:rPr>
                <w:sz w:val="20"/>
                <w:szCs w:val="20"/>
                <w:color w:val="auto"/>
              </w:rPr>
            </w:pPr>
            <w:r>
              <w:rPr>
                <w:rFonts w:ascii="Arial" w:cs="Arial" w:eastAsia="Arial" w:hAnsi="Arial"/>
                <w:sz w:val="14"/>
                <w:szCs w:val="14"/>
                <w:color w:val="FFFFFF"/>
              </w:rPr>
              <w:t>Awards</w:t>
            </w:r>
          </w:p>
        </w:tc>
        <w:tc>
          <w:tcPr>
            <w:tcW w:w="0" w:type="dxa"/>
            <w:vAlign w:val="bottom"/>
          </w:tcPr>
          <w:p>
            <w:pPr>
              <w:spacing w:after="0"/>
              <w:rPr>
                <w:sz w:val="1"/>
                <w:szCs w:val="1"/>
                <w:color w:val="auto"/>
              </w:rPr>
            </w:pPr>
          </w:p>
        </w:tc>
      </w:tr>
      <w:tr>
        <w:trPr>
          <w:trHeight w:val="270"/>
        </w:trPr>
        <w:tc>
          <w:tcPr>
            <w:tcW w:w="160" w:type="dxa"/>
            <w:vAlign w:val="bottom"/>
            <w:shd w:val="clear" w:color="auto" w:fill="0B3C61"/>
          </w:tcPr>
          <w:p>
            <w:pPr>
              <w:spacing w:after="0"/>
              <w:rPr>
                <w:sz w:val="23"/>
                <w:szCs w:val="23"/>
                <w:color w:val="auto"/>
              </w:rPr>
            </w:pPr>
          </w:p>
        </w:tc>
        <w:tc>
          <w:tcPr>
            <w:tcW w:w="2080" w:type="dxa"/>
            <w:vAlign w:val="bottom"/>
            <w:shd w:val="clear" w:color="auto" w:fill="0B3C61"/>
          </w:tcPr>
          <w:p>
            <w:pPr>
              <w:ind w:left="80"/>
              <w:spacing w:after="0"/>
              <w:rPr>
                <w:sz w:val="20"/>
                <w:szCs w:val="20"/>
                <w:color w:val="auto"/>
              </w:rPr>
            </w:pPr>
            <w:r>
              <w:rPr>
                <w:rFonts w:ascii="Arial" w:cs="Arial" w:eastAsia="Arial" w:hAnsi="Arial"/>
                <w:sz w:val="14"/>
                <w:szCs w:val="14"/>
                <w:color w:val="FFFFFF"/>
              </w:rPr>
              <w:t>Name</w:t>
            </w:r>
          </w:p>
        </w:tc>
        <w:tc>
          <w:tcPr>
            <w:tcW w:w="60" w:type="dxa"/>
            <w:vAlign w:val="bottom"/>
            <w:shd w:val="clear" w:color="auto" w:fill="0B3C61"/>
          </w:tcPr>
          <w:p>
            <w:pPr>
              <w:spacing w:after="0"/>
              <w:rPr>
                <w:sz w:val="23"/>
                <w:szCs w:val="23"/>
                <w:color w:val="auto"/>
              </w:rPr>
            </w:pPr>
          </w:p>
        </w:tc>
        <w:tc>
          <w:tcPr>
            <w:tcW w:w="1250" w:type="dxa"/>
            <w:vAlign w:val="bottom"/>
            <w:gridSpan w:val="2"/>
            <w:shd w:val="clear" w:color="auto" w:fill="0B3C61"/>
          </w:tcPr>
          <w:p>
            <w:pPr>
              <w:ind w:left="240"/>
              <w:spacing w:after="0"/>
              <w:rPr>
                <w:sz w:val="20"/>
                <w:szCs w:val="20"/>
                <w:color w:val="auto"/>
              </w:rPr>
            </w:pPr>
            <w:r>
              <w:rPr>
                <w:rFonts w:ascii="Arial" w:cs="Arial" w:eastAsia="Arial" w:hAnsi="Arial"/>
                <w:sz w:val="14"/>
                <w:szCs w:val="14"/>
                <w:color w:val="FFFFFF"/>
              </w:rPr>
              <w:t>Grant Date</w:t>
            </w:r>
          </w:p>
        </w:tc>
        <w:tc>
          <w:tcPr>
            <w:tcW w:w="850" w:type="dxa"/>
            <w:vAlign w:val="bottom"/>
            <w:shd w:val="clear" w:color="auto" w:fill="0B3C61"/>
          </w:tcPr>
          <w:p>
            <w:pPr>
              <w:jc w:val="right"/>
              <w:ind w:right="128"/>
              <w:spacing w:after="0"/>
              <w:rPr>
                <w:sz w:val="20"/>
                <w:szCs w:val="20"/>
                <w:color w:val="auto"/>
              </w:rPr>
            </w:pPr>
            <w:r>
              <w:rPr>
                <w:rFonts w:ascii="Arial" w:cs="Arial" w:eastAsia="Arial" w:hAnsi="Arial"/>
                <w:sz w:val="14"/>
                <w:szCs w:val="14"/>
                <w:color w:val="FFFFFF"/>
              </w:rPr>
              <w:t>($)</w:t>
            </w:r>
          </w:p>
        </w:tc>
        <w:tc>
          <w:tcPr>
            <w:tcW w:w="420" w:type="dxa"/>
            <w:vAlign w:val="bottom"/>
            <w:shd w:val="clear" w:color="auto" w:fill="0B3C61"/>
          </w:tcPr>
          <w:p>
            <w:pPr>
              <w:spacing w:after="0"/>
              <w:rPr>
                <w:sz w:val="23"/>
                <w:szCs w:val="23"/>
                <w:color w:val="auto"/>
              </w:rPr>
            </w:pPr>
          </w:p>
        </w:tc>
        <w:tc>
          <w:tcPr>
            <w:tcW w:w="1240" w:type="dxa"/>
            <w:vAlign w:val="bottom"/>
            <w:shd w:val="clear" w:color="auto" w:fill="0B3C61"/>
          </w:tcPr>
          <w:p>
            <w:pPr>
              <w:jc w:val="center"/>
              <w:ind w:right="308"/>
              <w:spacing w:after="0"/>
              <w:rPr>
                <w:sz w:val="20"/>
                <w:szCs w:val="20"/>
                <w:color w:val="auto"/>
              </w:rPr>
            </w:pPr>
            <w:r>
              <w:rPr>
                <w:rFonts w:ascii="Arial" w:cs="Arial" w:eastAsia="Arial" w:hAnsi="Arial"/>
                <w:sz w:val="14"/>
                <w:szCs w:val="14"/>
                <w:color w:val="FFFFFF"/>
              </w:rPr>
              <w:t>($)</w:t>
            </w:r>
          </w:p>
        </w:tc>
        <w:tc>
          <w:tcPr>
            <w:tcW w:w="860" w:type="dxa"/>
            <w:vAlign w:val="bottom"/>
            <w:shd w:val="clear" w:color="auto" w:fill="0B3C61"/>
          </w:tcPr>
          <w:p>
            <w:pPr>
              <w:jc w:val="right"/>
              <w:ind w:right="368"/>
              <w:spacing w:after="0"/>
              <w:rPr>
                <w:sz w:val="20"/>
                <w:szCs w:val="20"/>
                <w:color w:val="auto"/>
              </w:rPr>
            </w:pPr>
            <w:r>
              <w:rPr>
                <w:rFonts w:ascii="Arial" w:cs="Arial" w:eastAsia="Arial" w:hAnsi="Arial"/>
                <w:sz w:val="14"/>
                <w:szCs w:val="14"/>
                <w:color w:val="FFFFFF"/>
              </w:rPr>
              <w:t>($)</w:t>
            </w:r>
          </w:p>
        </w:tc>
        <w:tc>
          <w:tcPr>
            <w:tcW w:w="60" w:type="dxa"/>
            <w:vAlign w:val="bottom"/>
            <w:shd w:val="clear" w:color="auto" w:fill="0B3C61"/>
          </w:tcPr>
          <w:p>
            <w:pPr>
              <w:spacing w:after="0"/>
              <w:rPr>
                <w:sz w:val="23"/>
                <w:szCs w:val="23"/>
                <w:color w:val="auto"/>
              </w:rPr>
            </w:pPr>
          </w:p>
        </w:tc>
        <w:tc>
          <w:tcPr>
            <w:tcW w:w="760" w:type="dxa"/>
            <w:vAlign w:val="bottom"/>
            <w:shd w:val="clear" w:color="auto" w:fill="0B3C61"/>
          </w:tcPr>
          <w:p>
            <w:pPr>
              <w:jc w:val="center"/>
              <w:spacing w:after="0" w:line="270" w:lineRule="exact"/>
              <w:rPr>
                <w:sz w:val="20"/>
                <w:szCs w:val="20"/>
                <w:color w:val="auto"/>
              </w:rPr>
            </w:pPr>
            <w:r>
              <w:rPr>
                <w:rFonts w:ascii="Arial" w:cs="Arial" w:eastAsia="Arial" w:hAnsi="Arial"/>
                <w:sz w:val="28"/>
                <w:szCs w:val="28"/>
                <w:color w:val="FFFFFF"/>
                <w:w w:val="90"/>
                <w:vertAlign w:val="subscript"/>
              </w:rPr>
              <w:t>(#)</w:t>
            </w:r>
            <w:r>
              <w:rPr>
                <w:rFonts w:ascii="Arial" w:cs="Arial" w:eastAsia="Arial" w:hAnsi="Arial"/>
                <w:sz w:val="12"/>
                <w:szCs w:val="12"/>
                <w:color w:val="FFFFFF"/>
                <w:w w:val="90"/>
              </w:rPr>
              <w:t>(1)</w:t>
            </w:r>
          </w:p>
        </w:tc>
        <w:tc>
          <w:tcPr>
            <w:tcW w:w="640" w:type="dxa"/>
            <w:vAlign w:val="bottom"/>
            <w:shd w:val="clear" w:color="auto" w:fill="0B3C61"/>
          </w:tcPr>
          <w:p>
            <w:pPr>
              <w:jc w:val="center"/>
              <w:spacing w:after="0"/>
              <w:rPr>
                <w:sz w:val="20"/>
                <w:szCs w:val="20"/>
                <w:color w:val="auto"/>
              </w:rPr>
            </w:pPr>
            <w:r>
              <w:rPr>
                <w:rFonts w:ascii="Arial" w:cs="Arial" w:eastAsia="Arial" w:hAnsi="Arial"/>
                <w:sz w:val="14"/>
                <w:szCs w:val="14"/>
                <w:color w:val="FFFFFF"/>
                <w:w w:val="99"/>
              </w:rPr>
              <w:t>($/Sh)</w:t>
            </w:r>
          </w:p>
        </w:tc>
        <w:tc>
          <w:tcPr>
            <w:tcW w:w="1020" w:type="dxa"/>
            <w:vAlign w:val="bottom"/>
            <w:shd w:val="clear" w:color="auto" w:fill="0B3C61"/>
          </w:tcPr>
          <w:p>
            <w:pPr>
              <w:jc w:val="center"/>
              <w:ind w:right="48"/>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75"/>
        </w:trPr>
        <w:tc>
          <w:tcPr>
            <w:tcW w:w="16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240" w:type="dxa"/>
            <w:vAlign w:val="bottom"/>
            <w:gridSpan w:val="2"/>
          </w:tcPr>
          <w:p>
            <w:pPr>
              <w:ind w:left="440"/>
              <w:spacing w:after="0"/>
              <w:rPr>
                <w:sz w:val="20"/>
                <w:szCs w:val="20"/>
                <w:color w:val="auto"/>
              </w:rPr>
            </w:pPr>
            <w:r>
              <w:rPr>
                <w:rFonts w:ascii="Arial" w:cs="Arial" w:eastAsia="Arial" w:hAnsi="Arial"/>
                <w:sz w:val="14"/>
                <w:szCs w:val="14"/>
                <w:color w:val="54565B"/>
              </w:rPr>
              <w:t>2/19/2025</w:t>
            </w:r>
          </w:p>
        </w:tc>
        <w:tc>
          <w:tcPr>
            <w:tcW w:w="70" w:type="dxa"/>
            <w:vAlign w:val="bottom"/>
          </w:tcPr>
          <w:p>
            <w:pPr>
              <w:spacing w:after="0"/>
              <w:rPr>
                <w:sz w:val="23"/>
                <w:szCs w:val="23"/>
                <w:color w:val="auto"/>
              </w:rPr>
            </w:pPr>
          </w:p>
        </w:tc>
        <w:tc>
          <w:tcPr>
            <w:tcW w:w="850" w:type="dxa"/>
            <w:vAlign w:val="bottom"/>
          </w:tcPr>
          <w:p>
            <w:pPr>
              <w:spacing w:after="0"/>
              <w:rPr>
                <w:sz w:val="23"/>
                <w:szCs w:val="23"/>
                <w:color w:val="auto"/>
              </w:rPr>
            </w:pPr>
          </w:p>
        </w:tc>
        <w:tc>
          <w:tcPr>
            <w:tcW w:w="420" w:type="dxa"/>
            <w:vAlign w:val="bottom"/>
          </w:tcPr>
          <w:p>
            <w:pPr>
              <w:ind w:left="80"/>
              <w:spacing w:after="0"/>
              <w:rPr>
                <w:sz w:val="20"/>
                <w:szCs w:val="20"/>
                <w:color w:val="auto"/>
              </w:rPr>
            </w:pPr>
            <w:r>
              <w:rPr>
                <w:rFonts w:ascii="Arial" w:cs="Arial" w:eastAsia="Arial" w:hAnsi="Arial"/>
                <w:sz w:val="14"/>
                <w:szCs w:val="14"/>
                <w:color w:val="54565B"/>
              </w:rPr>
              <w:t>—</w:t>
            </w:r>
          </w:p>
        </w:tc>
        <w:tc>
          <w:tcPr>
            <w:tcW w:w="1240" w:type="dxa"/>
            <w:vAlign w:val="bottom"/>
          </w:tcPr>
          <w:p>
            <w:pPr>
              <w:jc w:val="right"/>
              <w:ind w:right="228"/>
              <w:spacing w:after="0"/>
              <w:rPr>
                <w:sz w:val="20"/>
                <w:szCs w:val="20"/>
                <w:color w:val="auto"/>
              </w:rPr>
            </w:pPr>
            <w:r>
              <w:rPr>
                <w:rFonts w:ascii="Arial" w:cs="Arial" w:eastAsia="Arial" w:hAnsi="Arial"/>
                <w:sz w:val="14"/>
                <w:szCs w:val="14"/>
                <w:color w:val="54565B"/>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54565B"/>
              </w:rPr>
              <w:t>—</w:t>
            </w:r>
          </w:p>
        </w:tc>
        <w:tc>
          <w:tcPr>
            <w:tcW w:w="760" w:type="dxa"/>
            <w:vAlign w:val="bottom"/>
          </w:tcPr>
          <w:p>
            <w:pPr>
              <w:jc w:val="right"/>
              <w:spacing w:after="0"/>
              <w:rPr>
                <w:sz w:val="20"/>
                <w:szCs w:val="20"/>
                <w:color w:val="auto"/>
              </w:rPr>
            </w:pPr>
            <w:r>
              <w:rPr>
                <w:rFonts w:ascii="Arial" w:cs="Arial" w:eastAsia="Arial" w:hAnsi="Arial"/>
                <w:sz w:val="14"/>
                <w:szCs w:val="14"/>
                <w:color w:val="54565B"/>
              </w:rPr>
              <w:t>12,306</w:t>
            </w:r>
          </w:p>
        </w:tc>
        <w:tc>
          <w:tcPr>
            <w:tcW w:w="640" w:type="dxa"/>
            <w:vAlign w:val="bottom"/>
          </w:tcPr>
          <w:p>
            <w:pPr>
              <w:jc w:val="right"/>
              <w:spacing w:after="0"/>
              <w:rPr>
                <w:sz w:val="20"/>
                <w:szCs w:val="20"/>
                <w:color w:val="auto"/>
              </w:rPr>
            </w:pPr>
            <w:r>
              <w:rPr>
                <w:rFonts w:ascii="Arial" w:cs="Arial" w:eastAsia="Arial" w:hAnsi="Arial"/>
                <w:sz w:val="14"/>
                <w:szCs w:val="14"/>
                <w:color w:val="54565B"/>
              </w:rPr>
              <w:t>121.90</w:t>
            </w:r>
          </w:p>
        </w:tc>
        <w:tc>
          <w:tcPr>
            <w:tcW w:w="1020" w:type="dxa"/>
            <w:vAlign w:val="bottom"/>
          </w:tcPr>
          <w:p>
            <w:pPr>
              <w:jc w:val="right"/>
              <w:ind w:right="88"/>
              <w:spacing w:after="0"/>
              <w:rPr>
                <w:sz w:val="20"/>
                <w:szCs w:val="20"/>
                <w:color w:val="auto"/>
              </w:rPr>
            </w:pPr>
            <w:r>
              <w:rPr>
                <w:rFonts w:ascii="Arial" w:cs="Arial" w:eastAsia="Arial" w:hAnsi="Arial"/>
                <w:sz w:val="14"/>
                <w:szCs w:val="14"/>
                <w:color w:val="54565B"/>
              </w:rPr>
              <w:t>1,500,009​</w:t>
            </w:r>
          </w:p>
        </w:tc>
        <w:tc>
          <w:tcPr>
            <w:tcW w:w="0" w:type="dxa"/>
            <w:vAlign w:val="bottom"/>
          </w:tcPr>
          <w:p>
            <w:pPr>
              <w:spacing w:after="0"/>
              <w:rPr>
                <w:sz w:val="1"/>
                <w:szCs w:val="1"/>
                <w:color w:val="auto"/>
              </w:rPr>
            </w:pPr>
          </w:p>
        </w:tc>
      </w:tr>
      <w:tr>
        <w:trPr>
          <w:trHeight w:val="374"/>
        </w:trPr>
        <w:tc>
          <w:tcPr>
            <w:tcW w:w="160" w:type="dxa"/>
            <w:vAlign w:val="bottom"/>
          </w:tcPr>
          <w:p>
            <w:pPr>
              <w:spacing w:after="0"/>
              <w:rPr>
                <w:sz w:val="24"/>
                <w:szCs w:val="24"/>
                <w:color w:val="auto"/>
              </w:rPr>
            </w:pPr>
          </w:p>
        </w:tc>
        <w:tc>
          <w:tcPr>
            <w:tcW w:w="2080" w:type="dxa"/>
            <w:vAlign w:val="bottom"/>
          </w:tcPr>
          <w:p>
            <w:pPr>
              <w:ind w:left="80"/>
              <w:spacing w:after="0"/>
              <w:rPr>
                <w:sz w:val="20"/>
                <w:szCs w:val="20"/>
                <w:color w:val="auto"/>
              </w:rPr>
            </w:pPr>
            <w:r>
              <w:rPr>
                <w:rFonts w:ascii="Arial" w:cs="Arial" w:eastAsia="Arial" w:hAnsi="Arial"/>
                <w:sz w:val="14"/>
                <w:szCs w:val="14"/>
                <w:b w:val="1"/>
                <w:bCs w:val="1"/>
                <w:color w:val="54565B"/>
              </w:rPr>
              <w:t>Carl H. Lindner III</w:t>
            </w:r>
          </w:p>
        </w:tc>
        <w:tc>
          <w:tcPr>
            <w:tcW w:w="1240" w:type="dxa"/>
            <w:vAlign w:val="bottom"/>
            <w:gridSpan w:val="2"/>
          </w:tcPr>
          <w:p>
            <w:pPr>
              <w:ind w:left="440"/>
              <w:spacing w:after="0"/>
              <w:rPr>
                <w:sz w:val="20"/>
                <w:szCs w:val="20"/>
                <w:color w:val="auto"/>
              </w:rPr>
            </w:pPr>
            <w:r>
              <w:rPr>
                <w:rFonts w:ascii="Arial" w:cs="Arial" w:eastAsia="Arial" w:hAnsi="Arial"/>
                <w:sz w:val="14"/>
                <w:szCs w:val="14"/>
                <w:color w:val="54565B"/>
                <w:w w:val="96"/>
              </w:rPr>
              <w:t>2/19/2025</w:t>
            </w:r>
            <w:r>
              <w:rPr>
                <w:rFonts w:ascii="Arial" w:cs="Arial" w:eastAsia="Arial" w:hAnsi="Arial"/>
                <w:sz w:val="23"/>
                <w:szCs w:val="23"/>
                <w:color w:val="54565B"/>
                <w:w w:val="96"/>
                <w:vertAlign w:val="superscript"/>
              </w:rPr>
              <w:t>(2)</w:t>
            </w:r>
          </w:p>
        </w:tc>
        <w:tc>
          <w:tcPr>
            <w:tcW w:w="70" w:type="dxa"/>
            <w:vAlign w:val="bottom"/>
          </w:tcPr>
          <w:p>
            <w:pPr>
              <w:spacing w:after="0"/>
              <w:rPr>
                <w:sz w:val="24"/>
                <w:szCs w:val="24"/>
                <w:color w:val="auto"/>
              </w:rPr>
            </w:pPr>
          </w:p>
        </w:tc>
        <w:tc>
          <w:tcPr>
            <w:tcW w:w="85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Arial" w:cs="Arial" w:eastAsia="Arial" w:hAnsi="Arial"/>
                <w:sz w:val="14"/>
                <w:szCs w:val="14"/>
                <w:color w:val="54565B"/>
              </w:rPr>
              <w:t>—</w:t>
            </w:r>
          </w:p>
        </w:tc>
        <w:tc>
          <w:tcPr>
            <w:tcW w:w="1240" w:type="dxa"/>
            <w:vAlign w:val="bottom"/>
          </w:tcPr>
          <w:p>
            <w:pPr>
              <w:jc w:val="right"/>
              <w:ind w:right="208"/>
              <w:spacing w:after="0"/>
              <w:rPr>
                <w:sz w:val="20"/>
                <w:szCs w:val="20"/>
                <w:color w:val="auto"/>
              </w:rPr>
            </w:pPr>
            <w:r>
              <w:rPr>
                <w:rFonts w:ascii="Arial" w:cs="Arial" w:eastAsia="Arial" w:hAnsi="Arial"/>
                <w:sz w:val="14"/>
                <w:szCs w:val="14"/>
                <w:color w:val="54565B"/>
              </w:rPr>
              <w:t>2,300,000</w:t>
            </w:r>
          </w:p>
        </w:tc>
        <w:tc>
          <w:tcPr>
            <w:tcW w:w="860" w:type="dxa"/>
            <w:vAlign w:val="bottom"/>
          </w:tcPr>
          <w:p>
            <w:pPr>
              <w:jc w:val="right"/>
              <w:spacing w:after="0"/>
              <w:rPr>
                <w:sz w:val="20"/>
                <w:szCs w:val="20"/>
                <w:color w:val="auto"/>
              </w:rPr>
            </w:pPr>
            <w:r>
              <w:rPr>
                <w:rFonts w:ascii="Arial" w:cs="Arial" w:eastAsia="Arial" w:hAnsi="Arial"/>
                <w:sz w:val="14"/>
                <w:szCs w:val="14"/>
                <w:color w:val="54565B"/>
              </w:rPr>
              <w:t>3,450,000</w:t>
            </w:r>
          </w:p>
        </w:tc>
        <w:tc>
          <w:tcPr>
            <w:tcW w:w="60" w:type="dxa"/>
            <w:vAlign w:val="bottom"/>
          </w:tcPr>
          <w:p>
            <w:pPr>
              <w:spacing w:after="0"/>
              <w:rPr>
                <w:sz w:val="24"/>
                <w:szCs w:val="2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54565B"/>
              </w:rPr>
              <w:t>—</w:t>
            </w:r>
          </w:p>
        </w:tc>
        <w:tc>
          <w:tcPr>
            <w:tcW w:w="640" w:type="dxa"/>
            <w:vAlign w:val="bottom"/>
          </w:tcPr>
          <w:p>
            <w:pPr>
              <w:jc w:val="center"/>
              <w:spacing w:after="0"/>
              <w:rPr>
                <w:sz w:val="20"/>
                <w:szCs w:val="20"/>
                <w:color w:val="auto"/>
              </w:rPr>
            </w:pPr>
            <w:r>
              <w:rPr>
                <w:rFonts w:ascii="Arial" w:cs="Arial" w:eastAsia="Arial" w:hAnsi="Arial"/>
                <w:sz w:val="14"/>
                <w:szCs w:val="14"/>
                <w:color w:val="54565B"/>
                <w:w w:val="99"/>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54565B"/>
              </w:rPr>
              <w:t>—</w:t>
            </w:r>
          </w:p>
        </w:tc>
        <w:tc>
          <w:tcPr>
            <w:tcW w:w="0" w:type="dxa"/>
            <w:vAlign w:val="bottom"/>
          </w:tcPr>
          <w:p>
            <w:pPr>
              <w:spacing w:after="0"/>
              <w:rPr>
                <w:sz w:val="1"/>
                <w:szCs w:val="1"/>
                <w:color w:val="auto"/>
              </w:rPr>
            </w:pPr>
          </w:p>
        </w:tc>
      </w:tr>
      <w:tr>
        <w:trPr>
          <w:trHeight w:val="255"/>
        </w:trPr>
        <w:tc>
          <w:tcPr>
            <w:tcW w:w="1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240" w:type="dxa"/>
            <w:vAlign w:val="bottom"/>
            <w:gridSpan w:val="2"/>
          </w:tcPr>
          <w:p>
            <w:pPr>
              <w:ind w:left="440"/>
              <w:spacing w:after="0" w:line="255" w:lineRule="exact"/>
              <w:rPr>
                <w:sz w:val="20"/>
                <w:szCs w:val="20"/>
                <w:color w:val="auto"/>
              </w:rPr>
            </w:pPr>
            <w:r>
              <w:rPr>
                <w:rFonts w:ascii="Arial" w:cs="Arial" w:eastAsia="Arial" w:hAnsi="Arial"/>
                <w:sz w:val="14"/>
                <w:szCs w:val="14"/>
                <w:color w:val="54565B"/>
                <w:w w:val="96"/>
              </w:rPr>
              <w:t>2/19/2025</w:t>
            </w:r>
            <w:r>
              <w:rPr>
                <w:rFonts w:ascii="Arial" w:cs="Arial" w:eastAsia="Arial" w:hAnsi="Arial"/>
                <w:sz w:val="23"/>
                <w:szCs w:val="23"/>
                <w:color w:val="54565B"/>
                <w:w w:val="96"/>
                <w:vertAlign w:val="superscript"/>
              </w:rPr>
              <w:t>(3)</w:t>
            </w:r>
          </w:p>
        </w:tc>
        <w:tc>
          <w:tcPr>
            <w:tcW w:w="70" w:type="dxa"/>
            <w:vAlign w:val="bottom"/>
          </w:tcPr>
          <w:p>
            <w:pPr>
              <w:spacing w:after="0"/>
              <w:rPr>
                <w:sz w:val="22"/>
                <w:szCs w:val="22"/>
                <w:color w:val="auto"/>
              </w:rPr>
            </w:pPr>
          </w:p>
        </w:tc>
        <w:tc>
          <w:tcPr>
            <w:tcW w:w="850" w:type="dxa"/>
            <w:vAlign w:val="bottom"/>
          </w:tcPr>
          <w:p>
            <w:pPr>
              <w:spacing w:after="0"/>
              <w:rPr>
                <w:sz w:val="22"/>
                <w:szCs w:val="22"/>
                <w:color w:val="auto"/>
              </w:rPr>
            </w:pPr>
          </w:p>
        </w:tc>
        <w:tc>
          <w:tcPr>
            <w:tcW w:w="420" w:type="dxa"/>
            <w:vAlign w:val="bottom"/>
          </w:tcPr>
          <w:p>
            <w:pPr>
              <w:ind w:left="80"/>
              <w:spacing w:after="0"/>
              <w:rPr>
                <w:sz w:val="20"/>
                <w:szCs w:val="20"/>
                <w:color w:val="auto"/>
              </w:rPr>
            </w:pPr>
            <w:r>
              <w:rPr>
                <w:rFonts w:ascii="Arial" w:cs="Arial" w:eastAsia="Arial" w:hAnsi="Arial"/>
                <w:sz w:val="14"/>
                <w:szCs w:val="14"/>
                <w:color w:val="54565B"/>
              </w:rPr>
              <w:t>—</w:t>
            </w:r>
          </w:p>
        </w:tc>
        <w:tc>
          <w:tcPr>
            <w:tcW w:w="1240" w:type="dxa"/>
            <w:vAlign w:val="bottom"/>
          </w:tcPr>
          <w:p>
            <w:pPr>
              <w:jc w:val="right"/>
              <w:ind w:right="208"/>
              <w:spacing w:after="0"/>
              <w:rPr>
                <w:sz w:val="20"/>
                <w:szCs w:val="20"/>
                <w:color w:val="auto"/>
              </w:rPr>
            </w:pPr>
            <w:r>
              <w:rPr>
                <w:rFonts w:ascii="Arial" w:cs="Arial" w:eastAsia="Arial" w:hAnsi="Arial"/>
                <w:sz w:val="14"/>
                <w:szCs w:val="14"/>
                <w:color w:val="54565B"/>
              </w:rPr>
              <w:t>2,500,000</w:t>
            </w:r>
          </w:p>
        </w:tc>
        <w:tc>
          <w:tcPr>
            <w:tcW w:w="860" w:type="dxa"/>
            <w:vAlign w:val="bottom"/>
          </w:tcPr>
          <w:p>
            <w:pPr>
              <w:jc w:val="right"/>
              <w:spacing w:after="0"/>
              <w:rPr>
                <w:sz w:val="20"/>
                <w:szCs w:val="20"/>
                <w:color w:val="auto"/>
              </w:rPr>
            </w:pPr>
            <w:r>
              <w:rPr>
                <w:rFonts w:ascii="Arial" w:cs="Arial" w:eastAsia="Arial" w:hAnsi="Arial"/>
                <w:sz w:val="14"/>
                <w:szCs w:val="14"/>
                <w:color w:val="54565B"/>
              </w:rPr>
              <w:t>5,000,000</w:t>
            </w:r>
          </w:p>
        </w:tc>
        <w:tc>
          <w:tcPr>
            <w:tcW w:w="60" w:type="dxa"/>
            <w:vAlign w:val="bottom"/>
          </w:tcPr>
          <w:p>
            <w:pPr>
              <w:spacing w:after="0"/>
              <w:rPr>
                <w:sz w:val="22"/>
                <w:szCs w:val="22"/>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54565B"/>
              </w:rPr>
              <w:t>—</w:t>
            </w:r>
          </w:p>
        </w:tc>
        <w:tc>
          <w:tcPr>
            <w:tcW w:w="640" w:type="dxa"/>
            <w:vAlign w:val="bottom"/>
          </w:tcPr>
          <w:p>
            <w:pPr>
              <w:jc w:val="center"/>
              <w:spacing w:after="0"/>
              <w:rPr>
                <w:sz w:val="20"/>
                <w:szCs w:val="20"/>
                <w:color w:val="auto"/>
              </w:rPr>
            </w:pPr>
            <w:r>
              <w:rPr>
                <w:rFonts w:ascii="Arial" w:cs="Arial" w:eastAsia="Arial" w:hAnsi="Arial"/>
                <w:sz w:val="14"/>
                <w:szCs w:val="14"/>
                <w:color w:val="54565B"/>
                <w:w w:val="99"/>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54565B"/>
              </w:rPr>
              <w:t>—</w:t>
            </w:r>
          </w:p>
        </w:tc>
        <w:tc>
          <w:tcPr>
            <w:tcW w:w="0" w:type="dxa"/>
            <w:vAlign w:val="bottom"/>
          </w:tcPr>
          <w:p>
            <w:pPr>
              <w:spacing w:after="0"/>
              <w:rPr>
                <w:sz w:val="1"/>
                <w:szCs w:val="1"/>
                <w:color w:val="auto"/>
              </w:rPr>
            </w:pPr>
          </w:p>
        </w:tc>
      </w:tr>
      <w:tr>
        <w:trPr>
          <w:trHeight w:val="235"/>
        </w:trPr>
        <w:tc>
          <w:tcPr>
            <w:tcW w:w="160" w:type="dxa"/>
            <w:vAlign w:val="bottom"/>
            <w:shd w:val="clear" w:color="auto" w:fill="EAF7FA"/>
          </w:tcPr>
          <w:p>
            <w:pPr>
              <w:spacing w:after="0"/>
              <w:rPr>
                <w:sz w:val="20"/>
                <w:szCs w:val="20"/>
                <w:color w:val="auto"/>
              </w:rPr>
            </w:pPr>
          </w:p>
        </w:tc>
        <w:tc>
          <w:tcPr>
            <w:tcW w:w="2080" w:type="dxa"/>
            <w:vAlign w:val="bottom"/>
            <w:shd w:val="clear" w:color="auto" w:fill="EAF7FA"/>
          </w:tcPr>
          <w:p>
            <w:pPr>
              <w:spacing w:after="0"/>
              <w:rPr>
                <w:sz w:val="20"/>
                <w:szCs w:val="20"/>
                <w:color w:val="auto"/>
              </w:rPr>
            </w:pPr>
          </w:p>
        </w:tc>
        <w:tc>
          <w:tcPr>
            <w:tcW w:w="60" w:type="dxa"/>
            <w:vAlign w:val="bottom"/>
            <w:shd w:val="clear" w:color="auto" w:fill="EAF7FA"/>
          </w:tcPr>
          <w:p>
            <w:pPr>
              <w:spacing w:after="0"/>
              <w:rPr>
                <w:sz w:val="20"/>
                <w:szCs w:val="20"/>
                <w:color w:val="auto"/>
              </w:rPr>
            </w:pPr>
          </w:p>
        </w:tc>
        <w:tc>
          <w:tcPr>
            <w:tcW w:w="1180" w:type="dxa"/>
            <w:vAlign w:val="bottom"/>
            <w:shd w:val="clear" w:color="auto" w:fill="EAF7FA"/>
          </w:tcPr>
          <w:p>
            <w:pPr>
              <w:ind w:left="380"/>
              <w:spacing w:after="0"/>
              <w:rPr>
                <w:sz w:val="20"/>
                <w:szCs w:val="20"/>
                <w:color w:val="auto"/>
              </w:rPr>
            </w:pPr>
            <w:r>
              <w:rPr>
                <w:rFonts w:ascii="Arial" w:cs="Arial" w:eastAsia="Arial" w:hAnsi="Arial"/>
                <w:sz w:val="14"/>
                <w:szCs w:val="14"/>
                <w:color w:val="54565B"/>
              </w:rPr>
              <w:t>2/19/2025</w:t>
            </w:r>
          </w:p>
        </w:tc>
        <w:tc>
          <w:tcPr>
            <w:tcW w:w="70" w:type="dxa"/>
            <w:vAlign w:val="bottom"/>
            <w:shd w:val="clear" w:color="auto" w:fill="EAF7FA"/>
          </w:tcPr>
          <w:p>
            <w:pPr>
              <w:spacing w:after="0"/>
              <w:rPr>
                <w:sz w:val="20"/>
                <w:szCs w:val="20"/>
                <w:color w:val="auto"/>
              </w:rPr>
            </w:pPr>
          </w:p>
        </w:tc>
        <w:tc>
          <w:tcPr>
            <w:tcW w:w="850" w:type="dxa"/>
            <w:vAlign w:val="bottom"/>
            <w:shd w:val="clear" w:color="auto" w:fill="EAF7FA"/>
          </w:tcPr>
          <w:p>
            <w:pPr>
              <w:spacing w:after="0"/>
              <w:rPr>
                <w:sz w:val="20"/>
                <w:szCs w:val="20"/>
                <w:color w:val="auto"/>
              </w:rPr>
            </w:pPr>
          </w:p>
        </w:tc>
        <w:tc>
          <w:tcPr>
            <w:tcW w:w="420" w:type="dxa"/>
            <w:vAlign w:val="bottom"/>
            <w:shd w:val="clear" w:color="auto" w:fill="EAF7FA"/>
          </w:tcPr>
          <w:p>
            <w:pPr>
              <w:ind w:left="80"/>
              <w:spacing w:after="0"/>
              <w:rPr>
                <w:sz w:val="20"/>
                <w:szCs w:val="20"/>
                <w:color w:val="auto"/>
              </w:rPr>
            </w:pPr>
            <w:r>
              <w:rPr>
                <w:rFonts w:ascii="Arial" w:cs="Arial" w:eastAsia="Arial" w:hAnsi="Arial"/>
                <w:sz w:val="14"/>
                <w:szCs w:val="14"/>
                <w:color w:val="54565B"/>
              </w:rPr>
              <w:t>—</w:t>
            </w:r>
          </w:p>
        </w:tc>
        <w:tc>
          <w:tcPr>
            <w:tcW w:w="1240" w:type="dxa"/>
            <w:vAlign w:val="bottom"/>
            <w:shd w:val="clear" w:color="auto" w:fill="EAF7FA"/>
          </w:tcPr>
          <w:p>
            <w:pPr>
              <w:jc w:val="right"/>
              <w:ind w:right="228"/>
              <w:spacing w:after="0"/>
              <w:rPr>
                <w:sz w:val="20"/>
                <w:szCs w:val="20"/>
                <w:color w:val="auto"/>
              </w:rPr>
            </w:pPr>
            <w:r>
              <w:rPr>
                <w:rFonts w:ascii="Arial" w:cs="Arial" w:eastAsia="Arial" w:hAnsi="Arial"/>
                <w:sz w:val="14"/>
                <w:szCs w:val="14"/>
                <w:color w:val="54565B"/>
              </w:rPr>
              <w:t>—</w:t>
            </w:r>
          </w:p>
        </w:tc>
        <w:tc>
          <w:tcPr>
            <w:tcW w:w="920" w:type="dxa"/>
            <w:vAlign w:val="bottom"/>
            <w:gridSpan w:val="2"/>
            <w:shd w:val="clear" w:color="auto" w:fill="EAF7FA"/>
          </w:tcPr>
          <w:p>
            <w:pPr>
              <w:jc w:val="right"/>
              <w:ind w:right="80"/>
              <w:spacing w:after="0"/>
              <w:rPr>
                <w:sz w:val="20"/>
                <w:szCs w:val="20"/>
                <w:color w:val="auto"/>
              </w:rPr>
            </w:pPr>
            <w:r>
              <w:rPr>
                <w:rFonts w:ascii="Arial" w:cs="Arial" w:eastAsia="Arial" w:hAnsi="Arial"/>
                <w:sz w:val="14"/>
                <w:szCs w:val="14"/>
                <w:color w:val="54565B"/>
              </w:rPr>
              <w:t>—</w:t>
            </w:r>
          </w:p>
        </w:tc>
        <w:tc>
          <w:tcPr>
            <w:tcW w:w="760" w:type="dxa"/>
            <w:vAlign w:val="bottom"/>
            <w:shd w:val="clear" w:color="auto" w:fill="EAF7FA"/>
          </w:tcPr>
          <w:p>
            <w:pPr>
              <w:jc w:val="right"/>
              <w:spacing w:after="0"/>
              <w:rPr>
                <w:sz w:val="20"/>
                <w:szCs w:val="20"/>
                <w:color w:val="auto"/>
              </w:rPr>
            </w:pPr>
            <w:r>
              <w:rPr>
                <w:rFonts w:ascii="Arial" w:cs="Arial" w:eastAsia="Arial" w:hAnsi="Arial"/>
                <w:sz w:val="14"/>
                <w:szCs w:val="14"/>
                <w:color w:val="54565B"/>
              </w:rPr>
              <w:t>12,306</w:t>
            </w:r>
          </w:p>
        </w:tc>
        <w:tc>
          <w:tcPr>
            <w:tcW w:w="640" w:type="dxa"/>
            <w:vAlign w:val="bottom"/>
            <w:shd w:val="clear" w:color="auto" w:fill="EAF7FA"/>
          </w:tcPr>
          <w:p>
            <w:pPr>
              <w:jc w:val="right"/>
              <w:spacing w:after="0"/>
              <w:rPr>
                <w:sz w:val="20"/>
                <w:szCs w:val="20"/>
                <w:color w:val="auto"/>
              </w:rPr>
            </w:pPr>
            <w:r>
              <w:rPr>
                <w:rFonts w:ascii="Arial" w:cs="Arial" w:eastAsia="Arial" w:hAnsi="Arial"/>
                <w:sz w:val="14"/>
                <w:szCs w:val="14"/>
                <w:color w:val="54565B"/>
              </w:rPr>
              <w:t>121.90</w:t>
            </w:r>
          </w:p>
        </w:tc>
        <w:tc>
          <w:tcPr>
            <w:tcW w:w="1020" w:type="dxa"/>
            <w:vAlign w:val="bottom"/>
            <w:shd w:val="clear" w:color="auto" w:fill="EAF7FA"/>
          </w:tcPr>
          <w:p>
            <w:pPr>
              <w:jc w:val="right"/>
              <w:ind w:right="88"/>
              <w:spacing w:after="0"/>
              <w:rPr>
                <w:sz w:val="20"/>
                <w:szCs w:val="20"/>
                <w:color w:val="auto"/>
              </w:rPr>
            </w:pPr>
            <w:r>
              <w:rPr>
                <w:rFonts w:ascii="Arial" w:cs="Arial" w:eastAsia="Arial" w:hAnsi="Arial"/>
                <w:sz w:val="14"/>
                <w:szCs w:val="14"/>
                <w:color w:val="54565B"/>
              </w:rPr>
              <w:t>1,500,009​</w:t>
            </w:r>
          </w:p>
        </w:tc>
        <w:tc>
          <w:tcPr>
            <w:tcW w:w="0" w:type="dxa"/>
            <w:vAlign w:val="bottom"/>
          </w:tcPr>
          <w:p>
            <w:pPr>
              <w:spacing w:after="0"/>
              <w:rPr>
                <w:sz w:val="1"/>
                <w:szCs w:val="1"/>
                <w:color w:val="auto"/>
              </w:rPr>
            </w:pPr>
          </w:p>
        </w:tc>
      </w:tr>
      <w:tr>
        <w:trPr>
          <w:trHeight w:val="332"/>
        </w:trPr>
        <w:tc>
          <w:tcPr>
            <w:tcW w:w="160" w:type="dxa"/>
            <w:vAlign w:val="bottom"/>
            <w:shd w:val="clear" w:color="auto" w:fill="EAF7FA"/>
          </w:tcPr>
          <w:p>
            <w:pPr>
              <w:spacing w:after="0"/>
              <w:rPr>
                <w:sz w:val="24"/>
                <w:szCs w:val="24"/>
                <w:color w:val="auto"/>
              </w:rPr>
            </w:pPr>
          </w:p>
        </w:tc>
        <w:tc>
          <w:tcPr>
            <w:tcW w:w="2080" w:type="dxa"/>
            <w:vAlign w:val="bottom"/>
            <w:shd w:val="clear" w:color="auto" w:fill="EAF7FA"/>
          </w:tcPr>
          <w:p>
            <w:pPr>
              <w:ind w:left="80"/>
              <w:spacing w:after="0"/>
              <w:rPr>
                <w:sz w:val="20"/>
                <w:szCs w:val="20"/>
                <w:color w:val="auto"/>
              </w:rPr>
            </w:pPr>
            <w:r>
              <w:rPr>
                <w:rFonts w:ascii="Arial" w:cs="Arial" w:eastAsia="Arial" w:hAnsi="Arial"/>
                <w:sz w:val="14"/>
                <w:szCs w:val="14"/>
                <w:b w:val="1"/>
                <w:bCs w:val="1"/>
                <w:color w:val="54565B"/>
              </w:rPr>
              <w:t>S. Craig Lindner</w:t>
            </w:r>
          </w:p>
        </w:tc>
        <w:tc>
          <w:tcPr>
            <w:tcW w:w="60" w:type="dxa"/>
            <w:vAlign w:val="bottom"/>
            <w:shd w:val="clear" w:color="auto" w:fill="EAF7FA"/>
          </w:tcPr>
          <w:p>
            <w:pPr>
              <w:spacing w:after="0"/>
              <w:rPr>
                <w:sz w:val="24"/>
                <w:szCs w:val="24"/>
                <w:color w:val="auto"/>
              </w:rPr>
            </w:pPr>
          </w:p>
        </w:tc>
        <w:tc>
          <w:tcPr>
            <w:tcW w:w="1180" w:type="dxa"/>
            <w:vAlign w:val="bottom"/>
            <w:shd w:val="clear" w:color="auto" w:fill="EAF7FA"/>
          </w:tcPr>
          <w:p>
            <w:pPr>
              <w:ind w:left="380"/>
              <w:spacing w:after="0"/>
              <w:rPr>
                <w:sz w:val="20"/>
                <w:szCs w:val="20"/>
                <w:color w:val="auto"/>
              </w:rPr>
            </w:pPr>
            <w:r>
              <w:rPr>
                <w:rFonts w:ascii="Arial" w:cs="Arial" w:eastAsia="Arial" w:hAnsi="Arial"/>
                <w:sz w:val="14"/>
                <w:szCs w:val="14"/>
                <w:color w:val="54565B"/>
                <w:w w:val="96"/>
              </w:rPr>
              <w:t>2/19/2025</w:t>
            </w:r>
            <w:r>
              <w:rPr>
                <w:rFonts w:ascii="Arial" w:cs="Arial" w:eastAsia="Arial" w:hAnsi="Arial"/>
                <w:sz w:val="23"/>
                <w:szCs w:val="23"/>
                <w:color w:val="54565B"/>
                <w:w w:val="96"/>
                <w:vertAlign w:val="superscript"/>
              </w:rPr>
              <w:t>(2)</w:t>
            </w:r>
          </w:p>
        </w:tc>
        <w:tc>
          <w:tcPr>
            <w:tcW w:w="70" w:type="dxa"/>
            <w:vAlign w:val="bottom"/>
            <w:shd w:val="clear" w:color="auto" w:fill="EAF7FA"/>
          </w:tcPr>
          <w:p>
            <w:pPr>
              <w:spacing w:after="0"/>
              <w:rPr>
                <w:sz w:val="24"/>
                <w:szCs w:val="24"/>
                <w:color w:val="auto"/>
              </w:rPr>
            </w:pPr>
          </w:p>
        </w:tc>
        <w:tc>
          <w:tcPr>
            <w:tcW w:w="850" w:type="dxa"/>
            <w:vAlign w:val="bottom"/>
            <w:shd w:val="clear" w:color="auto" w:fill="EAF7FA"/>
          </w:tcPr>
          <w:p>
            <w:pPr>
              <w:spacing w:after="0"/>
              <w:rPr>
                <w:sz w:val="24"/>
                <w:szCs w:val="24"/>
                <w:color w:val="auto"/>
              </w:rPr>
            </w:pPr>
          </w:p>
        </w:tc>
        <w:tc>
          <w:tcPr>
            <w:tcW w:w="420" w:type="dxa"/>
            <w:vAlign w:val="bottom"/>
            <w:shd w:val="clear" w:color="auto" w:fill="EAF7FA"/>
          </w:tcPr>
          <w:p>
            <w:pPr>
              <w:ind w:left="80"/>
              <w:spacing w:after="0"/>
              <w:rPr>
                <w:sz w:val="20"/>
                <w:szCs w:val="20"/>
                <w:color w:val="auto"/>
              </w:rPr>
            </w:pPr>
            <w:r>
              <w:rPr>
                <w:rFonts w:ascii="Arial" w:cs="Arial" w:eastAsia="Arial" w:hAnsi="Arial"/>
                <w:sz w:val="14"/>
                <w:szCs w:val="14"/>
                <w:color w:val="54565B"/>
              </w:rPr>
              <w:t>—</w:t>
            </w:r>
          </w:p>
        </w:tc>
        <w:tc>
          <w:tcPr>
            <w:tcW w:w="1240" w:type="dxa"/>
            <w:vAlign w:val="bottom"/>
            <w:shd w:val="clear" w:color="auto" w:fill="EAF7FA"/>
          </w:tcPr>
          <w:p>
            <w:pPr>
              <w:jc w:val="right"/>
              <w:ind w:right="208"/>
              <w:spacing w:after="0"/>
              <w:rPr>
                <w:sz w:val="20"/>
                <w:szCs w:val="20"/>
                <w:color w:val="auto"/>
              </w:rPr>
            </w:pPr>
            <w:r>
              <w:rPr>
                <w:rFonts w:ascii="Arial" w:cs="Arial" w:eastAsia="Arial" w:hAnsi="Arial"/>
                <w:sz w:val="14"/>
                <w:szCs w:val="14"/>
                <w:color w:val="54565B"/>
              </w:rPr>
              <w:t>2,300,000</w:t>
            </w:r>
          </w:p>
        </w:tc>
        <w:tc>
          <w:tcPr>
            <w:tcW w:w="860" w:type="dxa"/>
            <w:vAlign w:val="bottom"/>
            <w:shd w:val="clear" w:color="auto" w:fill="EAF7FA"/>
          </w:tcPr>
          <w:p>
            <w:pPr>
              <w:jc w:val="right"/>
              <w:spacing w:after="0"/>
              <w:rPr>
                <w:sz w:val="20"/>
                <w:szCs w:val="20"/>
                <w:color w:val="auto"/>
              </w:rPr>
            </w:pPr>
            <w:r>
              <w:rPr>
                <w:rFonts w:ascii="Arial" w:cs="Arial" w:eastAsia="Arial" w:hAnsi="Arial"/>
                <w:sz w:val="14"/>
                <w:szCs w:val="14"/>
                <w:color w:val="54565B"/>
              </w:rPr>
              <w:t>3,450,000</w:t>
            </w:r>
          </w:p>
        </w:tc>
        <w:tc>
          <w:tcPr>
            <w:tcW w:w="60" w:type="dxa"/>
            <w:vAlign w:val="bottom"/>
            <w:shd w:val="clear" w:color="auto" w:fill="EAF7FA"/>
          </w:tcPr>
          <w:p>
            <w:pPr>
              <w:spacing w:after="0"/>
              <w:rPr>
                <w:sz w:val="24"/>
                <w:szCs w:val="24"/>
                <w:color w:val="auto"/>
              </w:rPr>
            </w:pPr>
          </w:p>
        </w:tc>
        <w:tc>
          <w:tcPr>
            <w:tcW w:w="760" w:type="dxa"/>
            <w:vAlign w:val="bottom"/>
            <w:shd w:val="clear" w:color="auto" w:fill="EAF7FA"/>
          </w:tcPr>
          <w:p>
            <w:pPr>
              <w:jc w:val="right"/>
              <w:ind w:right="9"/>
              <w:spacing w:after="0"/>
              <w:rPr>
                <w:sz w:val="20"/>
                <w:szCs w:val="20"/>
                <w:color w:val="auto"/>
              </w:rPr>
            </w:pPr>
            <w:r>
              <w:rPr>
                <w:rFonts w:ascii="Arial" w:cs="Arial" w:eastAsia="Arial" w:hAnsi="Arial"/>
                <w:sz w:val="14"/>
                <w:szCs w:val="14"/>
                <w:color w:val="54565B"/>
              </w:rPr>
              <w:t>—</w:t>
            </w:r>
          </w:p>
        </w:tc>
        <w:tc>
          <w:tcPr>
            <w:tcW w:w="640" w:type="dxa"/>
            <w:vAlign w:val="bottom"/>
            <w:shd w:val="clear" w:color="auto" w:fill="EAF7FA"/>
          </w:tcPr>
          <w:p>
            <w:pPr>
              <w:jc w:val="center"/>
              <w:spacing w:after="0"/>
              <w:rPr>
                <w:sz w:val="20"/>
                <w:szCs w:val="20"/>
                <w:color w:val="auto"/>
              </w:rPr>
            </w:pPr>
            <w:r>
              <w:rPr>
                <w:rFonts w:ascii="Arial" w:cs="Arial" w:eastAsia="Arial" w:hAnsi="Arial"/>
                <w:sz w:val="14"/>
                <w:szCs w:val="14"/>
                <w:color w:val="54565B"/>
                <w:w w:val="99"/>
              </w:rPr>
              <w:t>—</w:t>
            </w:r>
          </w:p>
        </w:tc>
        <w:tc>
          <w:tcPr>
            <w:tcW w:w="1020" w:type="dxa"/>
            <w:vAlign w:val="bottom"/>
            <w:shd w:val="clear" w:color="auto" w:fill="EAF7FA"/>
          </w:tcPr>
          <w:p>
            <w:pPr>
              <w:jc w:val="right"/>
              <w:ind w:right="108"/>
              <w:spacing w:after="0"/>
              <w:rPr>
                <w:sz w:val="20"/>
                <w:szCs w:val="20"/>
                <w:color w:val="auto"/>
              </w:rPr>
            </w:pPr>
            <w:r>
              <w:rPr>
                <w:rFonts w:ascii="Arial" w:cs="Arial" w:eastAsia="Arial" w:hAnsi="Arial"/>
                <w:sz w:val="14"/>
                <w:szCs w:val="14"/>
                <w:color w:val="54565B"/>
              </w:rPr>
              <w:t>—</w:t>
            </w:r>
          </w:p>
        </w:tc>
        <w:tc>
          <w:tcPr>
            <w:tcW w:w="0" w:type="dxa"/>
            <w:vAlign w:val="bottom"/>
          </w:tcPr>
          <w:p>
            <w:pPr>
              <w:spacing w:after="0"/>
              <w:rPr>
                <w:sz w:val="1"/>
                <w:szCs w:val="1"/>
                <w:color w:val="auto"/>
              </w:rPr>
            </w:pPr>
          </w:p>
        </w:tc>
      </w:tr>
      <w:tr>
        <w:trPr>
          <w:trHeight w:val="297"/>
        </w:trPr>
        <w:tc>
          <w:tcPr>
            <w:tcW w:w="160" w:type="dxa"/>
            <w:vAlign w:val="bottom"/>
            <w:shd w:val="clear" w:color="auto" w:fill="EAF7FA"/>
          </w:tcPr>
          <w:p>
            <w:pPr>
              <w:spacing w:after="0"/>
              <w:rPr>
                <w:sz w:val="24"/>
                <w:szCs w:val="24"/>
                <w:color w:val="auto"/>
              </w:rPr>
            </w:pPr>
          </w:p>
        </w:tc>
        <w:tc>
          <w:tcPr>
            <w:tcW w:w="2080" w:type="dxa"/>
            <w:vAlign w:val="bottom"/>
            <w:shd w:val="clear" w:color="auto" w:fill="EAF7FA"/>
          </w:tcPr>
          <w:p>
            <w:pPr>
              <w:spacing w:after="0"/>
              <w:rPr>
                <w:sz w:val="24"/>
                <w:szCs w:val="24"/>
                <w:color w:val="auto"/>
              </w:rPr>
            </w:pPr>
          </w:p>
        </w:tc>
        <w:tc>
          <w:tcPr>
            <w:tcW w:w="60" w:type="dxa"/>
            <w:vAlign w:val="bottom"/>
            <w:shd w:val="clear" w:color="auto" w:fill="EAF7FA"/>
          </w:tcPr>
          <w:p>
            <w:pPr>
              <w:spacing w:after="0"/>
              <w:rPr>
                <w:sz w:val="24"/>
                <w:szCs w:val="24"/>
                <w:color w:val="auto"/>
              </w:rPr>
            </w:pPr>
          </w:p>
        </w:tc>
        <w:tc>
          <w:tcPr>
            <w:tcW w:w="1180" w:type="dxa"/>
            <w:vAlign w:val="bottom"/>
            <w:shd w:val="clear" w:color="auto" w:fill="EAF7FA"/>
          </w:tcPr>
          <w:p>
            <w:pPr>
              <w:ind w:left="380"/>
              <w:spacing w:after="0"/>
              <w:rPr>
                <w:sz w:val="20"/>
                <w:szCs w:val="20"/>
                <w:color w:val="auto"/>
              </w:rPr>
            </w:pPr>
            <w:r>
              <w:rPr>
                <w:rFonts w:ascii="Arial" w:cs="Arial" w:eastAsia="Arial" w:hAnsi="Arial"/>
                <w:sz w:val="14"/>
                <w:szCs w:val="14"/>
                <w:color w:val="54565B"/>
                <w:w w:val="96"/>
              </w:rPr>
              <w:t>2/19/2025</w:t>
            </w:r>
            <w:r>
              <w:rPr>
                <w:rFonts w:ascii="Arial" w:cs="Arial" w:eastAsia="Arial" w:hAnsi="Arial"/>
                <w:sz w:val="23"/>
                <w:szCs w:val="23"/>
                <w:color w:val="54565B"/>
                <w:w w:val="96"/>
                <w:vertAlign w:val="superscript"/>
              </w:rPr>
              <w:t>(3)</w:t>
            </w:r>
          </w:p>
        </w:tc>
        <w:tc>
          <w:tcPr>
            <w:tcW w:w="70" w:type="dxa"/>
            <w:vAlign w:val="bottom"/>
            <w:shd w:val="clear" w:color="auto" w:fill="EAF7FA"/>
          </w:tcPr>
          <w:p>
            <w:pPr>
              <w:spacing w:after="0"/>
              <w:rPr>
                <w:sz w:val="24"/>
                <w:szCs w:val="24"/>
                <w:color w:val="auto"/>
              </w:rPr>
            </w:pPr>
          </w:p>
        </w:tc>
        <w:tc>
          <w:tcPr>
            <w:tcW w:w="850" w:type="dxa"/>
            <w:vAlign w:val="bottom"/>
            <w:shd w:val="clear" w:color="auto" w:fill="EAF7FA"/>
          </w:tcPr>
          <w:p>
            <w:pPr>
              <w:spacing w:after="0"/>
              <w:rPr>
                <w:sz w:val="24"/>
                <w:szCs w:val="24"/>
                <w:color w:val="auto"/>
              </w:rPr>
            </w:pPr>
          </w:p>
        </w:tc>
        <w:tc>
          <w:tcPr>
            <w:tcW w:w="420" w:type="dxa"/>
            <w:vAlign w:val="bottom"/>
            <w:shd w:val="clear" w:color="auto" w:fill="EAF7FA"/>
          </w:tcPr>
          <w:p>
            <w:pPr>
              <w:ind w:left="80"/>
              <w:spacing w:after="0"/>
              <w:rPr>
                <w:sz w:val="20"/>
                <w:szCs w:val="20"/>
                <w:color w:val="auto"/>
              </w:rPr>
            </w:pPr>
            <w:r>
              <w:rPr>
                <w:rFonts w:ascii="Arial" w:cs="Arial" w:eastAsia="Arial" w:hAnsi="Arial"/>
                <w:sz w:val="14"/>
                <w:szCs w:val="14"/>
                <w:color w:val="54565B"/>
              </w:rPr>
              <w:t>—</w:t>
            </w:r>
          </w:p>
        </w:tc>
        <w:tc>
          <w:tcPr>
            <w:tcW w:w="1240" w:type="dxa"/>
            <w:vAlign w:val="bottom"/>
            <w:shd w:val="clear" w:color="auto" w:fill="EAF7FA"/>
          </w:tcPr>
          <w:p>
            <w:pPr>
              <w:jc w:val="right"/>
              <w:ind w:right="208"/>
              <w:spacing w:after="0"/>
              <w:rPr>
                <w:sz w:val="20"/>
                <w:szCs w:val="20"/>
                <w:color w:val="auto"/>
              </w:rPr>
            </w:pPr>
            <w:r>
              <w:rPr>
                <w:rFonts w:ascii="Arial" w:cs="Arial" w:eastAsia="Arial" w:hAnsi="Arial"/>
                <w:sz w:val="14"/>
                <w:szCs w:val="14"/>
                <w:color w:val="54565B"/>
              </w:rPr>
              <w:t>2,500,000</w:t>
            </w:r>
          </w:p>
        </w:tc>
        <w:tc>
          <w:tcPr>
            <w:tcW w:w="860" w:type="dxa"/>
            <w:vAlign w:val="bottom"/>
            <w:shd w:val="clear" w:color="auto" w:fill="EAF7FA"/>
          </w:tcPr>
          <w:p>
            <w:pPr>
              <w:jc w:val="right"/>
              <w:spacing w:after="0"/>
              <w:rPr>
                <w:sz w:val="20"/>
                <w:szCs w:val="20"/>
                <w:color w:val="auto"/>
              </w:rPr>
            </w:pPr>
            <w:r>
              <w:rPr>
                <w:rFonts w:ascii="Arial" w:cs="Arial" w:eastAsia="Arial" w:hAnsi="Arial"/>
                <w:sz w:val="14"/>
                <w:szCs w:val="14"/>
                <w:color w:val="54565B"/>
              </w:rPr>
              <w:t>5,000,000</w:t>
            </w:r>
          </w:p>
        </w:tc>
        <w:tc>
          <w:tcPr>
            <w:tcW w:w="60" w:type="dxa"/>
            <w:vAlign w:val="bottom"/>
            <w:shd w:val="clear" w:color="auto" w:fill="EAF7FA"/>
          </w:tcPr>
          <w:p>
            <w:pPr>
              <w:spacing w:after="0"/>
              <w:rPr>
                <w:sz w:val="24"/>
                <w:szCs w:val="24"/>
                <w:color w:val="auto"/>
              </w:rPr>
            </w:pPr>
          </w:p>
        </w:tc>
        <w:tc>
          <w:tcPr>
            <w:tcW w:w="760" w:type="dxa"/>
            <w:vAlign w:val="bottom"/>
            <w:shd w:val="clear" w:color="auto" w:fill="EAF7FA"/>
          </w:tcPr>
          <w:p>
            <w:pPr>
              <w:jc w:val="right"/>
              <w:ind w:right="9"/>
              <w:spacing w:after="0"/>
              <w:rPr>
                <w:sz w:val="20"/>
                <w:szCs w:val="20"/>
                <w:color w:val="auto"/>
              </w:rPr>
            </w:pPr>
            <w:r>
              <w:rPr>
                <w:rFonts w:ascii="Arial" w:cs="Arial" w:eastAsia="Arial" w:hAnsi="Arial"/>
                <w:sz w:val="14"/>
                <w:szCs w:val="14"/>
                <w:color w:val="54565B"/>
              </w:rPr>
              <w:t>—</w:t>
            </w:r>
          </w:p>
        </w:tc>
        <w:tc>
          <w:tcPr>
            <w:tcW w:w="640" w:type="dxa"/>
            <w:vAlign w:val="bottom"/>
            <w:shd w:val="clear" w:color="auto" w:fill="EAF7FA"/>
          </w:tcPr>
          <w:p>
            <w:pPr>
              <w:jc w:val="center"/>
              <w:spacing w:after="0"/>
              <w:rPr>
                <w:sz w:val="20"/>
                <w:szCs w:val="20"/>
                <w:color w:val="auto"/>
              </w:rPr>
            </w:pPr>
            <w:r>
              <w:rPr>
                <w:rFonts w:ascii="Arial" w:cs="Arial" w:eastAsia="Arial" w:hAnsi="Arial"/>
                <w:sz w:val="14"/>
                <w:szCs w:val="14"/>
                <w:color w:val="54565B"/>
                <w:w w:val="99"/>
              </w:rPr>
              <w:t>—</w:t>
            </w:r>
          </w:p>
        </w:tc>
        <w:tc>
          <w:tcPr>
            <w:tcW w:w="1020" w:type="dxa"/>
            <w:vAlign w:val="bottom"/>
            <w:shd w:val="clear" w:color="auto" w:fill="EAF7FA"/>
          </w:tcPr>
          <w:p>
            <w:pPr>
              <w:jc w:val="right"/>
              <w:ind w:right="108"/>
              <w:spacing w:after="0"/>
              <w:rPr>
                <w:sz w:val="20"/>
                <w:szCs w:val="20"/>
                <w:color w:val="auto"/>
              </w:rPr>
            </w:pPr>
            <w:r>
              <w:rPr>
                <w:rFonts w:ascii="Arial" w:cs="Arial" w:eastAsia="Arial" w:hAnsi="Arial"/>
                <w:sz w:val="14"/>
                <w:szCs w:val="14"/>
                <w:color w:val="54565B"/>
              </w:rPr>
              <w:t>—</w:t>
            </w:r>
          </w:p>
        </w:tc>
        <w:tc>
          <w:tcPr>
            <w:tcW w:w="0" w:type="dxa"/>
            <w:vAlign w:val="bottom"/>
          </w:tcPr>
          <w:p>
            <w:pPr>
              <w:spacing w:after="0"/>
              <w:rPr>
                <w:sz w:val="1"/>
                <w:szCs w:val="1"/>
                <w:color w:val="auto"/>
              </w:rPr>
            </w:pPr>
          </w:p>
        </w:tc>
      </w:tr>
      <w:tr>
        <w:trPr>
          <w:trHeight w:val="235"/>
        </w:trPr>
        <w:tc>
          <w:tcPr>
            <w:tcW w:w="1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gridSpan w:val="2"/>
          </w:tcPr>
          <w:p>
            <w:pPr>
              <w:ind w:left="440"/>
              <w:spacing w:after="0"/>
              <w:rPr>
                <w:sz w:val="20"/>
                <w:szCs w:val="20"/>
                <w:color w:val="auto"/>
              </w:rPr>
            </w:pPr>
            <w:r>
              <w:rPr>
                <w:rFonts w:ascii="Arial" w:cs="Arial" w:eastAsia="Arial" w:hAnsi="Arial"/>
                <w:sz w:val="14"/>
                <w:szCs w:val="14"/>
                <w:color w:val="54565B"/>
              </w:rPr>
              <w:t>2/19/2025</w:t>
            </w:r>
          </w:p>
        </w:tc>
        <w:tc>
          <w:tcPr>
            <w:tcW w:w="70" w:type="dxa"/>
            <w:vAlign w:val="bottom"/>
          </w:tcPr>
          <w:p>
            <w:pPr>
              <w:spacing w:after="0"/>
              <w:rPr>
                <w:sz w:val="20"/>
                <w:szCs w:val="20"/>
                <w:color w:val="auto"/>
              </w:rPr>
            </w:pPr>
          </w:p>
        </w:tc>
        <w:tc>
          <w:tcPr>
            <w:tcW w:w="850" w:type="dxa"/>
            <w:vAlign w:val="bottom"/>
          </w:tcPr>
          <w:p>
            <w:pPr>
              <w:spacing w:after="0"/>
              <w:rPr>
                <w:sz w:val="20"/>
                <w:szCs w:val="20"/>
                <w:color w:val="auto"/>
              </w:rPr>
            </w:pPr>
          </w:p>
        </w:tc>
        <w:tc>
          <w:tcPr>
            <w:tcW w:w="420" w:type="dxa"/>
            <w:vAlign w:val="bottom"/>
          </w:tcPr>
          <w:p>
            <w:pPr>
              <w:ind w:left="80"/>
              <w:spacing w:after="0"/>
              <w:rPr>
                <w:sz w:val="20"/>
                <w:szCs w:val="20"/>
                <w:color w:val="auto"/>
              </w:rPr>
            </w:pPr>
            <w:r>
              <w:rPr>
                <w:rFonts w:ascii="Arial" w:cs="Arial" w:eastAsia="Arial" w:hAnsi="Arial"/>
                <w:sz w:val="14"/>
                <w:szCs w:val="14"/>
                <w:color w:val="54565B"/>
              </w:rPr>
              <w:t>—</w:t>
            </w:r>
          </w:p>
        </w:tc>
        <w:tc>
          <w:tcPr>
            <w:tcW w:w="1240" w:type="dxa"/>
            <w:vAlign w:val="bottom"/>
          </w:tcPr>
          <w:p>
            <w:pPr>
              <w:jc w:val="right"/>
              <w:ind w:right="228"/>
              <w:spacing w:after="0"/>
              <w:rPr>
                <w:sz w:val="20"/>
                <w:szCs w:val="20"/>
                <w:color w:val="auto"/>
              </w:rPr>
            </w:pPr>
            <w:r>
              <w:rPr>
                <w:rFonts w:ascii="Arial" w:cs="Arial" w:eastAsia="Arial" w:hAnsi="Arial"/>
                <w:sz w:val="14"/>
                <w:szCs w:val="14"/>
                <w:color w:val="54565B"/>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54565B"/>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54565B"/>
              </w:rPr>
              <w:t>9,640</w:t>
            </w:r>
          </w:p>
        </w:tc>
        <w:tc>
          <w:tcPr>
            <w:tcW w:w="640" w:type="dxa"/>
            <w:vAlign w:val="bottom"/>
          </w:tcPr>
          <w:p>
            <w:pPr>
              <w:jc w:val="right"/>
              <w:spacing w:after="0"/>
              <w:rPr>
                <w:sz w:val="20"/>
                <w:szCs w:val="20"/>
                <w:color w:val="auto"/>
              </w:rPr>
            </w:pPr>
            <w:r>
              <w:rPr>
                <w:rFonts w:ascii="Arial" w:cs="Arial" w:eastAsia="Arial" w:hAnsi="Arial"/>
                <w:sz w:val="14"/>
                <w:szCs w:val="14"/>
                <w:color w:val="54565B"/>
              </w:rPr>
              <w:t>121.90</w:t>
            </w:r>
          </w:p>
        </w:tc>
        <w:tc>
          <w:tcPr>
            <w:tcW w:w="1020" w:type="dxa"/>
            <w:vAlign w:val="bottom"/>
          </w:tcPr>
          <w:p>
            <w:pPr>
              <w:jc w:val="right"/>
              <w:ind w:right="88"/>
              <w:spacing w:after="0"/>
              <w:rPr>
                <w:sz w:val="20"/>
                <w:szCs w:val="20"/>
                <w:color w:val="auto"/>
              </w:rPr>
            </w:pPr>
            <w:r>
              <w:rPr>
                <w:rFonts w:ascii="Arial" w:cs="Arial" w:eastAsia="Arial" w:hAnsi="Arial"/>
                <w:sz w:val="14"/>
                <w:szCs w:val="14"/>
                <w:color w:val="54565B"/>
              </w:rPr>
              <w:t>1,175,044​</w:t>
            </w:r>
          </w:p>
        </w:tc>
        <w:tc>
          <w:tcPr>
            <w:tcW w:w="0" w:type="dxa"/>
            <w:vAlign w:val="bottom"/>
          </w:tcPr>
          <w:p>
            <w:pPr>
              <w:spacing w:after="0"/>
              <w:rPr>
                <w:sz w:val="1"/>
                <w:szCs w:val="1"/>
                <w:color w:val="auto"/>
              </w:rPr>
            </w:pPr>
          </w:p>
        </w:tc>
      </w:tr>
      <w:tr>
        <w:trPr>
          <w:trHeight w:val="374"/>
        </w:trPr>
        <w:tc>
          <w:tcPr>
            <w:tcW w:w="160" w:type="dxa"/>
            <w:vAlign w:val="bottom"/>
          </w:tcPr>
          <w:p>
            <w:pPr>
              <w:spacing w:after="0"/>
              <w:rPr>
                <w:sz w:val="24"/>
                <w:szCs w:val="24"/>
                <w:color w:val="auto"/>
              </w:rPr>
            </w:pPr>
          </w:p>
        </w:tc>
        <w:tc>
          <w:tcPr>
            <w:tcW w:w="2080" w:type="dxa"/>
            <w:vAlign w:val="bottom"/>
          </w:tcPr>
          <w:p>
            <w:pPr>
              <w:ind w:left="80"/>
              <w:spacing w:after="0"/>
              <w:rPr>
                <w:sz w:val="20"/>
                <w:szCs w:val="20"/>
                <w:color w:val="auto"/>
              </w:rPr>
            </w:pPr>
            <w:r>
              <w:rPr>
                <w:rFonts w:ascii="Arial" w:cs="Arial" w:eastAsia="Arial" w:hAnsi="Arial"/>
                <w:sz w:val="14"/>
                <w:szCs w:val="14"/>
                <w:b w:val="1"/>
                <w:bCs w:val="1"/>
                <w:color w:val="54565B"/>
              </w:rPr>
              <w:t>John B. Berding</w:t>
            </w:r>
          </w:p>
        </w:tc>
        <w:tc>
          <w:tcPr>
            <w:tcW w:w="1240" w:type="dxa"/>
            <w:vAlign w:val="bottom"/>
            <w:gridSpan w:val="2"/>
          </w:tcPr>
          <w:p>
            <w:pPr>
              <w:ind w:left="440"/>
              <w:spacing w:after="0"/>
              <w:rPr>
                <w:sz w:val="20"/>
                <w:szCs w:val="20"/>
                <w:color w:val="auto"/>
              </w:rPr>
            </w:pPr>
            <w:r>
              <w:rPr>
                <w:rFonts w:ascii="Arial" w:cs="Arial" w:eastAsia="Arial" w:hAnsi="Arial"/>
                <w:sz w:val="14"/>
                <w:szCs w:val="14"/>
                <w:color w:val="54565B"/>
                <w:w w:val="96"/>
              </w:rPr>
              <w:t>2/19/2025</w:t>
            </w:r>
            <w:r>
              <w:rPr>
                <w:rFonts w:ascii="Arial" w:cs="Arial" w:eastAsia="Arial" w:hAnsi="Arial"/>
                <w:sz w:val="23"/>
                <w:szCs w:val="23"/>
                <w:color w:val="54565B"/>
                <w:w w:val="96"/>
                <w:vertAlign w:val="superscript"/>
              </w:rPr>
              <w:t>(2)</w:t>
            </w:r>
          </w:p>
        </w:tc>
        <w:tc>
          <w:tcPr>
            <w:tcW w:w="70" w:type="dxa"/>
            <w:vAlign w:val="bottom"/>
          </w:tcPr>
          <w:p>
            <w:pPr>
              <w:spacing w:after="0"/>
              <w:rPr>
                <w:sz w:val="24"/>
                <w:szCs w:val="24"/>
                <w:color w:val="auto"/>
              </w:rPr>
            </w:pPr>
          </w:p>
        </w:tc>
        <w:tc>
          <w:tcPr>
            <w:tcW w:w="85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Arial" w:cs="Arial" w:eastAsia="Arial" w:hAnsi="Arial"/>
                <w:sz w:val="14"/>
                <w:szCs w:val="14"/>
                <w:color w:val="54565B"/>
              </w:rPr>
              <w:t>—</w:t>
            </w:r>
          </w:p>
        </w:tc>
        <w:tc>
          <w:tcPr>
            <w:tcW w:w="1240" w:type="dxa"/>
            <w:vAlign w:val="bottom"/>
          </w:tcPr>
          <w:p>
            <w:pPr>
              <w:jc w:val="right"/>
              <w:ind w:right="208"/>
              <w:spacing w:after="0"/>
              <w:rPr>
                <w:sz w:val="20"/>
                <w:szCs w:val="20"/>
                <w:color w:val="auto"/>
              </w:rPr>
            </w:pPr>
            <w:r>
              <w:rPr>
                <w:rFonts w:ascii="Arial" w:cs="Arial" w:eastAsia="Arial" w:hAnsi="Arial"/>
                <w:sz w:val="14"/>
                <w:szCs w:val="14"/>
                <w:color w:val="54565B"/>
              </w:rPr>
              <w:t>1,750,000</w:t>
            </w:r>
          </w:p>
        </w:tc>
        <w:tc>
          <w:tcPr>
            <w:tcW w:w="860" w:type="dxa"/>
            <w:vAlign w:val="bottom"/>
          </w:tcPr>
          <w:p>
            <w:pPr>
              <w:jc w:val="right"/>
              <w:spacing w:after="0"/>
              <w:rPr>
                <w:sz w:val="20"/>
                <w:szCs w:val="20"/>
                <w:color w:val="auto"/>
              </w:rPr>
            </w:pPr>
            <w:r>
              <w:rPr>
                <w:rFonts w:ascii="Arial" w:cs="Arial" w:eastAsia="Arial" w:hAnsi="Arial"/>
                <w:sz w:val="14"/>
                <w:szCs w:val="14"/>
                <w:color w:val="54565B"/>
              </w:rPr>
              <w:t>2,450,000</w:t>
            </w:r>
          </w:p>
        </w:tc>
        <w:tc>
          <w:tcPr>
            <w:tcW w:w="60" w:type="dxa"/>
            <w:vAlign w:val="bottom"/>
          </w:tcPr>
          <w:p>
            <w:pPr>
              <w:spacing w:after="0"/>
              <w:rPr>
                <w:sz w:val="24"/>
                <w:szCs w:val="2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54565B"/>
              </w:rPr>
              <w:t>—</w:t>
            </w:r>
          </w:p>
        </w:tc>
        <w:tc>
          <w:tcPr>
            <w:tcW w:w="640" w:type="dxa"/>
            <w:vAlign w:val="bottom"/>
          </w:tcPr>
          <w:p>
            <w:pPr>
              <w:jc w:val="center"/>
              <w:spacing w:after="0"/>
              <w:rPr>
                <w:sz w:val="20"/>
                <w:szCs w:val="20"/>
                <w:color w:val="auto"/>
              </w:rPr>
            </w:pPr>
            <w:r>
              <w:rPr>
                <w:rFonts w:ascii="Arial" w:cs="Arial" w:eastAsia="Arial" w:hAnsi="Arial"/>
                <w:sz w:val="14"/>
                <w:szCs w:val="14"/>
                <w:color w:val="54565B"/>
                <w:w w:val="99"/>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54565B"/>
              </w:rPr>
              <w:t>—</w:t>
            </w:r>
          </w:p>
        </w:tc>
        <w:tc>
          <w:tcPr>
            <w:tcW w:w="0" w:type="dxa"/>
            <w:vAlign w:val="bottom"/>
          </w:tcPr>
          <w:p>
            <w:pPr>
              <w:spacing w:after="0"/>
              <w:rPr>
                <w:sz w:val="1"/>
                <w:szCs w:val="1"/>
                <w:color w:val="auto"/>
              </w:rPr>
            </w:pPr>
          </w:p>
        </w:tc>
      </w:tr>
      <w:tr>
        <w:trPr>
          <w:trHeight w:val="255"/>
        </w:trPr>
        <w:tc>
          <w:tcPr>
            <w:tcW w:w="1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240" w:type="dxa"/>
            <w:vAlign w:val="bottom"/>
            <w:gridSpan w:val="2"/>
          </w:tcPr>
          <w:p>
            <w:pPr>
              <w:ind w:left="440"/>
              <w:spacing w:after="0" w:line="255" w:lineRule="exact"/>
              <w:rPr>
                <w:sz w:val="20"/>
                <w:szCs w:val="20"/>
                <w:color w:val="auto"/>
              </w:rPr>
            </w:pPr>
            <w:r>
              <w:rPr>
                <w:rFonts w:ascii="Arial" w:cs="Arial" w:eastAsia="Arial" w:hAnsi="Arial"/>
                <w:sz w:val="14"/>
                <w:szCs w:val="14"/>
                <w:color w:val="54565B"/>
                <w:w w:val="96"/>
              </w:rPr>
              <w:t>2/19/2025</w:t>
            </w:r>
            <w:r>
              <w:rPr>
                <w:rFonts w:ascii="Arial" w:cs="Arial" w:eastAsia="Arial" w:hAnsi="Arial"/>
                <w:sz w:val="23"/>
                <w:szCs w:val="23"/>
                <w:color w:val="54565B"/>
                <w:w w:val="96"/>
                <w:vertAlign w:val="superscript"/>
              </w:rPr>
              <w:t>(3)</w:t>
            </w:r>
          </w:p>
        </w:tc>
        <w:tc>
          <w:tcPr>
            <w:tcW w:w="70" w:type="dxa"/>
            <w:vAlign w:val="bottom"/>
          </w:tcPr>
          <w:p>
            <w:pPr>
              <w:spacing w:after="0"/>
              <w:rPr>
                <w:sz w:val="22"/>
                <w:szCs w:val="22"/>
                <w:color w:val="auto"/>
              </w:rPr>
            </w:pPr>
          </w:p>
        </w:tc>
        <w:tc>
          <w:tcPr>
            <w:tcW w:w="850" w:type="dxa"/>
            <w:vAlign w:val="bottom"/>
          </w:tcPr>
          <w:p>
            <w:pPr>
              <w:spacing w:after="0"/>
              <w:rPr>
                <w:sz w:val="22"/>
                <w:szCs w:val="22"/>
                <w:color w:val="auto"/>
              </w:rPr>
            </w:pPr>
          </w:p>
        </w:tc>
        <w:tc>
          <w:tcPr>
            <w:tcW w:w="420" w:type="dxa"/>
            <w:vAlign w:val="bottom"/>
          </w:tcPr>
          <w:p>
            <w:pPr>
              <w:ind w:left="80"/>
              <w:spacing w:after="0"/>
              <w:rPr>
                <w:sz w:val="20"/>
                <w:szCs w:val="20"/>
                <w:color w:val="auto"/>
              </w:rPr>
            </w:pPr>
            <w:r>
              <w:rPr>
                <w:rFonts w:ascii="Arial" w:cs="Arial" w:eastAsia="Arial" w:hAnsi="Arial"/>
                <w:sz w:val="14"/>
                <w:szCs w:val="14"/>
                <w:color w:val="54565B"/>
              </w:rPr>
              <w:t>—</w:t>
            </w:r>
          </w:p>
        </w:tc>
        <w:tc>
          <w:tcPr>
            <w:tcW w:w="1240" w:type="dxa"/>
            <w:vAlign w:val="bottom"/>
          </w:tcPr>
          <w:p>
            <w:pPr>
              <w:jc w:val="right"/>
              <w:ind w:right="208"/>
              <w:spacing w:after="0"/>
              <w:rPr>
                <w:sz w:val="20"/>
                <w:szCs w:val="20"/>
                <w:color w:val="auto"/>
              </w:rPr>
            </w:pPr>
            <w:r>
              <w:rPr>
                <w:rFonts w:ascii="Arial" w:cs="Arial" w:eastAsia="Arial" w:hAnsi="Arial"/>
                <w:sz w:val="14"/>
                <w:szCs w:val="14"/>
                <w:color w:val="54565B"/>
              </w:rPr>
              <w:t>2,000,000</w:t>
            </w:r>
          </w:p>
        </w:tc>
        <w:tc>
          <w:tcPr>
            <w:tcW w:w="860" w:type="dxa"/>
            <w:vAlign w:val="bottom"/>
          </w:tcPr>
          <w:p>
            <w:pPr>
              <w:jc w:val="right"/>
              <w:spacing w:after="0"/>
              <w:rPr>
                <w:sz w:val="20"/>
                <w:szCs w:val="20"/>
                <w:color w:val="auto"/>
              </w:rPr>
            </w:pPr>
            <w:r>
              <w:rPr>
                <w:rFonts w:ascii="Arial" w:cs="Arial" w:eastAsia="Arial" w:hAnsi="Arial"/>
                <w:sz w:val="14"/>
                <w:szCs w:val="14"/>
                <w:color w:val="54565B"/>
              </w:rPr>
              <w:t>4,000,000</w:t>
            </w:r>
          </w:p>
        </w:tc>
        <w:tc>
          <w:tcPr>
            <w:tcW w:w="60" w:type="dxa"/>
            <w:vAlign w:val="bottom"/>
          </w:tcPr>
          <w:p>
            <w:pPr>
              <w:spacing w:after="0"/>
              <w:rPr>
                <w:sz w:val="22"/>
                <w:szCs w:val="22"/>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54565B"/>
              </w:rPr>
              <w:t>—</w:t>
            </w:r>
          </w:p>
        </w:tc>
        <w:tc>
          <w:tcPr>
            <w:tcW w:w="640" w:type="dxa"/>
            <w:vAlign w:val="bottom"/>
          </w:tcPr>
          <w:p>
            <w:pPr>
              <w:jc w:val="center"/>
              <w:spacing w:after="0"/>
              <w:rPr>
                <w:sz w:val="20"/>
                <w:szCs w:val="20"/>
                <w:color w:val="auto"/>
              </w:rPr>
            </w:pPr>
            <w:r>
              <w:rPr>
                <w:rFonts w:ascii="Arial" w:cs="Arial" w:eastAsia="Arial" w:hAnsi="Arial"/>
                <w:sz w:val="14"/>
                <w:szCs w:val="14"/>
                <w:color w:val="54565B"/>
                <w:w w:val="99"/>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54565B"/>
              </w:rPr>
              <w:t>—</w:t>
            </w:r>
          </w:p>
        </w:tc>
        <w:tc>
          <w:tcPr>
            <w:tcW w:w="0" w:type="dxa"/>
            <w:vAlign w:val="bottom"/>
          </w:tcPr>
          <w:p>
            <w:pPr>
              <w:spacing w:after="0"/>
              <w:rPr>
                <w:sz w:val="1"/>
                <w:szCs w:val="1"/>
                <w:color w:val="auto"/>
              </w:rPr>
            </w:pPr>
          </w:p>
        </w:tc>
      </w:tr>
      <w:tr>
        <w:trPr>
          <w:trHeight w:val="235"/>
        </w:trPr>
        <w:tc>
          <w:tcPr>
            <w:tcW w:w="160" w:type="dxa"/>
            <w:vAlign w:val="bottom"/>
            <w:shd w:val="clear" w:color="auto" w:fill="EAF7FA"/>
          </w:tcPr>
          <w:p>
            <w:pPr>
              <w:spacing w:after="0"/>
              <w:rPr>
                <w:sz w:val="20"/>
                <w:szCs w:val="20"/>
                <w:color w:val="auto"/>
              </w:rPr>
            </w:pPr>
          </w:p>
        </w:tc>
        <w:tc>
          <w:tcPr>
            <w:tcW w:w="2080" w:type="dxa"/>
            <w:vAlign w:val="bottom"/>
            <w:vMerge w:val="restart"/>
            <w:shd w:val="clear" w:color="auto" w:fill="EAF7FA"/>
          </w:tcPr>
          <w:p>
            <w:pPr>
              <w:ind w:left="80"/>
              <w:spacing w:after="0"/>
              <w:rPr>
                <w:sz w:val="20"/>
                <w:szCs w:val="20"/>
                <w:color w:val="auto"/>
              </w:rPr>
            </w:pPr>
            <w:r>
              <w:rPr>
                <w:rFonts w:ascii="Arial" w:cs="Arial" w:eastAsia="Arial" w:hAnsi="Arial"/>
                <w:sz w:val="14"/>
                <w:szCs w:val="14"/>
                <w:b w:val="1"/>
                <w:bCs w:val="1"/>
                <w:color w:val="54565B"/>
              </w:rPr>
              <w:t>Brian S. Hertzman</w:t>
            </w:r>
          </w:p>
        </w:tc>
        <w:tc>
          <w:tcPr>
            <w:tcW w:w="60" w:type="dxa"/>
            <w:vAlign w:val="bottom"/>
            <w:shd w:val="clear" w:color="auto" w:fill="EAF7FA"/>
          </w:tcPr>
          <w:p>
            <w:pPr>
              <w:spacing w:after="0"/>
              <w:rPr>
                <w:sz w:val="20"/>
                <w:szCs w:val="20"/>
                <w:color w:val="auto"/>
              </w:rPr>
            </w:pPr>
          </w:p>
        </w:tc>
        <w:tc>
          <w:tcPr>
            <w:tcW w:w="1180" w:type="dxa"/>
            <w:vAlign w:val="bottom"/>
            <w:shd w:val="clear" w:color="auto" w:fill="EAF7FA"/>
          </w:tcPr>
          <w:p>
            <w:pPr>
              <w:ind w:left="380"/>
              <w:spacing w:after="0"/>
              <w:rPr>
                <w:sz w:val="20"/>
                <w:szCs w:val="20"/>
                <w:color w:val="auto"/>
              </w:rPr>
            </w:pPr>
            <w:r>
              <w:rPr>
                <w:rFonts w:ascii="Arial" w:cs="Arial" w:eastAsia="Arial" w:hAnsi="Arial"/>
                <w:sz w:val="14"/>
                <w:szCs w:val="14"/>
                <w:color w:val="54565B"/>
              </w:rPr>
              <w:t>2/19/2025</w:t>
            </w:r>
          </w:p>
        </w:tc>
        <w:tc>
          <w:tcPr>
            <w:tcW w:w="70" w:type="dxa"/>
            <w:vAlign w:val="bottom"/>
            <w:shd w:val="clear" w:color="auto" w:fill="EAF7FA"/>
          </w:tcPr>
          <w:p>
            <w:pPr>
              <w:spacing w:after="0"/>
              <w:rPr>
                <w:sz w:val="20"/>
                <w:szCs w:val="20"/>
                <w:color w:val="auto"/>
              </w:rPr>
            </w:pPr>
          </w:p>
        </w:tc>
        <w:tc>
          <w:tcPr>
            <w:tcW w:w="850" w:type="dxa"/>
            <w:vAlign w:val="bottom"/>
            <w:shd w:val="clear" w:color="auto" w:fill="EAF7FA"/>
          </w:tcPr>
          <w:p>
            <w:pPr>
              <w:spacing w:after="0"/>
              <w:rPr>
                <w:sz w:val="20"/>
                <w:szCs w:val="20"/>
                <w:color w:val="auto"/>
              </w:rPr>
            </w:pPr>
          </w:p>
        </w:tc>
        <w:tc>
          <w:tcPr>
            <w:tcW w:w="420" w:type="dxa"/>
            <w:vAlign w:val="bottom"/>
            <w:shd w:val="clear" w:color="auto" w:fill="EAF7FA"/>
          </w:tcPr>
          <w:p>
            <w:pPr>
              <w:ind w:left="80"/>
              <w:spacing w:after="0"/>
              <w:rPr>
                <w:sz w:val="20"/>
                <w:szCs w:val="20"/>
                <w:color w:val="auto"/>
              </w:rPr>
            </w:pPr>
            <w:r>
              <w:rPr>
                <w:rFonts w:ascii="Arial" w:cs="Arial" w:eastAsia="Arial" w:hAnsi="Arial"/>
                <w:sz w:val="14"/>
                <w:szCs w:val="14"/>
                <w:color w:val="54565B"/>
              </w:rPr>
              <w:t>—</w:t>
            </w:r>
          </w:p>
        </w:tc>
        <w:tc>
          <w:tcPr>
            <w:tcW w:w="1240" w:type="dxa"/>
            <w:vAlign w:val="bottom"/>
            <w:shd w:val="clear" w:color="auto" w:fill="EAF7FA"/>
          </w:tcPr>
          <w:p>
            <w:pPr>
              <w:jc w:val="right"/>
              <w:ind w:right="228"/>
              <w:spacing w:after="0"/>
              <w:rPr>
                <w:sz w:val="20"/>
                <w:szCs w:val="20"/>
                <w:color w:val="auto"/>
              </w:rPr>
            </w:pPr>
            <w:r>
              <w:rPr>
                <w:rFonts w:ascii="Arial" w:cs="Arial" w:eastAsia="Arial" w:hAnsi="Arial"/>
                <w:sz w:val="14"/>
                <w:szCs w:val="14"/>
                <w:color w:val="54565B"/>
              </w:rPr>
              <w:t>—</w:t>
            </w:r>
          </w:p>
        </w:tc>
        <w:tc>
          <w:tcPr>
            <w:tcW w:w="920" w:type="dxa"/>
            <w:vAlign w:val="bottom"/>
            <w:gridSpan w:val="2"/>
            <w:shd w:val="clear" w:color="auto" w:fill="EAF7FA"/>
          </w:tcPr>
          <w:p>
            <w:pPr>
              <w:jc w:val="right"/>
              <w:ind w:right="80"/>
              <w:spacing w:after="0"/>
              <w:rPr>
                <w:sz w:val="20"/>
                <w:szCs w:val="20"/>
                <w:color w:val="auto"/>
              </w:rPr>
            </w:pPr>
            <w:r>
              <w:rPr>
                <w:rFonts w:ascii="Arial" w:cs="Arial" w:eastAsia="Arial" w:hAnsi="Arial"/>
                <w:sz w:val="14"/>
                <w:szCs w:val="14"/>
                <w:color w:val="54565B"/>
              </w:rPr>
              <w:t>—</w:t>
            </w:r>
          </w:p>
        </w:tc>
        <w:tc>
          <w:tcPr>
            <w:tcW w:w="760" w:type="dxa"/>
            <w:vAlign w:val="bottom"/>
            <w:shd w:val="clear" w:color="auto" w:fill="EAF7FA"/>
          </w:tcPr>
          <w:p>
            <w:pPr>
              <w:jc w:val="right"/>
              <w:ind w:right="9"/>
              <w:spacing w:after="0"/>
              <w:rPr>
                <w:sz w:val="20"/>
                <w:szCs w:val="20"/>
                <w:color w:val="auto"/>
              </w:rPr>
            </w:pPr>
            <w:r>
              <w:rPr>
                <w:rFonts w:ascii="Arial" w:cs="Arial" w:eastAsia="Arial" w:hAnsi="Arial"/>
                <w:sz w:val="14"/>
                <w:szCs w:val="14"/>
                <w:color w:val="54565B"/>
              </w:rPr>
              <w:t>3,282</w:t>
            </w:r>
          </w:p>
        </w:tc>
        <w:tc>
          <w:tcPr>
            <w:tcW w:w="640" w:type="dxa"/>
            <w:vAlign w:val="bottom"/>
            <w:shd w:val="clear" w:color="auto" w:fill="EAF7FA"/>
          </w:tcPr>
          <w:p>
            <w:pPr>
              <w:jc w:val="right"/>
              <w:spacing w:after="0"/>
              <w:rPr>
                <w:sz w:val="20"/>
                <w:szCs w:val="20"/>
                <w:color w:val="auto"/>
              </w:rPr>
            </w:pPr>
            <w:r>
              <w:rPr>
                <w:rFonts w:ascii="Arial" w:cs="Arial" w:eastAsia="Arial" w:hAnsi="Arial"/>
                <w:sz w:val="14"/>
                <w:szCs w:val="14"/>
                <w:color w:val="54565B"/>
              </w:rPr>
              <w:t>121.90</w:t>
            </w:r>
          </w:p>
        </w:tc>
        <w:tc>
          <w:tcPr>
            <w:tcW w:w="1020" w:type="dxa"/>
            <w:vAlign w:val="bottom"/>
            <w:shd w:val="clear" w:color="auto" w:fill="EAF7FA"/>
          </w:tcPr>
          <w:p>
            <w:pPr>
              <w:jc w:val="right"/>
              <w:ind w:right="108"/>
              <w:spacing w:after="0"/>
              <w:rPr>
                <w:sz w:val="20"/>
                <w:szCs w:val="20"/>
                <w:color w:val="auto"/>
              </w:rPr>
            </w:pPr>
            <w:r>
              <w:rPr>
                <w:rFonts w:ascii="Arial" w:cs="Arial" w:eastAsia="Arial" w:hAnsi="Arial"/>
                <w:sz w:val="14"/>
                <w:szCs w:val="14"/>
                <w:color w:val="54565B"/>
              </w:rPr>
              <w:t>​ 400,051</w:t>
            </w:r>
          </w:p>
        </w:tc>
        <w:tc>
          <w:tcPr>
            <w:tcW w:w="0" w:type="dxa"/>
            <w:vAlign w:val="bottom"/>
          </w:tcPr>
          <w:p>
            <w:pPr>
              <w:spacing w:after="0"/>
              <w:rPr>
                <w:sz w:val="1"/>
                <w:szCs w:val="1"/>
                <w:color w:val="auto"/>
              </w:rPr>
            </w:pPr>
          </w:p>
        </w:tc>
      </w:tr>
      <w:tr>
        <w:trPr>
          <w:trHeight w:val="154"/>
        </w:trPr>
        <w:tc>
          <w:tcPr>
            <w:tcW w:w="160" w:type="dxa"/>
            <w:vAlign w:val="bottom"/>
            <w:shd w:val="clear" w:color="auto" w:fill="EAF7FA"/>
          </w:tcPr>
          <w:p>
            <w:pPr>
              <w:spacing w:after="0"/>
              <w:rPr>
                <w:sz w:val="13"/>
                <w:szCs w:val="13"/>
                <w:color w:val="auto"/>
              </w:rPr>
            </w:pPr>
          </w:p>
        </w:tc>
        <w:tc>
          <w:tcPr>
            <w:tcW w:w="2080" w:type="dxa"/>
            <w:vAlign w:val="bottom"/>
            <w:vMerge w:val="continue"/>
            <w:shd w:val="clear" w:color="auto" w:fill="EAF7FA"/>
          </w:tcPr>
          <w:p>
            <w:pPr>
              <w:spacing w:after="0"/>
              <w:rPr>
                <w:sz w:val="13"/>
                <w:szCs w:val="13"/>
                <w:color w:val="auto"/>
              </w:rPr>
            </w:pPr>
          </w:p>
        </w:tc>
        <w:tc>
          <w:tcPr>
            <w:tcW w:w="60" w:type="dxa"/>
            <w:vAlign w:val="bottom"/>
            <w:shd w:val="clear" w:color="auto" w:fill="EAF7FA"/>
          </w:tcPr>
          <w:p>
            <w:pPr>
              <w:spacing w:after="0"/>
              <w:rPr>
                <w:sz w:val="13"/>
                <w:szCs w:val="13"/>
                <w:color w:val="auto"/>
              </w:rPr>
            </w:pPr>
          </w:p>
        </w:tc>
        <w:tc>
          <w:tcPr>
            <w:tcW w:w="1180" w:type="dxa"/>
            <w:vAlign w:val="bottom"/>
            <w:vMerge w:val="restart"/>
            <w:shd w:val="clear" w:color="auto" w:fill="EAF7FA"/>
          </w:tcPr>
          <w:p>
            <w:pPr>
              <w:ind w:left="380"/>
              <w:spacing w:after="0"/>
              <w:rPr>
                <w:sz w:val="20"/>
                <w:szCs w:val="20"/>
                <w:color w:val="auto"/>
              </w:rPr>
            </w:pPr>
            <w:r>
              <w:rPr>
                <w:rFonts w:ascii="Arial" w:cs="Arial" w:eastAsia="Arial" w:hAnsi="Arial"/>
                <w:sz w:val="14"/>
                <w:szCs w:val="14"/>
                <w:color w:val="54565B"/>
                <w:w w:val="96"/>
              </w:rPr>
              <w:t>2/19/2025</w:t>
            </w:r>
            <w:r>
              <w:rPr>
                <w:rFonts w:ascii="Arial" w:cs="Arial" w:eastAsia="Arial" w:hAnsi="Arial"/>
                <w:sz w:val="23"/>
                <w:szCs w:val="23"/>
                <w:color w:val="54565B"/>
                <w:w w:val="96"/>
                <w:vertAlign w:val="superscript"/>
              </w:rPr>
              <w:t>(2)</w:t>
            </w:r>
          </w:p>
        </w:tc>
        <w:tc>
          <w:tcPr>
            <w:tcW w:w="70" w:type="dxa"/>
            <w:vAlign w:val="bottom"/>
            <w:shd w:val="clear" w:color="auto" w:fill="EAF7FA"/>
          </w:tcPr>
          <w:p>
            <w:pPr>
              <w:spacing w:after="0"/>
              <w:rPr>
                <w:sz w:val="13"/>
                <w:szCs w:val="13"/>
                <w:color w:val="auto"/>
              </w:rPr>
            </w:pPr>
          </w:p>
        </w:tc>
        <w:tc>
          <w:tcPr>
            <w:tcW w:w="850" w:type="dxa"/>
            <w:vAlign w:val="bottom"/>
            <w:shd w:val="clear" w:color="auto" w:fill="EAF7FA"/>
          </w:tcPr>
          <w:p>
            <w:pPr>
              <w:spacing w:after="0"/>
              <w:rPr>
                <w:sz w:val="13"/>
                <w:szCs w:val="13"/>
                <w:color w:val="auto"/>
              </w:rPr>
            </w:pPr>
          </w:p>
        </w:tc>
        <w:tc>
          <w:tcPr>
            <w:tcW w:w="420" w:type="dxa"/>
            <w:vAlign w:val="bottom"/>
            <w:vMerge w:val="restart"/>
            <w:shd w:val="clear" w:color="auto" w:fill="EAF7FA"/>
          </w:tcPr>
          <w:p>
            <w:pPr>
              <w:ind w:left="80"/>
              <w:spacing w:after="0"/>
              <w:rPr>
                <w:sz w:val="20"/>
                <w:szCs w:val="20"/>
                <w:color w:val="auto"/>
              </w:rPr>
            </w:pPr>
            <w:r>
              <w:rPr>
                <w:rFonts w:ascii="Arial" w:cs="Arial" w:eastAsia="Arial" w:hAnsi="Arial"/>
                <w:sz w:val="14"/>
                <w:szCs w:val="14"/>
                <w:color w:val="54565B"/>
              </w:rPr>
              <w:t>—</w:t>
            </w:r>
          </w:p>
        </w:tc>
        <w:tc>
          <w:tcPr>
            <w:tcW w:w="1240" w:type="dxa"/>
            <w:vAlign w:val="bottom"/>
            <w:vMerge w:val="restart"/>
            <w:shd w:val="clear" w:color="auto" w:fill="EAF7FA"/>
          </w:tcPr>
          <w:p>
            <w:pPr>
              <w:jc w:val="right"/>
              <w:ind w:right="228"/>
              <w:spacing w:after="0"/>
              <w:rPr>
                <w:sz w:val="20"/>
                <w:szCs w:val="20"/>
                <w:color w:val="auto"/>
              </w:rPr>
            </w:pPr>
            <w:r>
              <w:rPr>
                <w:rFonts w:ascii="Arial" w:cs="Arial" w:eastAsia="Arial" w:hAnsi="Arial"/>
                <w:sz w:val="14"/>
                <w:szCs w:val="14"/>
                <w:color w:val="54565B"/>
              </w:rPr>
              <w:t>420,000</w:t>
            </w:r>
          </w:p>
        </w:tc>
        <w:tc>
          <w:tcPr>
            <w:tcW w:w="860" w:type="dxa"/>
            <w:vAlign w:val="bottom"/>
            <w:vMerge w:val="restart"/>
            <w:shd w:val="clear" w:color="auto" w:fill="EAF7FA"/>
          </w:tcPr>
          <w:p>
            <w:pPr>
              <w:jc w:val="right"/>
              <w:spacing w:after="0"/>
              <w:rPr>
                <w:sz w:val="20"/>
                <w:szCs w:val="20"/>
                <w:color w:val="auto"/>
              </w:rPr>
            </w:pPr>
            <w:r>
              <w:rPr>
                <w:rFonts w:ascii="Arial" w:cs="Arial" w:eastAsia="Arial" w:hAnsi="Arial"/>
                <w:sz w:val="14"/>
                <w:szCs w:val="14"/>
                <w:color w:val="54565B"/>
              </w:rPr>
              <w:t>525,000</w:t>
            </w:r>
          </w:p>
        </w:tc>
        <w:tc>
          <w:tcPr>
            <w:tcW w:w="60" w:type="dxa"/>
            <w:vAlign w:val="bottom"/>
            <w:shd w:val="clear" w:color="auto" w:fill="EAF7FA"/>
          </w:tcPr>
          <w:p>
            <w:pPr>
              <w:spacing w:after="0"/>
              <w:rPr>
                <w:sz w:val="13"/>
                <w:szCs w:val="13"/>
                <w:color w:val="auto"/>
              </w:rPr>
            </w:pPr>
          </w:p>
        </w:tc>
        <w:tc>
          <w:tcPr>
            <w:tcW w:w="760" w:type="dxa"/>
            <w:vAlign w:val="bottom"/>
            <w:vMerge w:val="restart"/>
            <w:shd w:val="clear" w:color="auto" w:fill="EAF7FA"/>
          </w:tcPr>
          <w:p>
            <w:pPr>
              <w:jc w:val="right"/>
              <w:ind w:right="9"/>
              <w:spacing w:after="0"/>
              <w:rPr>
                <w:sz w:val="20"/>
                <w:szCs w:val="20"/>
                <w:color w:val="auto"/>
              </w:rPr>
            </w:pPr>
            <w:r>
              <w:rPr>
                <w:rFonts w:ascii="Arial" w:cs="Arial" w:eastAsia="Arial" w:hAnsi="Arial"/>
                <w:sz w:val="14"/>
                <w:szCs w:val="14"/>
                <w:color w:val="54565B"/>
              </w:rPr>
              <w:t>—</w:t>
            </w:r>
          </w:p>
        </w:tc>
        <w:tc>
          <w:tcPr>
            <w:tcW w:w="640" w:type="dxa"/>
            <w:vAlign w:val="bottom"/>
            <w:vMerge w:val="restart"/>
            <w:shd w:val="clear" w:color="auto" w:fill="EAF7FA"/>
          </w:tcPr>
          <w:p>
            <w:pPr>
              <w:jc w:val="center"/>
              <w:spacing w:after="0"/>
              <w:rPr>
                <w:sz w:val="20"/>
                <w:szCs w:val="20"/>
                <w:color w:val="auto"/>
              </w:rPr>
            </w:pPr>
            <w:r>
              <w:rPr>
                <w:rFonts w:ascii="Arial" w:cs="Arial" w:eastAsia="Arial" w:hAnsi="Arial"/>
                <w:sz w:val="14"/>
                <w:szCs w:val="14"/>
                <w:color w:val="54565B"/>
                <w:w w:val="99"/>
              </w:rPr>
              <w:t>—</w:t>
            </w:r>
          </w:p>
        </w:tc>
        <w:tc>
          <w:tcPr>
            <w:tcW w:w="1020" w:type="dxa"/>
            <w:vAlign w:val="bottom"/>
            <w:vMerge w:val="restart"/>
            <w:shd w:val="clear" w:color="auto" w:fill="EAF7FA"/>
          </w:tcPr>
          <w:p>
            <w:pPr>
              <w:jc w:val="right"/>
              <w:ind w:right="108"/>
              <w:spacing w:after="0"/>
              <w:rPr>
                <w:sz w:val="20"/>
                <w:szCs w:val="20"/>
                <w:color w:val="auto"/>
              </w:rPr>
            </w:pPr>
            <w:r>
              <w:rPr>
                <w:rFonts w:ascii="Arial" w:cs="Arial" w:eastAsia="Arial" w:hAnsi="Arial"/>
                <w:sz w:val="14"/>
                <w:szCs w:val="14"/>
                <w:color w:val="54565B"/>
              </w:rPr>
              <w:t>—</w:t>
            </w:r>
          </w:p>
        </w:tc>
        <w:tc>
          <w:tcPr>
            <w:tcW w:w="0" w:type="dxa"/>
            <w:vAlign w:val="bottom"/>
          </w:tcPr>
          <w:p>
            <w:pPr>
              <w:spacing w:after="0"/>
              <w:rPr>
                <w:sz w:val="1"/>
                <w:szCs w:val="1"/>
                <w:color w:val="auto"/>
              </w:rPr>
            </w:pPr>
          </w:p>
        </w:tc>
      </w:tr>
      <w:tr>
        <w:trPr>
          <w:trHeight w:val="178"/>
        </w:trPr>
        <w:tc>
          <w:tcPr>
            <w:tcW w:w="160" w:type="dxa"/>
            <w:vAlign w:val="bottom"/>
            <w:shd w:val="clear" w:color="auto" w:fill="EAF7FA"/>
          </w:tcPr>
          <w:p>
            <w:pPr>
              <w:spacing w:after="0"/>
              <w:rPr>
                <w:sz w:val="15"/>
                <w:szCs w:val="15"/>
                <w:color w:val="auto"/>
              </w:rPr>
            </w:pPr>
          </w:p>
        </w:tc>
        <w:tc>
          <w:tcPr>
            <w:tcW w:w="2080" w:type="dxa"/>
            <w:vAlign w:val="bottom"/>
            <w:shd w:val="clear" w:color="auto" w:fill="EAF7FA"/>
          </w:tcPr>
          <w:p>
            <w:pPr>
              <w:spacing w:after="0"/>
              <w:rPr>
                <w:sz w:val="15"/>
                <w:szCs w:val="15"/>
                <w:color w:val="auto"/>
              </w:rPr>
            </w:pPr>
          </w:p>
        </w:tc>
        <w:tc>
          <w:tcPr>
            <w:tcW w:w="60" w:type="dxa"/>
            <w:vAlign w:val="bottom"/>
            <w:shd w:val="clear" w:color="auto" w:fill="EAF7FA"/>
          </w:tcPr>
          <w:p>
            <w:pPr>
              <w:spacing w:after="0"/>
              <w:rPr>
                <w:sz w:val="15"/>
                <w:szCs w:val="15"/>
                <w:color w:val="auto"/>
              </w:rPr>
            </w:pPr>
          </w:p>
        </w:tc>
        <w:tc>
          <w:tcPr>
            <w:tcW w:w="1180" w:type="dxa"/>
            <w:vAlign w:val="bottom"/>
            <w:vMerge w:val="continue"/>
            <w:shd w:val="clear" w:color="auto" w:fill="EAF7FA"/>
          </w:tcPr>
          <w:p>
            <w:pPr>
              <w:spacing w:after="0"/>
              <w:rPr>
                <w:sz w:val="15"/>
                <w:szCs w:val="15"/>
                <w:color w:val="auto"/>
              </w:rPr>
            </w:pPr>
          </w:p>
        </w:tc>
        <w:tc>
          <w:tcPr>
            <w:tcW w:w="70" w:type="dxa"/>
            <w:vAlign w:val="bottom"/>
            <w:shd w:val="clear" w:color="auto" w:fill="EAF7FA"/>
          </w:tcPr>
          <w:p>
            <w:pPr>
              <w:spacing w:after="0"/>
              <w:rPr>
                <w:sz w:val="15"/>
                <w:szCs w:val="15"/>
                <w:color w:val="auto"/>
              </w:rPr>
            </w:pPr>
          </w:p>
        </w:tc>
        <w:tc>
          <w:tcPr>
            <w:tcW w:w="850" w:type="dxa"/>
            <w:vAlign w:val="bottom"/>
            <w:shd w:val="clear" w:color="auto" w:fill="EAF7FA"/>
          </w:tcPr>
          <w:p>
            <w:pPr>
              <w:spacing w:after="0"/>
              <w:rPr>
                <w:sz w:val="15"/>
                <w:szCs w:val="15"/>
                <w:color w:val="auto"/>
              </w:rPr>
            </w:pPr>
          </w:p>
        </w:tc>
        <w:tc>
          <w:tcPr>
            <w:tcW w:w="420" w:type="dxa"/>
            <w:vAlign w:val="bottom"/>
            <w:vMerge w:val="continue"/>
            <w:shd w:val="clear" w:color="auto" w:fill="EAF7FA"/>
          </w:tcPr>
          <w:p>
            <w:pPr>
              <w:spacing w:after="0"/>
              <w:rPr>
                <w:sz w:val="15"/>
                <w:szCs w:val="15"/>
                <w:color w:val="auto"/>
              </w:rPr>
            </w:pPr>
          </w:p>
        </w:tc>
        <w:tc>
          <w:tcPr>
            <w:tcW w:w="1240" w:type="dxa"/>
            <w:vAlign w:val="bottom"/>
            <w:vMerge w:val="continue"/>
            <w:shd w:val="clear" w:color="auto" w:fill="EAF7FA"/>
          </w:tcPr>
          <w:p>
            <w:pPr>
              <w:spacing w:after="0"/>
              <w:rPr>
                <w:sz w:val="15"/>
                <w:szCs w:val="15"/>
                <w:color w:val="auto"/>
              </w:rPr>
            </w:pPr>
          </w:p>
        </w:tc>
        <w:tc>
          <w:tcPr>
            <w:tcW w:w="860" w:type="dxa"/>
            <w:vAlign w:val="bottom"/>
            <w:vMerge w:val="continue"/>
            <w:shd w:val="clear" w:color="auto" w:fill="EAF7FA"/>
          </w:tcPr>
          <w:p>
            <w:pPr>
              <w:spacing w:after="0"/>
              <w:rPr>
                <w:sz w:val="15"/>
                <w:szCs w:val="15"/>
                <w:color w:val="auto"/>
              </w:rPr>
            </w:pPr>
          </w:p>
        </w:tc>
        <w:tc>
          <w:tcPr>
            <w:tcW w:w="60" w:type="dxa"/>
            <w:vAlign w:val="bottom"/>
            <w:shd w:val="clear" w:color="auto" w:fill="EAF7FA"/>
          </w:tcPr>
          <w:p>
            <w:pPr>
              <w:spacing w:after="0"/>
              <w:rPr>
                <w:sz w:val="15"/>
                <w:szCs w:val="15"/>
                <w:color w:val="auto"/>
              </w:rPr>
            </w:pPr>
          </w:p>
        </w:tc>
        <w:tc>
          <w:tcPr>
            <w:tcW w:w="760" w:type="dxa"/>
            <w:vAlign w:val="bottom"/>
            <w:vMerge w:val="continue"/>
            <w:shd w:val="clear" w:color="auto" w:fill="EAF7FA"/>
          </w:tcPr>
          <w:p>
            <w:pPr>
              <w:spacing w:after="0"/>
              <w:rPr>
                <w:sz w:val="15"/>
                <w:szCs w:val="15"/>
                <w:color w:val="auto"/>
              </w:rPr>
            </w:pPr>
          </w:p>
        </w:tc>
        <w:tc>
          <w:tcPr>
            <w:tcW w:w="640" w:type="dxa"/>
            <w:vAlign w:val="bottom"/>
            <w:vMerge w:val="continue"/>
            <w:shd w:val="clear" w:color="auto" w:fill="EAF7FA"/>
          </w:tcPr>
          <w:p>
            <w:pPr>
              <w:spacing w:after="0"/>
              <w:rPr>
                <w:sz w:val="15"/>
                <w:szCs w:val="15"/>
                <w:color w:val="auto"/>
              </w:rPr>
            </w:pPr>
          </w:p>
        </w:tc>
        <w:tc>
          <w:tcPr>
            <w:tcW w:w="1020" w:type="dxa"/>
            <w:vAlign w:val="bottom"/>
            <w:vMerge w:val="continue"/>
            <w:shd w:val="clear" w:color="auto" w:fill="EAF7FA"/>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60" w:type="dxa"/>
            <w:vAlign w:val="bottom"/>
          </w:tcPr>
          <w:p>
            <w:pPr>
              <w:spacing w:after="0"/>
              <w:rPr>
                <w:sz w:val="20"/>
                <w:szCs w:val="20"/>
                <w:color w:val="auto"/>
              </w:rPr>
            </w:pPr>
          </w:p>
        </w:tc>
        <w:tc>
          <w:tcPr>
            <w:tcW w:w="2080" w:type="dxa"/>
            <w:vAlign w:val="bottom"/>
          </w:tcPr>
          <w:p>
            <w:pPr>
              <w:ind w:left="80"/>
              <w:spacing w:after="0"/>
              <w:rPr>
                <w:sz w:val="20"/>
                <w:szCs w:val="20"/>
                <w:color w:val="auto"/>
              </w:rPr>
            </w:pPr>
            <w:r>
              <w:rPr>
                <w:rFonts w:ascii="Arial" w:cs="Arial" w:eastAsia="Arial" w:hAnsi="Arial"/>
                <w:sz w:val="14"/>
                <w:szCs w:val="14"/>
                <w:b w:val="1"/>
                <w:bCs w:val="1"/>
                <w:color w:val="54565B"/>
              </w:rPr>
              <w:t>David L. Thompson</w:t>
            </w:r>
          </w:p>
        </w:tc>
        <w:tc>
          <w:tcPr>
            <w:tcW w:w="1240" w:type="dxa"/>
            <w:vAlign w:val="bottom"/>
            <w:gridSpan w:val="2"/>
          </w:tcPr>
          <w:p>
            <w:pPr>
              <w:ind w:left="440"/>
              <w:spacing w:after="0"/>
              <w:rPr>
                <w:sz w:val="20"/>
                <w:szCs w:val="20"/>
                <w:color w:val="auto"/>
              </w:rPr>
            </w:pPr>
            <w:r>
              <w:rPr>
                <w:rFonts w:ascii="Arial" w:cs="Arial" w:eastAsia="Arial" w:hAnsi="Arial"/>
                <w:sz w:val="14"/>
                <w:szCs w:val="14"/>
                <w:color w:val="54565B"/>
              </w:rPr>
              <w:t>2/19/2025</w:t>
            </w:r>
          </w:p>
        </w:tc>
        <w:tc>
          <w:tcPr>
            <w:tcW w:w="70" w:type="dxa"/>
            <w:vAlign w:val="bottom"/>
          </w:tcPr>
          <w:p>
            <w:pPr>
              <w:spacing w:after="0"/>
              <w:rPr>
                <w:sz w:val="20"/>
                <w:szCs w:val="20"/>
                <w:color w:val="auto"/>
              </w:rPr>
            </w:pPr>
          </w:p>
        </w:tc>
        <w:tc>
          <w:tcPr>
            <w:tcW w:w="850" w:type="dxa"/>
            <w:vAlign w:val="bottom"/>
          </w:tcPr>
          <w:p>
            <w:pPr>
              <w:spacing w:after="0"/>
              <w:rPr>
                <w:sz w:val="20"/>
                <w:szCs w:val="20"/>
                <w:color w:val="auto"/>
              </w:rPr>
            </w:pPr>
          </w:p>
        </w:tc>
        <w:tc>
          <w:tcPr>
            <w:tcW w:w="420" w:type="dxa"/>
            <w:vAlign w:val="bottom"/>
          </w:tcPr>
          <w:p>
            <w:pPr>
              <w:ind w:left="80"/>
              <w:spacing w:after="0"/>
              <w:rPr>
                <w:sz w:val="20"/>
                <w:szCs w:val="20"/>
                <w:color w:val="auto"/>
              </w:rPr>
            </w:pPr>
            <w:r>
              <w:rPr>
                <w:rFonts w:ascii="Arial" w:cs="Arial" w:eastAsia="Arial" w:hAnsi="Arial"/>
                <w:sz w:val="14"/>
                <w:szCs w:val="14"/>
                <w:color w:val="54565B"/>
              </w:rPr>
              <w:t>—</w:t>
            </w:r>
          </w:p>
        </w:tc>
        <w:tc>
          <w:tcPr>
            <w:tcW w:w="1240" w:type="dxa"/>
            <w:vAlign w:val="bottom"/>
          </w:tcPr>
          <w:p>
            <w:pPr>
              <w:jc w:val="right"/>
              <w:ind w:right="228"/>
              <w:spacing w:after="0"/>
              <w:rPr>
                <w:sz w:val="20"/>
                <w:szCs w:val="20"/>
                <w:color w:val="auto"/>
              </w:rPr>
            </w:pPr>
            <w:r>
              <w:rPr>
                <w:rFonts w:ascii="Arial" w:cs="Arial" w:eastAsia="Arial" w:hAnsi="Arial"/>
                <w:sz w:val="14"/>
                <w:szCs w:val="14"/>
                <w:color w:val="54565B"/>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54565B"/>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54565B"/>
              </w:rPr>
              <w:t>4,923</w:t>
            </w:r>
          </w:p>
        </w:tc>
        <w:tc>
          <w:tcPr>
            <w:tcW w:w="640" w:type="dxa"/>
            <w:vAlign w:val="bottom"/>
          </w:tcPr>
          <w:p>
            <w:pPr>
              <w:jc w:val="right"/>
              <w:spacing w:after="0"/>
              <w:rPr>
                <w:sz w:val="20"/>
                <w:szCs w:val="20"/>
                <w:color w:val="auto"/>
              </w:rPr>
            </w:pPr>
            <w:r>
              <w:rPr>
                <w:rFonts w:ascii="Arial" w:cs="Arial" w:eastAsia="Arial" w:hAnsi="Arial"/>
                <w:sz w:val="14"/>
                <w:szCs w:val="14"/>
                <w:color w:val="54565B"/>
              </w:rPr>
              <w:t>121.90</w:t>
            </w:r>
          </w:p>
        </w:tc>
        <w:tc>
          <w:tcPr>
            <w:tcW w:w="1020" w:type="dxa"/>
            <w:vAlign w:val="bottom"/>
          </w:tcPr>
          <w:p>
            <w:pPr>
              <w:jc w:val="right"/>
              <w:ind w:right="108"/>
              <w:spacing w:after="0"/>
              <w:rPr>
                <w:sz w:val="20"/>
                <w:szCs w:val="20"/>
                <w:color w:val="auto"/>
              </w:rPr>
            </w:pPr>
            <w:r>
              <w:rPr>
                <w:rFonts w:ascii="Arial" w:cs="Arial" w:eastAsia="Arial" w:hAnsi="Arial"/>
                <w:sz w:val="14"/>
                <w:szCs w:val="14"/>
                <w:color w:val="54565B"/>
              </w:rPr>
              <w:t>​ 600,077</w:t>
            </w: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70" w:type="dxa"/>
            <w:vAlign w:val="bottom"/>
          </w:tcPr>
          <w:p>
            <w:pPr>
              <w:spacing w:after="0"/>
              <w:rPr>
                <w:sz w:val="2"/>
                <w:szCs w:val="2"/>
                <w:color w:val="auto"/>
              </w:rPr>
            </w:pPr>
          </w:p>
        </w:tc>
        <w:tc>
          <w:tcPr>
            <w:tcW w:w="85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160" w:type="dxa"/>
            <w:vAlign w:val="bottom"/>
            <w:shd w:val="clear" w:color="auto" w:fill="EAF7FA"/>
          </w:tcPr>
          <w:p>
            <w:pPr>
              <w:spacing w:after="0"/>
              <w:rPr>
                <w:sz w:val="20"/>
                <w:szCs w:val="20"/>
                <w:color w:val="auto"/>
              </w:rPr>
            </w:pPr>
          </w:p>
        </w:tc>
        <w:tc>
          <w:tcPr>
            <w:tcW w:w="2080" w:type="dxa"/>
            <w:vAlign w:val="bottom"/>
            <w:vMerge w:val="restart"/>
            <w:shd w:val="clear" w:color="auto" w:fill="EAF7FA"/>
          </w:tcPr>
          <w:p>
            <w:pPr>
              <w:ind w:left="80"/>
              <w:spacing w:after="0"/>
              <w:rPr>
                <w:sz w:val="20"/>
                <w:szCs w:val="20"/>
                <w:color w:val="auto"/>
              </w:rPr>
            </w:pPr>
            <w:r>
              <w:rPr>
                <w:rFonts w:ascii="Arial" w:cs="Arial" w:eastAsia="Arial" w:hAnsi="Arial"/>
                <w:sz w:val="14"/>
                <w:szCs w:val="14"/>
                <w:b w:val="1"/>
                <w:bCs w:val="1"/>
                <w:color w:val="54565B"/>
              </w:rPr>
              <w:t>Mark A. Weiss</w:t>
            </w:r>
          </w:p>
        </w:tc>
        <w:tc>
          <w:tcPr>
            <w:tcW w:w="60" w:type="dxa"/>
            <w:vAlign w:val="bottom"/>
            <w:shd w:val="clear" w:color="auto" w:fill="EAF7FA"/>
          </w:tcPr>
          <w:p>
            <w:pPr>
              <w:spacing w:after="0"/>
              <w:rPr>
                <w:sz w:val="20"/>
                <w:szCs w:val="20"/>
                <w:color w:val="auto"/>
              </w:rPr>
            </w:pPr>
          </w:p>
        </w:tc>
        <w:tc>
          <w:tcPr>
            <w:tcW w:w="1180" w:type="dxa"/>
            <w:vAlign w:val="bottom"/>
            <w:shd w:val="clear" w:color="auto" w:fill="EAF7FA"/>
          </w:tcPr>
          <w:p>
            <w:pPr>
              <w:ind w:left="380"/>
              <w:spacing w:after="0"/>
              <w:rPr>
                <w:sz w:val="20"/>
                <w:szCs w:val="20"/>
                <w:color w:val="auto"/>
              </w:rPr>
            </w:pPr>
            <w:r>
              <w:rPr>
                <w:rFonts w:ascii="Arial" w:cs="Arial" w:eastAsia="Arial" w:hAnsi="Arial"/>
                <w:sz w:val="14"/>
                <w:szCs w:val="14"/>
                <w:color w:val="54565B"/>
              </w:rPr>
              <w:t>2/19/2025</w:t>
            </w:r>
          </w:p>
        </w:tc>
        <w:tc>
          <w:tcPr>
            <w:tcW w:w="70" w:type="dxa"/>
            <w:vAlign w:val="bottom"/>
            <w:shd w:val="clear" w:color="auto" w:fill="EAF7FA"/>
          </w:tcPr>
          <w:p>
            <w:pPr>
              <w:spacing w:after="0"/>
              <w:rPr>
                <w:sz w:val="20"/>
                <w:szCs w:val="20"/>
                <w:color w:val="auto"/>
              </w:rPr>
            </w:pPr>
          </w:p>
        </w:tc>
        <w:tc>
          <w:tcPr>
            <w:tcW w:w="850" w:type="dxa"/>
            <w:vAlign w:val="bottom"/>
            <w:shd w:val="clear" w:color="auto" w:fill="EAF7FA"/>
          </w:tcPr>
          <w:p>
            <w:pPr>
              <w:spacing w:after="0"/>
              <w:rPr>
                <w:sz w:val="20"/>
                <w:szCs w:val="20"/>
                <w:color w:val="auto"/>
              </w:rPr>
            </w:pPr>
          </w:p>
        </w:tc>
        <w:tc>
          <w:tcPr>
            <w:tcW w:w="420" w:type="dxa"/>
            <w:vAlign w:val="bottom"/>
            <w:shd w:val="clear" w:color="auto" w:fill="EAF7FA"/>
          </w:tcPr>
          <w:p>
            <w:pPr>
              <w:ind w:left="80"/>
              <w:spacing w:after="0"/>
              <w:rPr>
                <w:sz w:val="20"/>
                <w:szCs w:val="20"/>
                <w:color w:val="auto"/>
              </w:rPr>
            </w:pPr>
            <w:r>
              <w:rPr>
                <w:rFonts w:ascii="Arial" w:cs="Arial" w:eastAsia="Arial" w:hAnsi="Arial"/>
                <w:sz w:val="14"/>
                <w:szCs w:val="14"/>
                <w:color w:val="54565B"/>
              </w:rPr>
              <w:t>—</w:t>
            </w:r>
          </w:p>
        </w:tc>
        <w:tc>
          <w:tcPr>
            <w:tcW w:w="1240" w:type="dxa"/>
            <w:vAlign w:val="bottom"/>
            <w:shd w:val="clear" w:color="auto" w:fill="EAF7FA"/>
          </w:tcPr>
          <w:p>
            <w:pPr>
              <w:jc w:val="right"/>
              <w:ind w:right="228"/>
              <w:spacing w:after="0"/>
              <w:rPr>
                <w:sz w:val="20"/>
                <w:szCs w:val="20"/>
                <w:color w:val="auto"/>
              </w:rPr>
            </w:pPr>
            <w:r>
              <w:rPr>
                <w:rFonts w:ascii="Arial" w:cs="Arial" w:eastAsia="Arial" w:hAnsi="Arial"/>
                <w:sz w:val="14"/>
                <w:szCs w:val="14"/>
                <w:color w:val="54565B"/>
              </w:rPr>
              <w:t>—</w:t>
            </w:r>
          </w:p>
        </w:tc>
        <w:tc>
          <w:tcPr>
            <w:tcW w:w="920" w:type="dxa"/>
            <w:vAlign w:val="bottom"/>
            <w:gridSpan w:val="2"/>
            <w:shd w:val="clear" w:color="auto" w:fill="EAF7FA"/>
          </w:tcPr>
          <w:p>
            <w:pPr>
              <w:jc w:val="right"/>
              <w:ind w:right="80"/>
              <w:spacing w:after="0"/>
              <w:rPr>
                <w:sz w:val="20"/>
                <w:szCs w:val="20"/>
                <w:color w:val="auto"/>
              </w:rPr>
            </w:pPr>
            <w:r>
              <w:rPr>
                <w:rFonts w:ascii="Arial" w:cs="Arial" w:eastAsia="Arial" w:hAnsi="Arial"/>
                <w:sz w:val="14"/>
                <w:szCs w:val="14"/>
                <w:color w:val="54565B"/>
              </w:rPr>
              <w:t>—</w:t>
            </w:r>
          </w:p>
        </w:tc>
        <w:tc>
          <w:tcPr>
            <w:tcW w:w="760" w:type="dxa"/>
            <w:vAlign w:val="bottom"/>
            <w:shd w:val="clear" w:color="auto" w:fill="EAF7FA"/>
          </w:tcPr>
          <w:p>
            <w:pPr>
              <w:jc w:val="right"/>
              <w:ind w:right="9"/>
              <w:spacing w:after="0"/>
              <w:rPr>
                <w:sz w:val="20"/>
                <w:szCs w:val="20"/>
                <w:color w:val="auto"/>
              </w:rPr>
            </w:pPr>
            <w:r>
              <w:rPr>
                <w:rFonts w:ascii="Arial" w:cs="Arial" w:eastAsia="Arial" w:hAnsi="Arial"/>
                <w:sz w:val="14"/>
                <w:szCs w:val="14"/>
                <w:color w:val="54565B"/>
              </w:rPr>
              <w:t>3,282</w:t>
            </w:r>
          </w:p>
        </w:tc>
        <w:tc>
          <w:tcPr>
            <w:tcW w:w="640" w:type="dxa"/>
            <w:vAlign w:val="bottom"/>
            <w:shd w:val="clear" w:color="auto" w:fill="EAF7FA"/>
          </w:tcPr>
          <w:p>
            <w:pPr>
              <w:jc w:val="right"/>
              <w:spacing w:after="0"/>
              <w:rPr>
                <w:sz w:val="20"/>
                <w:szCs w:val="20"/>
                <w:color w:val="auto"/>
              </w:rPr>
            </w:pPr>
            <w:r>
              <w:rPr>
                <w:rFonts w:ascii="Arial" w:cs="Arial" w:eastAsia="Arial" w:hAnsi="Arial"/>
                <w:sz w:val="14"/>
                <w:szCs w:val="14"/>
                <w:color w:val="54565B"/>
              </w:rPr>
              <w:t>121.90</w:t>
            </w:r>
          </w:p>
        </w:tc>
        <w:tc>
          <w:tcPr>
            <w:tcW w:w="1020" w:type="dxa"/>
            <w:vAlign w:val="bottom"/>
            <w:shd w:val="clear" w:color="auto" w:fill="EAF7FA"/>
          </w:tcPr>
          <w:p>
            <w:pPr>
              <w:jc w:val="right"/>
              <w:ind w:right="108"/>
              <w:spacing w:after="0"/>
              <w:rPr>
                <w:sz w:val="20"/>
                <w:szCs w:val="20"/>
                <w:color w:val="auto"/>
              </w:rPr>
            </w:pPr>
            <w:r>
              <w:rPr>
                <w:rFonts w:ascii="Arial" w:cs="Arial" w:eastAsia="Arial" w:hAnsi="Arial"/>
                <w:sz w:val="14"/>
                <w:szCs w:val="14"/>
                <w:color w:val="54565B"/>
              </w:rPr>
              <w:t>​ 400,051</w:t>
            </w:r>
          </w:p>
        </w:tc>
        <w:tc>
          <w:tcPr>
            <w:tcW w:w="0" w:type="dxa"/>
            <w:vAlign w:val="bottom"/>
          </w:tcPr>
          <w:p>
            <w:pPr>
              <w:spacing w:after="0"/>
              <w:rPr>
                <w:sz w:val="1"/>
                <w:szCs w:val="1"/>
                <w:color w:val="auto"/>
              </w:rPr>
            </w:pPr>
          </w:p>
        </w:tc>
      </w:tr>
      <w:tr>
        <w:trPr>
          <w:trHeight w:val="155"/>
        </w:trPr>
        <w:tc>
          <w:tcPr>
            <w:tcW w:w="160" w:type="dxa"/>
            <w:vAlign w:val="bottom"/>
            <w:shd w:val="clear" w:color="auto" w:fill="EAF7FA"/>
          </w:tcPr>
          <w:p>
            <w:pPr>
              <w:spacing w:after="0"/>
              <w:rPr>
                <w:sz w:val="13"/>
                <w:szCs w:val="13"/>
                <w:color w:val="auto"/>
              </w:rPr>
            </w:pPr>
          </w:p>
        </w:tc>
        <w:tc>
          <w:tcPr>
            <w:tcW w:w="2080" w:type="dxa"/>
            <w:vAlign w:val="bottom"/>
            <w:vMerge w:val="continue"/>
            <w:shd w:val="clear" w:color="auto" w:fill="EAF7FA"/>
          </w:tcPr>
          <w:p>
            <w:pPr>
              <w:spacing w:after="0"/>
              <w:rPr>
                <w:sz w:val="13"/>
                <w:szCs w:val="13"/>
                <w:color w:val="auto"/>
              </w:rPr>
            </w:pPr>
          </w:p>
        </w:tc>
        <w:tc>
          <w:tcPr>
            <w:tcW w:w="60" w:type="dxa"/>
            <w:vAlign w:val="bottom"/>
            <w:shd w:val="clear" w:color="auto" w:fill="EAF7FA"/>
          </w:tcPr>
          <w:p>
            <w:pPr>
              <w:spacing w:after="0"/>
              <w:rPr>
                <w:sz w:val="13"/>
                <w:szCs w:val="13"/>
                <w:color w:val="auto"/>
              </w:rPr>
            </w:pPr>
          </w:p>
        </w:tc>
        <w:tc>
          <w:tcPr>
            <w:tcW w:w="1180" w:type="dxa"/>
            <w:vAlign w:val="bottom"/>
            <w:vMerge w:val="restart"/>
            <w:shd w:val="clear" w:color="auto" w:fill="EAF7FA"/>
          </w:tcPr>
          <w:p>
            <w:pPr>
              <w:ind w:left="380"/>
              <w:spacing w:after="0"/>
              <w:rPr>
                <w:sz w:val="20"/>
                <w:szCs w:val="20"/>
                <w:color w:val="auto"/>
              </w:rPr>
            </w:pPr>
            <w:r>
              <w:rPr>
                <w:rFonts w:ascii="Arial" w:cs="Arial" w:eastAsia="Arial" w:hAnsi="Arial"/>
                <w:sz w:val="14"/>
                <w:szCs w:val="14"/>
                <w:color w:val="54565B"/>
                <w:w w:val="96"/>
              </w:rPr>
              <w:t>2/19/2025</w:t>
            </w:r>
            <w:r>
              <w:rPr>
                <w:rFonts w:ascii="Arial" w:cs="Arial" w:eastAsia="Arial" w:hAnsi="Arial"/>
                <w:sz w:val="23"/>
                <w:szCs w:val="23"/>
                <w:color w:val="54565B"/>
                <w:w w:val="96"/>
                <w:vertAlign w:val="superscript"/>
              </w:rPr>
              <w:t>(2)</w:t>
            </w:r>
          </w:p>
        </w:tc>
        <w:tc>
          <w:tcPr>
            <w:tcW w:w="70" w:type="dxa"/>
            <w:vAlign w:val="bottom"/>
            <w:shd w:val="clear" w:color="auto" w:fill="EAF7FA"/>
          </w:tcPr>
          <w:p>
            <w:pPr>
              <w:spacing w:after="0"/>
              <w:rPr>
                <w:sz w:val="13"/>
                <w:szCs w:val="13"/>
                <w:color w:val="auto"/>
              </w:rPr>
            </w:pPr>
          </w:p>
        </w:tc>
        <w:tc>
          <w:tcPr>
            <w:tcW w:w="850" w:type="dxa"/>
            <w:vAlign w:val="bottom"/>
            <w:shd w:val="clear" w:color="auto" w:fill="EAF7FA"/>
          </w:tcPr>
          <w:p>
            <w:pPr>
              <w:spacing w:after="0"/>
              <w:rPr>
                <w:sz w:val="13"/>
                <w:szCs w:val="13"/>
                <w:color w:val="auto"/>
              </w:rPr>
            </w:pPr>
          </w:p>
        </w:tc>
        <w:tc>
          <w:tcPr>
            <w:tcW w:w="420" w:type="dxa"/>
            <w:vAlign w:val="bottom"/>
            <w:vMerge w:val="restart"/>
            <w:shd w:val="clear" w:color="auto" w:fill="EAF7FA"/>
          </w:tcPr>
          <w:p>
            <w:pPr>
              <w:ind w:left="80"/>
              <w:spacing w:after="0"/>
              <w:rPr>
                <w:sz w:val="20"/>
                <w:szCs w:val="20"/>
                <w:color w:val="auto"/>
              </w:rPr>
            </w:pPr>
            <w:r>
              <w:rPr>
                <w:rFonts w:ascii="Arial" w:cs="Arial" w:eastAsia="Arial" w:hAnsi="Arial"/>
                <w:sz w:val="14"/>
                <w:szCs w:val="14"/>
                <w:color w:val="54565B"/>
              </w:rPr>
              <w:t>—</w:t>
            </w:r>
          </w:p>
        </w:tc>
        <w:tc>
          <w:tcPr>
            <w:tcW w:w="1240" w:type="dxa"/>
            <w:vAlign w:val="bottom"/>
            <w:vMerge w:val="restart"/>
            <w:shd w:val="clear" w:color="auto" w:fill="EAF7FA"/>
          </w:tcPr>
          <w:p>
            <w:pPr>
              <w:jc w:val="right"/>
              <w:ind w:right="228"/>
              <w:spacing w:after="0"/>
              <w:rPr>
                <w:sz w:val="20"/>
                <w:szCs w:val="20"/>
                <w:color w:val="auto"/>
              </w:rPr>
            </w:pPr>
            <w:r>
              <w:rPr>
                <w:rFonts w:ascii="Arial" w:cs="Arial" w:eastAsia="Arial" w:hAnsi="Arial"/>
                <w:sz w:val="14"/>
                <w:szCs w:val="14"/>
                <w:color w:val="54565B"/>
              </w:rPr>
              <w:t>400,000</w:t>
            </w:r>
          </w:p>
        </w:tc>
        <w:tc>
          <w:tcPr>
            <w:tcW w:w="860" w:type="dxa"/>
            <w:vAlign w:val="bottom"/>
            <w:vMerge w:val="restart"/>
            <w:shd w:val="clear" w:color="auto" w:fill="EAF7FA"/>
          </w:tcPr>
          <w:p>
            <w:pPr>
              <w:jc w:val="right"/>
              <w:spacing w:after="0"/>
              <w:rPr>
                <w:sz w:val="20"/>
                <w:szCs w:val="20"/>
                <w:color w:val="auto"/>
              </w:rPr>
            </w:pPr>
            <w:r>
              <w:rPr>
                <w:rFonts w:ascii="Arial" w:cs="Arial" w:eastAsia="Arial" w:hAnsi="Arial"/>
                <w:sz w:val="14"/>
                <w:szCs w:val="14"/>
                <w:color w:val="54565B"/>
              </w:rPr>
              <w:t>500,000</w:t>
            </w:r>
          </w:p>
        </w:tc>
        <w:tc>
          <w:tcPr>
            <w:tcW w:w="60" w:type="dxa"/>
            <w:vAlign w:val="bottom"/>
            <w:shd w:val="clear" w:color="auto" w:fill="EAF7FA"/>
          </w:tcPr>
          <w:p>
            <w:pPr>
              <w:spacing w:after="0"/>
              <w:rPr>
                <w:sz w:val="13"/>
                <w:szCs w:val="13"/>
                <w:color w:val="auto"/>
              </w:rPr>
            </w:pPr>
          </w:p>
        </w:tc>
        <w:tc>
          <w:tcPr>
            <w:tcW w:w="760" w:type="dxa"/>
            <w:vAlign w:val="bottom"/>
            <w:vMerge w:val="restart"/>
            <w:shd w:val="clear" w:color="auto" w:fill="EAF7FA"/>
          </w:tcPr>
          <w:p>
            <w:pPr>
              <w:jc w:val="right"/>
              <w:ind w:right="9"/>
              <w:spacing w:after="0"/>
              <w:rPr>
                <w:sz w:val="20"/>
                <w:szCs w:val="20"/>
                <w:color w:val="auto"/>
              </w:rPr>
            </w:pPr>
            <w:r>
              <w:rPr>
                <w:rFonts w:ascii="Arial" w:cs="Arial" w:eastAsia="Arial" w:hAnsi="Arial"/>
                <w:sz w:val="14"/>
                <w:szCs w:val="14"/>
                <w:color w:val="54565B"/>
              </w:rPr>
              <w:t>—</w:t>
            </w:r>
          </w:p>
        </w:tc>
        <w:tc>
          <w:tcPr>
            <w:tcW w:w="640" w:type="dxa"/>
            <w:vAlign w:val="bottom"/>
            <w:vMerge w:val="restart"/>
            <w:shd w:val="clear" w:color="auto" w:fill="EAF7FA"/>
          </w:tcPr>
          <w:p>
            <w:pPr>
              <w:jc w:val="center"/>
              <w:spacing w:after="0"/>
              <w:rPr>
                <w:sz w:val="20"/>
                <w:szCs w:val="20"/>
                <w:color w:val="auto"/>
              </w:rPr>
            </w:pPr>
            <w:r>
              <w:rPr>
                <w:rFonts w:ascii="Arial" w:cs="Arial" w:eastAsia="Arial" w:hAnsi="Arial"/>
                <w:sz w:val="14"/>
                <w:szCs w:val="14"/>
                <w:color w:val="54565B"/>
                <w:w w:val="99"/>
              </w:rPr>
              <w:t>—</w:t>
            </w:r>
          </w:p>
        </w:tc>
        <w:tc>
          <w:tcPr>
            <w:tcW w:w="1020" w:type="dxa"/>
            <w:vAlign w:val="bottom"/>
            <w:vMerge w:val="restart"/>
            <w:shd w:val="clear" w:color="auto" w:fill="EAF7FA"/>
          </w:tcPr>
          <w:p>
            <w:pPr>
              <w:jc w:val="right"/>
              <w:ind w:right="108"/>
              <w:spacing w:after="0"/>
              <w:rPr>
                <w:sz w:val="20"/>
                <w:szCs w:val="20"/>
                <w:color w:val="auto"/>
              </w:rPr>
            </w:pPr>
            <w:r>
              <w:rPr>
                <w:rFonts w:ascii="Arial" w:cs="Arial" w:eastAsia="Arial" w:hAnsi="Arial"/>
                <w:sz w:val="14"/>
                <w:szCs w:val="14"/>
                <w:color w:val="54565B"/>
              </w:rPr>
              <w:t>—</w:t>
            </w:r>
          </w:p>
        </w:tc>
        <w:tc>
          <w:tcPr>
            <w:tcW w:w="0" w:type="dxa"/>
            <w:vAlign w:val="bottom"/>
          </w:tcPr>
          <w:p>
            <w:pPr>
              <w:spacing w:after="0"/>
              <w:rPr>
                <w:sz w:val="1"/>
                <w:szCs w:val="1"/>
                <w:color w:val="auto"/>
              </w:rPr>
            </w:pPr>
          </w:p>
        </w:tc>
      </w:tr>
      <w:tr>
        <w:trPr>
          <w:trHeight w:val="157"/>
        </w:trPr>
        <w:tc>
          <w:tcPr>
            <w:tcW w:w="160" w:type="dxa"/>
            <w:vAlign w:val="bottom"/>
            <w:tcBorders>
              <w:bottom w:val="single" w:sz="8" w:color="EAF7FA"/>
            </w:tcBorders>
            <w:shd w:val="clear" w:color="auto" w:fill="EAF7FA"/>
          </w:tcPr>
          <w:p>
            <w:pPr>
              <w:spacing w:after="0"/>
              <w:rPr>
                <w:sz w:val="13"/>
                <w:szCs w:val="13"/>
                <w:color w:val="auto"/>
              </w:rPr>
            </w:pPr>
          </w:p>
        </w:tc>
        <w:tc>
          <w:tcPr>
            <w:tcW w:w="2080" w:type="dxa"/>
            <w:vAlign w:val="bottom"/>
            <w:tcBorders>
              <w:bottom w:val="single" w:sz="8" w:color="EAF7FA"/>
            </w:tcBorders>
            <w:shd w:val="clear" w:color="auto" w:fill="EAF7FA"/>
          </w:tcPr>
          <w:p>
            <w:pPr>
              <w:spacing w:after="0"/>
              <w:rPr>
                <w:sz w:val="13"/>
                <w:szCs w:val="13"/>
                <w:color w:val="auto"/>
              </w:rPr>
            </w:pPr>
          </w:p>
        </w:tc>
        <w:tc>
          <w:tcPr>
            <w:tcW w:w="60" w:type="dxa"/>
            <w:vAlign w:val="bottom"/>
            <w:tcBorders>
              <w:bottom w:val="single" w:sz="8" w:color="EAF7FA"/>
            </w:tcBorders>
            <w:shd w:val="clear" w:color="auto" w:fill="EAF7FA"/>
          </w:tcPr>
          <w:p>
            <w:pPr>
              <w:spacing w:after="0"/>
              <w:rPr>
                <w:sz w:val="13"/>
                <w:szCs w:val="13"/>
                <w:color w:val="auto"/>
              </w:rPr>
            </w:pPr>
          </w:p>
        </w:tc>
        <w:tc>
          <w:tcPr>
            <w:tcW w:w="1180" w:type="dxa"/>
            <w:vAlign w:val="bottom"/>
            <w:tcBorders>
              <w:bottom w:val="single" w:sz="8" w:color="EAF7FA"/>
            </w:tcBorders>
            <w:vMerge w:val="continue"/>
            <w:shd w:val="clear" w:color="auto" w:fill="EAF7FA"/>
          </w:tcPr>
          <w:p>
            <w:pPr>
              <w:spacing w:after="0"/>
              <w:rPr>
                <w:sz w:val="13"/>
                <w:szCs w:val="13"/>
                <w:color w:val="auto"/>
              </w:rPr>
            </w:pPr>
          </w:p>
        </w:tc>
        <w:tc>
          <w:tcPr>
            <w:tcW w:w="70" w:type="dxa"/>
            <w:vAlign w:val="bottom"/>
            <w:tcBorders>
              <w:bottom w:val="single" w:sz="8" w:color="EAF7FA"/>
            </w:tcBorders>
            <w:shd w:val="clear" w:color="auto" w:fill="EAF7FA"/>
          </w:tcPr>
          <w:p>
            <w:pPr>
              <w:spacing w:after="0"/>
              <w:rPr>
                <w:sz w:val="13"/>
                <w:szCs w:val="13"/>
                <w:color w:val="auto"/>
              </w:rPr>
            </w:pPr>
          </w:p>
        </w:tc>
        <w:tc>
          <w:tcPr>
            <w:tcW w:w="850" w:type="dxa"/>
            <w:vAlign w:val="bottom"/>
            <w:tcBorders>
              <w:bottom w:val="single" w:sz="8" w:color="EAF7FA"/>
            </w:tcBorders>
            <w:shd w:val="clear" w:color="auto" w:fill="EAF7FA"/>
          </w:tcPr>
          <w:p>
            <w:pPr>
              <w:spacing w:after="0"/>
              <w:rPr>
                <w:sz w:val="13"/>
                <w:szCs w:val="13"/>
                <w:color w:val="auto"/>
              </w:rPr>
            </w:pPr>
          </w:p>
        </w:tc>
        <w:tc>
          <w:tcPr>
            <w:tcW w:w="420" w:type="dxa"/>
            <w:vAlign w:val="bottom"/>
            <w:tcBorders>
              <w:bottom w:val="single" w:sz="8" w:color="EAF7FA"/>
            </w:tcBorders>
            <w:vMerge w:val="continue"/>
            <w:shd w:val="clear" w:color="auto" w:fill="EAF7FA"/>
          </w:tcPr>
          <w:p>
            <w:pPr>
              <w:spacing w:after="0"/>
              <w:rPr>
                <w:sz w:val="13"/>
                <w:szCs w:val="13"/>
                <w:color w:val="auto"/>
              </w:rPr>
            </w:pPr>
          </w:p>
        </w:tc>
        <w:tc>
          <w:tcPr>
            <w:tcW w:w="1240" w:type="dxa"/>
            <w:vAlign w:val="bottom"/>
            <w:tcBorders>
              <w:bottom w:val="single" w:sz="8" w:color="EAF7FA"/>
            </w:tcBorders>
            <w:vMerge w:val="continue"/>
            <w:shd w:val="clear" w:color="auto" w:fill="EAF7FA"/>
          </w:tcPr>
          <w:p>
            <w:pPr>
              <w:spacing w:after="0"/>
              <w:rPr>
                <w:sz w:val="13"/>
                <w:szCs w:val="13"/>
                <w:color w:val="auto"/>
              </w:rPr>
            </w:pPr>
          </w:p>
        </w:tc>
        <w:tc>
          <w:tcPr>
            <w:tcW w:w="860" w:type="dxa"/>
            <w:vAlign w:val="bottom"/>
            <w:tcBorders>
              <w:bottom w:val="single" w:sz="8" w:color="EAF7FA"/>
            </w:tcBorders>
            <w:vMerge w:val="continue"/>
            <w:shd w:val="clear" w:color="auto" w:fill="EAF7FA"/>
          </w:tcPr>
          <w:p>
            <w:pPr>
              <w:spacing w:after="0"/>
              <w:rPr>
                <w:sz w:val="13"/>
                <w:szCs w:val="13"/>
                <w:color w:val="auto"/>
              </w:rPr>
            </w:pPr>
          </w:p>
        </w:tc>
        <w:tc>
          <w:tcPr>
            <w:tcW w:w="60" w:type="dxa"/>
            <w:vAlign w:val="bottom"/>
            <w:tcBorders>
              <w:bottom w:val="single" w:sz="8" w:color="EAF7FA"/>
            </w:tcBorders>
            <w:shd w:val="clear" w:color="auto" w:fill="EAF7FA"/>
          </w:tcPr>
          <w:p>
            <w:pPr>
              <w:spacing w:after="0"/>
              <w:rPr>
                <w:sz w:val="13"/>
                <w:szCs w:val="13"/>
                <w:color w:val="auto"/>
              </w:rPr>
            </w:pPr>
          </w:p>
        </w:tc>
        <w:tc>
          <w:tcPr>
            <w:tcW w:w="760" w:type="dxa"/>
            <w:vAlign w:val="bottom"/>
            <w:tcBorders>
              <w:bottom w:val="single" w:sz="8" w:color="EAF7FA"/>
            </w:tcBorders>
            <w:vMerge w:val="continue"/>
            <w:shd w:val="clear" w:color="auto" w:fill="EAF7FA"/>
          </w:tcPr>
          <w:p>
            <w:pPr>
              <w:spacing w:after="0"/>
              <w:rPr>
                <w:sz w:val="13"/>
                <w:szCs w:val="13"/>
                <w:color w:val="auto"/>
              </w:rPr>
            </w:pPr>
          </w:p>
        </w:tc>
        <w:tc>
          <w:tcPr>
            <w:tcW w:w="640" w:type="dxa"/>
            <w:vAlign w:val="bottom"/>
            <w:tcBorders>
              <w:bottom w:val="single" w:sz="8" w:color="EAF7FA"/>
            </w:tcBorders>
            <w:vMerge w:val="continue"/>
            <w:shd w:val="clear" w:color="auto" w:fill="EAF7FA"/>
          </w:tcPr>
          <w:p>
            <w:pPr>
              <w:spacing w:after="0"/>
              <w:rPr>
                <w:sz w:val="13"/>
                <w:szCs w:val="13"/>
                <w:color w:val="auto"/>
              </w:rPr>
            </w:pPr>
          </w:p>
        </w:tc>
        <w:tc>
          <w:tcPr>
            <w:tcW w:w="1020" w:type="dxa"/>
            <w:vAlign w:val="bottom"/>
            <w:tcBorders>
              <w:bottom w:val="single" w:sz="8" w:color="EAF7FA"/>
            </w:tcBorders>
            <w:vMerge w:val="continue"/>
            <w:shd w:val="clear" w:color="auto" w:fill="EAF7FA"/>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B3C61"/>
          </w:tcPr>
          <w:p>
            <w:pPr>
              <w:spacing w:after="0" w:line="20" w:lineRule="exact"/>
              <w:rPr>
                <w:sz w:val="1"/>
                <w:szCs w:val="1"/>
                <w:color w:val="auto"/>
              </w:rPr>
            </w:pPr>
          </w:p>
        </w:tc>
        <w:tc>
          <w:tcPr>
            <w:tcW w:w="2080" w:type="dxa"/>
            <w:vAlign w:val="bottom"/>
            <w:shd w:val="clear" w:color="auto" w:fill="0B3C61"/>
          </w:tcPr>
          <w:p>
            <w:pPr>
              <w:spacing w:after="0" w:line="20" w:lineRule="exact"/>
              <w:rPr>
                <w:sz w:val="1"/>
                <w:szCs w:val="1"/>
                <w:color w:val="auto"/>
              </w:rPr>
            </w:pPr>
          </w:p>
        </w:tc>
        <w:tc>
          <w:tcPr>
            <w:tcW w:w="60" w:type="dxa"/>
            <w:vAlign w:val="bottom"/>
            <w:shd w:val="clear" w:color="auto" w:fill="0B3C61"/>
          </w:tcPr>
          <w:p>
            <w:pPr>
              <w:spacing w:after="0" w:line="20" w:lineRule="exact"/>
              <w:rPr>
                <w:sz w:val="1"/>
                <w:szCs w:val="1"/>
                <w:color w:val="auto"/>
              </w:rPr>
            </w:pPr>
          </w:p>
        </w:tc>
        <w:tc>
          <w:tcPr>
            <w:tcW w:w="1180" w:type="dxa"/>
            <w:vAlign w:val="bottom"/>
            <w:shd w:val="clear" w:color="auto" w:fill="0B3C61"/>
          </w:tcPr>
          <w:p>
            <w:pPr>
              <w:spacing w:after="0" w:line="20" w:lineRule="exact"/>
              <w:rPr>
                <w:sz w:val="1"/>
                <w:szCs w:val="1"/>
                <w:color w:val="auto"/>
              </w:rPr>
            </w:pPr>
          </w:p>
        </w:tc>
        <w:tc>
          <w:tcPr>
            <w:tcW w:w="70" w:type="dxa"/>
            <w:vAlign w:val="bottom"/>
            <w:shd w:val="clear" w:color="auto" w:fill="0B3C61"/>
          </w:tcPr>
          <w:p>
            <w:pPr>
              <w:spacing w:after="0" w:line="20" w:lineRule="exact"/>
              <w:rPr>
                <w:sz w:val="1"/>
                <w:szCs w:val="1"/>
                <w:color w:val="auto"/>
              </w:rPr>
            </w:pPr>
          </w:p>
        </w:tc>
        <w:tc>
          <w:tcPr>
            <w:tcW w:w="850" w:type="dxa"/>
            <w:vAlign w:val="bottom"/>
            <w:shd w:val="clear" w:color="auto" w:fill="0B3C61"/>
          </w:tcPr>
          <w:p>
            <w:pPr>
              <w:spacing w:after="0" w:line="20" w:lineRule="exact"/>
              <w:rPr>
                <w:sz w:val="1"/>
                <w:szCs w:val="1"/>
                <w:color w:val="auto"/>
              </w:rPr>
            </w:pPr>
          </w:p>
        </w:tc>
        <w:tc>
          <w:tcPr>
            <w:tcW w:w="420" w:type="dxa"/>
            <w:vAlign w:val="bottom"/>
            <w:shd w:val="clear" w:color="auto" w:fill="0B3C61"/>
          </w:tcPr>
          <w:p>
            <w:pPr>
              <w:spacing w:after="0" w:line="20" w:lineRule="exact"/>
              <w:rPr>
                <w:sz w:val="1"/>
                <w:szCs w:val="1"/>
                <w:color w:val="auto"/>
              </w:rPr>
            </w:pPr>
          </w:p>
        </w:tc>
        <w:tc>
          <w:tcPr>
            <w:tcW w:w="1240" w:type="dxa"/>
            <w:vAlign w:val="bottom"/>
            <w:shd w:val="clear" w:color="auto" w:fill="0B3C61"/>
          </w:tcPr>
          <w:p>
            <w:pPr>
              <w:spacing w:after="0" w:line="20" w:lineRule="exact"/>
              <w:rPr>
                <w:sz w:val="1"/>
                <w:szCs w:val="1"/>
                <w:color w:val="auto"/>
              </w:rPr>
            </w:pPr>
          </w:p>
        </w:tc>
        <w:tc>
          <w:tcPr>
            <w:tcW w:w="860" w:type="dxa"/>
            <w:vAlign w:val="bottom"/>
            <w:shd w:val="clear" w:color="auto" w:fill="0B3C61"/>
          </w:tcPr>
          <w:p>
            <w:pPr>
              <w:spacing w:after="0" w:line="20" w:lineRule="exact"/>
              <w:rPr>
                <w:sz w:val="1"/>
                <w:szCs w:val="1"/>
                <w:color w:val="auto"/>
              </w:rPr>
            </w:pPr>
          </w:p>
        </w:tc>
        <w:tc>
          <w:tcPr>
            <w:tcW w:w="60" w:type="dxa"/>
            <w:vAlign w:val="bottom"/>
            <w:shd w:val="clear" w:color="auto" w:fill="0B3C61"/>
          </w:tcPr>
          <w:p>
            <w:pPr>
              <w:spacing w:after="0" w:line="20" w:lineRule="exact"/>
              <w:rPr>
                <w:sz w:val="1"/>
                <w:szCs w:val="1"/>
                <w:color w:val="auto"/>
              </w:rPr>
            </w:pPr>
          </w:p>
        </w:tc>
        <w:tc>
          <w:tcPr>
            <w:tcW w:w="760" w:type="dxa"/>
            <w:vAlign w:val="bottom"/>
            <w:shd w:val="clear" w:color="auto" w:fill="0B3C61"/>
          </w:tcPr>
          <w:p>
            <w:pPr>
              <w:spacing w:after="0" w:line="20" w:lineRule="exact"/>
              <w:rPr>
                <w:sz w:val="1"/>
                <w:szCs w:val="1"/>
                <w:color w:val="auto"/>
              </w:rPr>
            </w:pPr>
          </w:p>
        </w:tc>
        <w:tc>
          <w:tcPr>
            <w:tcW w:w="640" w:type="dxa"/>
            <w:vAlign w:val="bottom"/>
            <w:shd w:val="clear" w:color="auto" w:fill="0B3C61"/>
          </w:tcPr>
          <w:p>
            <w:pPr>
              <w:spacing w:after="0" w:line="20" w:lineRule="exact"/>
              <w:rPr>
                <w:sz w:val="1"/>
                <w:szCs w:val="1"/>
                <w:color w:val="auto"/>
              </w:rPr>
            </w:pPr>
          </w:p>
        </w:tc>
        <w:tc>
          <w:tcPr>
            <w:tcW w:w="1020" w:type="dxa"/>
            <w:vAlign w:val="bottom"/>
            <w:shd w:val="clear" w:color="auto" w:fill="0B3C6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-2990850</wp:posOffset>
            </wp:positionV>
            <wp:extent cx="21170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24" w:lineRule="exact"/>
        <w:rPr>
          <w:sz w:val="20"/>
          <w:szCs w:val="20"/>
          <w:color w:val="auto"/>
        </w:rPr>
      </w:pPr>
    </w:p>
    <w:p>
      <w:pPr>
        <w:ind w:left="440" w:right="160" w:hanging="272"/>
        <w:spacing w:after="0" w:line="243" w:lineRule="auto"/>
        <w:tabs>
          <w:tab w:leader="none" w:pos="440" w:val="left"/>
        </w:tabs>
        <w:numPr>
          <w:ilvl w:val="0"/>
          <w:numId w:val="24"/>
        </w:numPr>
        <w:rPr>
          <w:rFonts w:ascii="Arial" w:cs="Arial" w:eastAsia="Arial" w:hAnsi="Arial"/>
          <w:sz w:val="13"/>
          <w:szCs w:val="13"/>
          <w:color w:val="54565B"/>
        </w:rPr>
      </w:pPr>
      <w:r>
        <w:rPr>
          <w:rFonts w:ascii="Arial" w:cs="Arial" w:eastAsia="Arial" w:hAnsi="Arial"/>
          <w:sz w:val="13"/>
          <w:szCs w:val="13"/>
          <w:color w:val="54565B"/>
        </w:rPr>
        <w:t>These restricted shares were granted pursuant to the Company’s stock incentive plan and cliff-vest four years after the grant date. Holders of restricted shares generally have full voting and dividend rights on all restricted shares during the vesting period.</w:t>
      </w:r>
    </w:p>
    <w:p>
      <w:pPr>
        <w:spacing w:after="0" w:line="21" w:lineRule="exact"/>
        <w:rPr>
          <w:rFonts w:ascii="Arial" w:cs="Arial" w:eastAsia="Arial" w:hAnsi="Arial"/>
          <w:sz w:val="13"/>
          <w:szCs w:val="13"/>
          <w:color w:val="54565B"/>
        </w:rPr>
      </w:pPr>
    </w:p>
    <w:p>
      <w:pPr>
        <w:ind w:left="440" w:right="340" w:hanging="272"/>
        <w:spacing w:after="0" w:line="233" w:lineRule="auto"/>
        <w:tabs>
          <w:tab w:leader="none" w:pos="440" w:val="left"/>
        </w:tabs>
        <w:numPr>
          <w:ilvl w:val="0"/>
          <w:numId w:val="24"/>
        </w:numPr>
        <w:rPr>
          <w:rFonts w:ascii="Arial" w:cs="Arial" w:eastAsia="Arial" w:hAnsi="Arial"/>
          <w:sz w:val="13"/>
          <w:szCs w:val="13"/>
          <w:color w:val="54565B"/>
        </w:rPr>
      </w:pPr>
      <w:r>
        <w:rPr>
          <w:rFonts w:ascii="Arial" w:cs="Arial" w:eastAsia="Arial" w:hAnsi="Arial"/>
          <w:sz w:val="13"/>
          <w:szCs w:val="13"/>
          <w:color w:val="54565B"/>
        </w:rPr>
        <w:t>These represent awards under the Annual Bonus Plan. These amounts, to the extent earned for 2025 and paid in 2026, are shown in the Summary Compensation Table in the column titled “Non-Equity Incentive Plan Compensation” because these awards were recognized in 2025 for financial statement reporting purposes.</w:t>
      </w:r>
    </w:p>
    <w:p>
      <w:pPr>
        <w:spacing w:after="0" w:line="23" w:lineRule="exact"/>
        <w:rPr>
          <w:rFonts w:ascii="Arial" w:cs="Arial" w:eastAsia="Arial" w:hAnsi="Arial"/>
          <w:sz w:val="13"/>
          <w:szCs w:val="13"/>
          <w:color w:val="54565B"/>
        </w:rPr>
      </w:pPr>
    </w:p>
    <w:p>
      <w:pPr>
        <w:ind w:left="440" w:right="120" w:hanging="272"/>
        <w:spacing w:after="0" w:line="233" w:lineRule="auto"/>
        <w:tabs>
          <w:tab w:leader="none" w:pos="440" w:val="left"/>
        </w:tabs>
        <w:numPr>
          <w:ilvl w:val="0"/>
          <w:numId w:val="24"/>
        </w:numPr>
        <w:rPr>
          <w:rFonts w:ascii="Arial" w:cs="Arial" w:eastAsia="Arial" w:hAnsi="Arial"/>
          <w:sz w:val="13"/>
          <w:szCs w:val="13"/>
          <w:color w:val="54565B"/>
        </w:rPr>
      </w:pPr>
      <w:r>
        <w:rPr>
          <w:rFonts w:ascii="Arial" w:cs="Arial" w:eastAsia="Arial" w:hAnsi="Arial"/>
          <w:sz w:val="13"/>
          <w:szCs w:val="13"/>
          <w:color w:val="54565B"/>
        </w:rPr>
        <w:t>These represent awards under the Senior Executive LTIC. Grants in 2025 cover a three-year performance period 2025-2027. One-half of the award payment is based on the Company’s Long-Term Relative GBVPS over the three years compared to the Comparison Companies, and one-half of the award payment is based the Company’s Long-Term ROE over the three-year period. Payments of awards, if any, will be made in the first quarter of 2028.</w:t>
      </w: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56 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220" w:type="dxa"/>
            <w:vAlign w:val="bottom"/>
            <w:gridSpan w:val="2"/>
          </w:tcPr>
          <w:p>
            <w:pPr>
              <w:ind w:left="960"/>
              <w:spacing w:after="0"/>
              <w:rPr>
                <w:sz w:val="20"/>
                <w:szCs w:val="20"/>
                <w:color w:val="auto"/>
              </w:rPr>
            </w:pPr>
            <w:r>
              <w:rPr>
                <w:rFonts w:ascii="Arial" w:cs="Arial" w:eastAsia="Arial" w:hAnsi="Arial"/>
                <w:sz w:val="16"/>
                <w:szCs w:val="16"/>
                <w:color w:val="EA1D2D"/>
                <w:w w:val="99"/>
              </w:rPr>
              <w:t>EXECUTIVE COMPENSATION</w:t>
            </w:r>
          </w:p>
        </w:tc>
        <w:tc>
          <w:tcPr>
            <w:tcW w:w="0" w:type="dxa"/>
            <w:vAlign w:val="bottom"/>
          </w:tcPr>
          <w:p>
            <w:pPr>
              <w:spacing w:after="0"/>
              <w:rPr>
                <w:sz w:val="1"/>
                <w:szCs w:val="1"/>
                <w:color w:val="auto"/>
              </w:rPr>
            </w:pPr>
          </w:p>
        </w:tc>
      </w:tr>
      <w:tr>
        <w:trPr>
          <w:trHeight w:val="212"/>
        </w:trPr>
        <w:tc>
          <w:tcPr>
            <w:tcW w:w="120" w:type="dxa"/>
            <w:vAlign w:val="bottom"/>
            <w:tcBorders>
              <w:bottom w:val="single" w:sz="8" w:color="EA1D2D"/>
            </w:tcBorders>
          </w:tcPr>
          <w:p>
            <w:pPr>
              <w:spacing w:after="0"/>
              <w:rPr>
                <w:sz w:val="18"/>
                <w:szCs w:val="18"/>
                <w:color w:val="auto"/>
              </w:rPr>
            </w:pPr>
          </w:p>
        </w:tc>
        <w:tc>
          <w:tcPr>
            <w:tcW w:w="1540" w:type="dxa"/>
            <w:vAlign w:val="bottom"/>
            <w:tcBorders>
              <w:bottom w:val="single" w:sz="8" w:color="EA1D2D"/>
            </w:tcBorders>
          </w:tcPr>
          <w:p>
            <w:pPr>
              <w:spacing w:after="0"/>
              <w:rPr>
                <w:sz w:val="18"/>
                <w:szCs w:val="18"/>
                <w:color w:val="auto"/>
              </w:rPr>
            </w:pPr>
          </w:p>
        </w:tc>
        <w:tc>
          <w:tcPr>
            <w:tcW w:w="80" w:type="dxa"/>
            <w:vAlign w:val="bottom"/>
            <w:tcBorders>
              <w:bottom w:val="single" w:sz="8" w:color="EA1D2D"/>
            </w:tcBorders>
          </w:tcPr>
          <w:p>
            <w:pPr>
              <w:spacing w:after="0"/>
              <w:rPr>
                <w:sz w:val="18"/>
                <w:szCs w:val="18"/>
                <w:color w:val="auto"/>
              </w:rPr>
            </w:pPr>
          </w:p>
        </w:tc>
        <w:tc>
          <w:tcPr>
            <w:tcW w:w="1520" w:type="dxa"/>
            <w:vAlign w:val="bottom"/>
            <w:tcBorders>
              <w:bottom w:val="single" w:sz="8" w:color="EA1D2D"/>
            </w:tcBorders>
          </w:tcPr>
          <w:p>
            <w:pPr>
              <w:spacing w:after="0"/>
              <w:rPr>
                <w:sz w:val="18"/>
                <w:szCs w:val="18"/>
                <w:color w:val="auto"/>
              </w:rPr>
            </w:pPr>
          </w:p>
        </w:tc>
        <w:tc>
          <w:tcPr>
            <w:tcW w:w="2920" w:type="dxa"/>
            <w:vAlign w:val="bottom"/>
            <w:tcBorders>
              <w:bottom w:val="single" w:sz="8" w:color="EA1D2D"/>
            </w:tcBorders>
            <w:gridSpan w:val="2"/>
          </w:tcPr>
          <w:p>
            <w:pPr>
              <w:spacing w:after="0"/>
              <w:rPr>
                <w:sz w:val="18"/>
                <w:szCs w:val="18"/>
                <w:color w:val="auto"/>
              </w:rPr>
            </w:pPr>
          </w:p>
        </w:tc>
        <w:tc>
          <w:tcPr>
            <w:tcW w:w="3080" w:type="dxa"/>
            <w:vAlign w:val="bottom"/>
            <w:tcBorders>
              <w:bottom w:val="single" w:sz="8" w:color="EA1D2D"/>
            </w:tcBorders>
          </w:tcPr>
          <w:p>
            <w:pPr>
              <w:spacing w:after="0"/>
              <w:rPr>
                <w:sz w:val="18"/>
                <w:szCs w:val="18"/>
                <w:color w:val="auto"/>
              </w:rPr>
            </w:pPr>
          </w:p>
        </w:tc>
        <w:tc>
          <w:tcPr>
            <w:tcW w:w="140" w:type="dxa"/>
            <w:vAlign w:val="bottom"/>
            <w:tcBorders>
              <w:bottom w:val="single" w:sz="8" w:color="EA1D2D"/>
            </w:tcBorders>
          </w:tcPr>
          <w:p>
            <w:pPr>
              <w:spacing w:after="0"/>
              <w:rPr>
                <w:sz w:val="18"/>
                <w:szCs w:val="18"/>
                <w:color w:val="auto"/>
              </w:rPr>
            </w:pPr>
          </w:p>
        </w:tc>
        <w:tc>
          <w:tcPr>
            <w:tcW w:w="0" w:type="dxa"/>
            <w:vAlign w:val="bottom"/>
          </w:tcPr>
          <w:p>
            <w:pPr>
              <w:spacing w:after="0"/>
              <w:rPr>
                <w:sz w:val="1"/>
                <w:szCs w:val="1"/>
                <w:color w:val="auto"/>
              </w:rPr>
            </w:pPr>
          </w:p>
        </w:tc>
      </w:tr>
      <w:tr>
        <w:trPr>
          <w:trHeight w:val="554"/>
        </w:trPr>
        <w:tc>
          <w:tcPr>
            <w:tcW w:w="6180" w:type="dxa"/>
            <w:vAlign w:val="bottom"/>
            <w:gridSpan w:val="6"/>
          </w:tcPr>
          <w:p>
            <w:pPr>
              <w:jc w:val="right"/>
              <w:ind w:right="368"/>
              <w:spacing w:after="0"/>
              <w:rPr>
                <w:sz w:val="20"/>
                <w:szCs w:val="20"/>
                <w:color w:val="auto"/>
              </w:rPr>
            </w:pPr>
            <w:r>
              <w:rPr>
                <w:rFonts w:ascii="Arial" w:cs="Arial" w:eastAsia="Arial" w:hAnsi="Arial"/>
                <w:sz w:val="22"/>
                <w:szCs w:val="22"/>
                <w:color w:val="0B3C61"/>
                <w:w w:val="97"/>
              </w:rPr>
              <w:t>OUTSTANDING EQUITY AWARDS AT FISCAL YEAR-END</w:t>
            </w:r>
          </w:p>
        </w:tc>
        <w:tc>
          <w:tcPr>
            <w:tcW w:w="3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9"/>
        </w:trPr>
        <w:tc>
          <w:tcPr>
            <w:tcW w:w="120" w:type="dxa"/>
            <w:vAlign w:val="bottom"/>
            <w:shd w:val="clear" w:color="auto" w:fill="0B3C61"/>
          </w:tcPr>
          <w:p>
            <w:pPr>
              <w:spacing w:after="0"/>
              <w:rPr>
                <w:sz w:val="24"/>
                <w:szCs w:val="24"/>
                <w:color w:val="auto"/>
              </w:rPr>
            </w:pPr>
          </w:p>
        </w:tc>
        <w:tc>
          <w:tcPr>
            <w:tcW w:w="1540" w:type="dxa"/>
            <w:vAlign w:val="bottom"/>
            <w:shd w:val="clear" w:color="auto" w:fill="0B3C61"/>
          </w:tcPr>
          <w:p>
            <w:pPr>
              <w:spacing w:after="0"/>
              <w:rPr>
                <w:sz w:val="24"/>
                <w:szCs w:val="24"/>
                <w:color w:val="auto"/>
              </w:rPr>
            </w:pPr>
          </w:p>
        </w:tc>
        <w:tc>
          <w:tcPr>
            <w:tcW w:w="80" w:type="dxa"/>
            <w:vAlign w:val="bottom"/>
            <w:shd w:val="clear" w:color="auto" w:fill="0B3C61"/>
          </w:tcPr>
          <w:p>
            <w:pPr>
              <w:spacing w:after="0"/>
              <w:rPr>
                <w:sz w:val="24"/>
                <w:szCs w:val="24"/>
                <w:color w:val="auto"/>
              </w:rPr>
            </w:pPr>
          </w:p>
        </w:tc>
        <w:tc>
          <w:tcPr>
            <w:tcW w:w="1520" w:type="dxa"/>
            <w:vAlign w:val="bottom"/>
            <w:shd w:val="clear" w:color="auto" w:fill="0B3C61"/>
          </w:tcPr>
          <w:p>
            <w:pPr>
              <w:spacing w:after="0"/>
              <w:rPr>
                <w:sz w:val="24"/>
                <w:szCs w:val="24"/>
                <w:color w:val="auto"/>
              </w:rPr>
            </w:pPr>
          </w:p>
        </w:tc>
        <w:tc>
          <w:tcPr>
            <w:tcW w:w="100" w:type="dxa"/>
            <w:vAlign w:val="bottom"/>
            <w:shd w:val="clear" w:color="auto" w:fill="0B3C61"/>
          </w:tcPr>
          <w:p>
            <w:pPr>
              <w:spacing w:after="0"/>
              <w:rPr>
                <w:sz w:val="24"/>
                <w:szCs w:val="24"/>
                <w:color w:val="auto"/>
              </w:rPr>
            </w:pPr>
          </w:p>
        </w:tc>
        <w:tc>
          <w:tcPr>
            <w:tcW w:w="2820" w:type="dxa"/>
            <w:vAlign w:val="bottom"/>
            <w:shd w:val="clear" w:color="auto" w:fill="0B3C61"/>
          </w:tcPr>
          <w:p>
            <w:pPr>
              <w:spacing w:after="0"/>
              <w:rPr>
                <w:sz w:val="24"/>
                <w:szCs w:val="24"/>
                <w:color w:val="auto"/>
              </w:rPr>
            </w:pPr>
          </w:p>
        </w:tc>
        <w:tc>
          <w:tcPr>
            <w:tcW w:w="3080" w:type="dxa"/>
            <w:vAlign w:val="bottom"/>
            <w:shd w:val="clear" w:color="auto" w:fill="0B3C61"/>
          </w:tcPr>
          <w:p>
            <w:pPr>
              <w:ind w:left="160"/>
              <w:spacing w:after="0"/>
              <w:rPr>
                <w:sz w:val="20"/>
                <w:szCs w:val="20"/>
                <w:color w:val="auto"/>
              </w:rPr>
            </w:pPr>
            <w:r>
              <w:rPr>
                <w:rFonts w:ascii="Arial" w:cs="Arial" w:eastAsia="Arial" w:hAnsi="Arial"/>
                <w:sz w:val="14"/>
                <w:szCs w:val="14"/>
                <w:color w:val="FFFFFF"/>
              </w:rPr>
              <w:t>Stock Awards</w:t>
            </w:r>
          </w:p>
        </w:tc>
        <w:tc>
          <w:tcPr>
            <w:tcW w:w="140" w:type="dxa"/>
            <w:vAlign w:val="bottom"/>
            <w:shd w:val="clear" w:color="auto" w:fill="0B3C61"/>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20" w:type="dxa"/>
            <w:vAlign w:val="bottom"/>
            <w:shd w:val="clear" w:color="auto" w:fill="0B3C61"/>
          </w:tcPr>
          <w:p>
            <w:pPr>
              <w:spacing w:after="0"/>
              <w:rPr>
                <w:sz w:val="24"/>
                <w:szCs w:val="24"/>
                <w:color w:val="auto"/>
              </w:rPr>
            </w:pPr>
          </w:p>
        </w:tc>
        <w:tc>
          <w:tcPr>
            <w:tcW w:w="1540" w:type="dxa"/>
            <w:vAlign w:val="bottom"/>
            <w:shd w:val="clear" w:color="auto" w:fill="0B3C61"/>
          </w:tcPr>
          <w:p>
            <w:pPr>
              <w:spacing w:after="0"/>
              <w:rPr>
                <w:sz w:val="24"/>
                <w:szCs w:val="24"/>
                <w:color w:val="auto"/>
              </w:rPr>
            </w:pPr>
          </w:p>
        </w:tc>
        <w:tc>
          <w:tcPr>
            <w:tcW w:w="80" w:type="dxa"/>
            <w:vAlign w:val="bottom"/>
            <w:shd w:val="clear" w:color="auto" w:fill="0B3C61"/>
          </w:tcPr>
          <w:p>
            <w:pPr>
              <w:spacing w:after="0"/>
              <w:rPr>
                <w:sz w:val="24"/>
                <w:szCs w:val="24"/>
                <w:color w:val="auto"/>
              </w:rPr>
            </w:pPr>
          </w:p>
        </w:tc>
        <w:tc>
          <w:tcPr>
            <w:tcW w:w="1520" w:type="dxa"/>
            <w:vAlign w:val="bottom"/>
            <w:shd w:val="clear" w:color="auto" w:fill="0B3C61"/>
          </w:tcPr>
          <w:p>
            <w:pPr>
              <w:spacing w:after="0"/>
              <w:rPr>
                <w:sz w:val="24"/>
                <w:szCs w:val="24"/>
                <w:color w:val="auto"/>
              </w:rPr>
            </w:pPr>
          </w:p>
        </w:tc>
        <w:tc>
          <w:tcPr>
            <w:tcW w:w="100" w:type="dxa"/>
            <w:vAlign w:val="bottom"/>
            <w:shd w:val="clear" w:color="auto" w:fill="0B3C61"/>
          </w:tcPr>
          <w:p>
            <w:pPr>
              <w:spacing w:after="0"/>
              <w:rPr>
                <w:sz w:val="24"/>
                <w:szCs w:val="24"/>
                <w:color w:val="auto"/>
              </w:rPr>
            </w:pPr>
          </w:p>
        </w:tc>
        <w:tc>
          <w:tcPr>
            <w:tcW w:w="2820" w:type="dxa"/>
            <w:vAlign w:val="bottom"/>
            <w:shd w:val="clear" w:color="auto" w:fill="0B3C61"/>
          </w:tcPr>
          <w:p>
            <w:pPr>
              <w:jc w:val="center"/>
              <w:ind w:left="1348"/>
              <w:spacing w:after="0"/>
              <w:rPr>
                <w:sz w:val="20"/>
                <w:szCs w:val="20"/>
                <w:color w:val="auto"/>
              </w:rPr>
            </w:pPr>
            <w:r>
              <w:rPr>
                <w:rFonts w:ascii="Arial" w:cs="Arial" w:eastAsia="Arial" w:hAnsi="Arial"/>
                <w:sz w:val="14"/>
                <w:szCs w:val="14"/>
                <w:color w:val="FFFFFF"/>
              </w:rPr>
              <w:t>Number of</w:t>
            </w:r>
          </w:p>
        </w:tc>
        <w:tc>
          <w:tcPr>
            <w:tcW w:w="3080" w:type="dxa"/>
            <w:vAlign w:val="bottom"/>
            <w:shd w:val="clear" w:color="auto" w:fill="0B3C61"/>
          </w:tcPr>
          <w:p>
            <w:pPr>
              <w:spacing w:after="0"/>
              <w:rPr>
                <w:sz w:val="24"/>
                <w:szCs w:val="24"/>
                <w:color w:val="auto"/>
              </w:rPr>
            </w:pPr>
          </w:p>
        </w:tc>
        <w:tc>
          <w:tcPr>
            <w:tcW w:w="140" w:type="dxa"/>
            <w:vAlign w:val="bottom"/>
            <w:shd w:val="clear" w:color="auto" w:fill="0B3C61"/>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shd w:val="clear" w:color="auto" w:fill="0B3C61"/>
          </w:tcPr>
          <w:p>
            <w:pPr>
              <w:spacing w:after="0"/>
              <w:rPr>
                <w:sz w:val="14"/>
                <w:szCs w:val="14"/>
                <w:color w:val="auto"/>
              </w:rPr>
            </w:pPr>
          </w:p>
        </w:tc>
        <w:tc>
          <w:tcPr>
            <w:tcW w:w="1540" w:type="dxa"/>
            <w:vAlign w:val="bottom"/>
            <w:shd w:val="clear" w:color="auto" w:fill="0B3C61"/>
          </w:tcPr>
          <w:p>
            <w:pPr>
              <w:spacing w:after="0"/>
              <w:rPr>
                <w:sz w:val="14"/>
                <w:szCs w:val="14"/>
                <w:color w:val="auto"/>
              </w:rPr>
            </w:pPr>
          </w:p>
        </w:tc>
        <w:tc>
          <w:tcPr>
            <w:tcW w:w="80" w:type="dxa"/>
            <w:vAlign w:val="bottom"/>
            <w:shd w:val="clear" w:color="auto" w:fill="0B3C61"/>
          </w:tcPr>
          <w:p>
            <w:pPr>
              <w:spacing w:after="0"/>
              <w:rPr>
                <w:sz w:val="14"/>
                <w:szCs w:val="14"/>
                <w:color w:val="auto"/>
              </w:rPr>
            </w:pPr>
          </w:p>
        </w:tc>
        <w:tc>
          <w:tcPr>
            <w:tcW w:w="1520" w:type="dxa"/>
            <w:vAlign w:val="bottom"/>
            <w:shd w:val="clear" w:color="auto" w:fill="0B3C61"/>
          </w:tcPr>
          <w:p>
            <w:pPr>
              <w:spacing w:after="0"/>
              <w:rPr>
                <w:sz w:val="14"/>
                <w:szCs w:val="14"/>
                <w:color w:val="auto"/>
              </w:rPr>
            </w:pPr>
          </w:p>
        </w:tc>
        <w:tc>
          <w:tcPr>
            <w:tcW w:w="100" w:type="dxa"/>
            <w:vAlign w:val="bottom"/>
            <w:shd w:val="clear" w:color="auto" w:fill="0B3C61"/>
          </w:tcPr>
          <w:p>
            <w:pPr>
              <w:spacing w:after="0"/>
              <w:rPr>
                <w:sz w:val="14"/>
                <w:szCs w:val="14"/>
                <w:color w:val="auto"/>
              </w:rPr>
            </w:pPr>
          </w:p>
        </w:tc>
        <w:tc>
          <w:tcPr>
            <w:tcW w:w="2820" w:type="dxa"/>
            <w:vAlign w:val="bottom"/>
            <w:shd w:val="clear" w:color="auto" w:fill="0B3C61"/>
          </w:tcPr>
          <w:p>
            <w:pPr>
              <w:jc w:val="center"/>
              <w:ind w:left="1348"/>
              <w:spacing w:after="0"/>
              <w:rPr>
                <w:sz w:val="20"/>
                <w:szCs w:val="20"/>
                <w:color w:val="auto"/>
              </w:rPr>
            </w:pPr>
            <w:r>
              <w:rPr>
                <w:rFonts w:ascii="Arial" w:cs="Arial" w:eastAsia="Arial" w:hAnsi="Arial"/>
                <w:sz w:val="14"/>
                <w:szCs w:val="14"/>
                <w:color w:val="FFFFFF"/>
              </w:rPr>
              <w:t>Shares or Units</w:t>
            </w:r>
          </w:p>
        </w:tc>
        <w:tc>
          <w:tcPr>
            <w:tcW w:w="3080" w:type="dxa"/>
            <w:vAlign w:val="bottom"/>
            <w:shd w:val="clear" w:color="auto" w:fill="0B3C61"/>
          </w:tcPr>
          <w:p>
            <w:pPr>
              <w:jc w:val="center"/>
              <w:ind w:left="528"/>
              <w:spacing w:after="0"/>
              <w:rPr>
                <w:sz w:val="20"/>
                <w:szCs w:val="20"/>
                <w:color w:val="auto"/>
              </w:rPr>
            </w:pPr>
            <w:r>
              <w:rPr>
                <w:rFonts w:ascii="Arial" w:cs="Arial" w:eastAsia="Arial" w:hAnsi="Arial"/>
                <w:sz w:val="14"/>
                <w:szCs w:val="14"/>
                <w:color w:val="FFFFFF"/>
              </w:rPr>
              <w:t>Market Value of</w:t>
            </w:r>
          </w:p>
        </w:tc>
        <w:tc>
          <w:tcPr>
            <w:tcW w:w="140" w:type="dxa"/>
            <w:vAlign w:val="bottom"/>
            <w:shd w:val="clear" w:color="auto" w:fill="0B3C6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0B3C61"/>
          </w:tcPr>
          <w:p>
            <w:pPr>
              <w:spacing w:after="0"/>
              <w:rPr>
                <w:sz w:val="14"/>
                <w:szCs w:val="14"/>
                <w:color w:val="auto"/>
              </w:rPr>
            </w:pPr>
          </w:p>
        </w:tc>
        <w:tc>
          <w:tcPr>
            <w:tcW w:w="1540" w:type="dxa"/>
            <w:vAlign w:val="bottom"/>
            <w:shd w:val="clear" w:color="auto" w:fill="0B3C61"/>
          </w:tcPr>
          <w:p>
            <w:pPr>
              <w:spacing w:after="0"/>
              <w:rPr>
                <w:sz w:val="14"/>
                <w:szCs w:val="14"/>
                <w:color w:val="auto"/>
              </w:rPr>
            </w:pPr>
          </w:p>
        </w:tc>
        <w:tc>
          <w:tcPr>
            <w:tcW w:w="80" w:type="dxa"/>
            <w:vAlign w:val="bottom"/>
            <w:shd w:val="clear" w:color="auto" w:fill="0B3C61"/>
          </w:tcPr>
          <w:p>
            <w:pPr>
              <w:spacing w:after="0"/>
              <w:rPr>
                <w:sz w:val="14"/>
                <w:szCs w:val="14"/>
                <w:color w:val="auto"/>
              </w:rPr>
            </w:pPr>
          </w:p>
        </w:tc>
        <w:tc>
          <w:tcPr>
            <w:tcW w:w="1520" w:type="dxa"/>
            <w:vAlign w:val="bottom"/>
            <w:shd w:val="clear" w:color="auto" w:fill="0B3C61"/>
          </w:tcPr>
          <w:p>
            <w:pPr>
              <w:spacing w:after="0"/>
              <w:rPr>
                <w:sz w:val="14"/>
                <w:szCs w:val="14"/>
                <w:color w:val="auto"/>
              </w:rPr>
            </w:pPr>
          </w:p>
        </w:tc>
        <w:tc>
          <w:tcPr>
            <w:tcW w:w="100" w:type="dxa"/>
            <w:vAlign w:val="bottom"/>
            <w:shd w:val="clear" w:color="auto" w:fill="0B3C61"/>
          </w:tcPr>
          <w:p>
            <w:pPr>
              <w:spacing w:after="0"/>
              <w:rPr>
                <w:sz w:val="14"/>
                <w:szCs w:val="14"/>
                <w:color w:val="auto"/>
              </w:rPr>
            </w:pPr>
          </w:p>
        </w:tc>
        <w:tc>
          <w:tcPr>
            <w:tcW w:w="2820" w:type="dxa"/>
            <w:vAlign w:val="bottom"/>
            <w:shd w:val="clear" w:color="auto" w:fill="0B3C61"/>
          </w:tcPr>
          <w:p>
            <w:pPr>
              <w:jc w:val="center"/>
              <w:ind w:left="1348"/>
              <w:spacing w:after="0"/>
              <w:rPr>
                <w:sz w:val="20"/>
                <w:szCs w:val="20"/>
                <w:color w:val="auto"/>
              </w:rPr>
            </w:pPr>
            <w:r>
              <w:rPr>
                <w:rFonts w:ascii="Arial" w:cs="Arial" w:eastAsia="Arial" w:hAnsi="Arial"/>
                <w:sz w:val="14"/>
                <w:szCs w:val="14"/>
                <w:color w:val="FFFFFF"/>
              </w:rPr>
              <w:t>of Stock That</w:t>
            </w:r>
          </w:p>
        </w:tc>
        <w:tc>
          <w:tcPr>
            <w:tcW w:w="3080" w:type="dxa"/>
            <w:vAlign w:val="bottom"/>
            <w:shd w:val="clear" w:color="auto" w:fill="0B3C61"/>
          </w:tcPr>
          <w:p>
            <w:pPr>
              <w:jc w:val="center"/>
              <w:ind w:left="528"/>
              <w:spacing w:after="0"/>
              <w:rPr>
                <w:sz w:val="20"/>
                <w:szCs w:val="20"/>
                <w:color w:val="auto"/>
              </w:rPr>
            </w:pPr>
            <w:r>
              <w:rPr>
                <w:rFonts w:ascii="Arial" w:cs="Arial" w:eastAsia="Arial" w:hAnsi="Arial"/>
                <w:sz w:val="14"/>
                <w:szCs w:val="14"/>
                <w:color w:val="FFFFFF"/>
              </w:rPr>
              <w:t>Shares or Units of Stock That</w:t>
            </w:r>
          </w:p>
        </w:tc>
        <w:tc>
          <w:tcPr>
            <w:tcW w:w="140" w:type="dxa"/>
            <w:vAlign w:val="bottom"/>
            <w:shd w:val="clear" w:color="auto" w:fill="0B3C6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0B3C61"/>
          </w:tcPr>
          <w:p>
            <w:pPr>
              <w:spacing w:after="0"/>
              <w:rPr>
                <w:sz w:val="14"/>
                <w:szCs w:val="14"/>
                <w:color w:val="auto"/>
              </w:rPr>
            </w:pPr>
          </w:p>
        </w:tc>
        <w:tc>
          <w:tcPr>
            <w:tcW w:w="1540" w:type="dxa"/>
            <w:vAlign w:val="bottom"/>
            <w:shd w:val="clear" w:color="auto" w:fill="0B3C61"/>
          </w:tcPr>
          <w:p>
            <w:pPr>
              <w:spacing w:after="0"/>
              <w:rPr>
                <w:sz w:val="14"/>
                <w:szCs w:val="14"/>
                <w:color w:val="auto"/>
              </w:rPr>
            </w:pPr>
          </w:p>
        </w:tc>
        <w:tc>
          <w:tcPr>
            <w:tcW w:w="80" w:type="dxa"/>
            <w:vAlign w:val="bottom"/>
            <w:shd w:val="clear" w:color="auto" w:fill="0B3C61"/>
          </w:tcPr>
          <w:p>
            <w:pPr>
              <w:spacing w:after="0"/>
              <w:rPr>
                <w:sz w:val="14"/>
                <w:szCs w:val="14"/>
                <w:color w:val="auto"/>
              </w:rPr>
            </w:pPr>
          </w:p>
        </w:tc>
        <w:tc>
          <w:tcPr>
            <w:tcW w:w="1520" w:type="dxa"/>
            <w:vAlign w:val="bottom"/>
            <w:shd w:val="clear" w:color="auto" w:fill="0B3C61"/>
          </w:tcPr>
          <w:p>
            <w:pPr>
              <w:spacing w:after="0"/>
              <w:rPr>
                <w:sz w:val="14"/>
                <w:szCs w:val="14"/>
                <w:color w:val="auto"/>
              </w:rPr>
            </w:pPr>
          </w:p>
        </w:tc>
        <w:tc>
          <w:tcPr>
            <w:tcW w:w="100" w:type="dxa"/>
            <w:vAlign w:val="bottom"/>
            <w:shd w:val="clear" w:color="auto" w:fill="0B3C61"/>
          </w:tcPr>
          <w:p>
            <w:pPr>
              <w:spacing w:after="0"/>
              <w:rPr>
                <w:sz w:val="14"/>
                <w:szCs w:val="14"/>
                <w:color w:val="auto"/>
              </w:rPr>
            </w:pPr>
          </w:p>
        </w:tc>
        <w:tc>
          <w:tcPr>
            <w:tcW w:w="2820" w:type="dxa"/>
            <w:vAlign w:val="bottom"/>
            <w:shd w:val="clear" w:color="auto" w:fill="0B3C61"/>
          </w:tcPr>
          <w:p>
            <w:pPr>
              <w:jc w:val="center"/>
              <w:ind w:left="1348"/>
              <w:spacing w:after="0"/>
              <w:rPr>
                <w:sz w:val="20"/>
                <w:szCs w:val="20"/>
                <w:color w:val="auto"/>
              </w:rPr>
            </w:pPr>
            <w:r>
              <w:rPr>
                <w:rFonts w:ascii="Arial" w:cs="Arial" w:eastAsia="Arial" w:hAnsi="Arial"/>
                <w:sz w:val="14"/>
                <w:szCs w:val="14"/>
                <w:color w:val="FFFFFF"/>
              </w:rPr>
              <w:t>Have Not Vested</w:t>
            </w:r>
          </w:p>
        </w:tc>
        <w:tc>
          <w:tcPr>
            <w:tcW w:w="3080" w:type="dxa"/>
            <w:vAlign w:val="bottom"/>
            <w:shd w:val="clear" w:color="auto" w:fill="0B3C61"/>
          </w:tcPr>
          <w:p>
            <w:pPr>
              <w:jc w:val="center"/>
              <w:ind w:left="528"/>
              <w:spacing w:after="0"/>
              <w:rPr>
                <w:sz w:val="20"/>
                <w:szCs w:val="20"/>
                <w:color w:val="auto"/>
              </w:rPr>
            </w:pPr>
            <w:r>
              <w:rPr>
                <w:rFonts w:ascii="Arial" w:cs="Arial" w:eastAsia="Arial" w:hAnsi="Arial"/>
                <w:sz w:val="14"/>
                <w:szCs w:val="14"/>
                <w:color w:val="FFFFFF"/>
              </w:rPr>
              <w:t>Have Not Vested</w:t>
            </w:r>
          </w:p>
        </w:tc>
        <w:tc>
          <w:tcPr>
            <w:tcW w:w="140" w:type="dxa"/>
            <w:vAlign w:val="bottom"/>
            <w:shd w:val="clear" w:color="auto" w:fill="0B3C61"/>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0B3C61"/>
          </w:tcPr>
          <w:p>
            <w:pPr>
              <w:spacing w:after="0"/>
              <w:rPr>
                <w:sz w:val="23"/>
                <w:szCs w:val="23"/>
                <w:color w:val="auto"/>
              </w:rPr>
            </w:pPr>
          </w:p>
        </w:tc>
        <w:tc>
          <w:tcPr>
            <w:tcW w:w="1540" w:type="dxa"/>
            <w:vAlign w:val="bottom"/>
            <w:shd w:val="clear" w:color="auto" w:fill="0B3C61"/>
          </w:tcPr>
          <w:p>
            <w:pPr>
              <w:ind w:left="80"/>
              <w:spacing w:after="0"/>
              <w:rPr>
                <w:sz w:val="20"/>
                <w:szCs w:val="20"/>
                <w:color w:val="auto"/>
              </w:rPr>
            </w:pPr>
            <w:r>
              <w:rPr>
                <w:rFonts w:ascii="Arial" w:cs="Arial" w:eastAsia="Arial" w:hAnsi="Arial"/>
                <w:sz w:val="14"/>
                <w:szCs w:val="14"/>
                <w:color w:val="FFFFFF"/>
              </w:rPr>
              <w:t>Name</w:t>
            </w:r>
          </w:p>
        </w:tc>
        <w:tc>
          <w:tcPr>
            <w:tcW w:w="80" w:type="dxa"/>
            <w:vAlign w:val="bottom"/>
            <w:shd w:val="clear" w:color="auto" w:fill="0B3C61"/>
          </w:tcPr>
          <w:p>
            <w:pPr>
              <w:spacing w:after="0"/>
              <w:rPr>
                <w:sz w:val="23"/>
                <w:szCs w:val="23"/>
                <w:color w:val="auto"/>
              </w:rPr>
            </w:pPr>
          </w:p>
        </w:tc>
        <w:tc>
          <w:tcPr>
            <w:tcW w:w="1620" w:type="dxa"/>
            <w:vAlign w:val="bottom"/>
            <w:gridSpan w:val="2"/>
            <w:shd w:val="clear" w:color="auto" w:fill="0B3C61"/>
          </w:tcPr>
          <w:p>
            <w:pPr>
              <w:ind w:left="880"/>
              <w:spacing w:after="0"/>
              <w:rPr>
                <w:sz w:val="20"/>
                <w:szCs w:val="20"/>
                <w:color w:val="auto"/>
              </w:rPr>
            </w:pPr>
            <w:r>
              <w:rPr>
                <w:rFonts w:ascii="Arial" w:cs="Arial" w:eastAsia="Arial" w:hAnsi="Arial"/>
                <w:sz w:val="14"/>
                <w:szCs w:val="14"/>
                <w:color w:val="FFFFFF"/>
              </w:rPr>
              <w:t>Grant Date</w:t>
            </w:r>
          </w:p>
        </w:tc>
        <w:tc>
          <w:tcPr>
            <w:tcW w:w="2820" w:type="dxa"/>
            <w:vAlign w:val="bottom"/>
            <w:shd w:val="clear" w:color="auto" w:fill="0B3C61"/>
          </w:tcPr>
          <w:p>
            <w:pPr>
              <w:jc w:val="center"/>
              <w:ind w:left="1388"/>
              <w:spacing w:after="0"/>
              <w:rPr>
                <w:sz w:val="20"/>
                <w:szCs w:val="20"/>
                <w:color w:val="auto"/>
              </w:rPr>
            </w:pPr>
            <w:r>
              <w:rPr>
                <w:rFonts w:ascii="Arial" w:cs="Arial" w:eastAsia="Arial" w:hAnsi="Arial"/>
                <w:sz w:val="14"/>
                <w:szCs w:val="14"/>
                <w:color w:val="FFFFFF"/>
                <w:w w:val="89"/>
              </w:rPr>
              <w:t>(#)</w:t>
            </w:r>
            <w:r>
              <w:rPr>
                <w:rFonts w:ascii="Arial" w:cs="Arial" w:eastAsia="Arial" w:hAnsi="Arial"/>
                <w:sz w:val="23"/>
                <w:szCs w:val="23"/>
                <w:color w:val="FFFFFF"/>
                <w:w w:val="89"/>
                <w:vertAlign w:val="superscript"/>
              </w:rPr>
              <w:t>(1)</w:t>
            </w:r>
          </w:p>
        </w:tc>
        <w:tc>
          <w:tcPr>
            <w:tcW w:w="3080" w:type="dxa"/>
            <w:vAlign w:val="bottom"/>
            <w:shd w:val="clear" w:color="auto" w:fill="0B3C61"/>
          </w:tcPr>
          <w:p>
            <w:pPr>
              <w:jc w:val="center"/>
              <w:ind w:left="568"/>
              <w:spacing w:after="0"/>
              <w:rPr>
                <w:sz w:val="20"/>
                <w:szCs w:val="20"/>
                <w:color w:val="auto"/>
              </w:rPr>
            </w:pPr>
            <w:r>
              <w:rPr>
                <w:rFonts w:ascii="Arial" w:cs="Arial" w:eastAsia="Arial" w:hAnsi="Arial"/>
                <w:sz w:val="14"/>
                <w:szCs w:val="14"/>
                <w:color w:val="FFFFFF"/>
                <w:w w:val="93"/>
              </w:rPr>
              <w:t>($)</w:t>
            </w:r>
          </w:p>
        </w:tc>
        <w:tc>
          <w:tcPr>
            <w:tcW w:w="140" w:type="dxa"/>
            <w:vAlign w:val="bottom"/>
            <w:shd w:val="clear" w:color="auto" w:fill="0B3C61"/>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600" w:type="dxa"/>
            <w:vAlign w:val="bottom"/>
            <w:gridSpan w:val="2"/>
          </w:tcPr>
          <w:p>
            <w:pPr>
              <w:ind w:left="940"/>
              <w:spacing w:after="0"/>
              <w:rPr>
                <w:sz w:val="20"/>
                <w:szCs w:val="20"/>
                <w:color w:val="auto"/>
              </w:rPr>
            </w:pPr>
            <w:r>
              <w:rPr>
                <w:rFonts w:ascii="Arial" w:cs="Arial" w:eastAsia="Arial" w:hAnsi="Arial"/>
                <w:sz w:val="14"/>
                <w:szCs w:val="14"/>
                <w:color w:val="54565B"/>
              </w:rPr>
              <w:t>2/22/2022</w:t>
            </w:r>
          </w:p>
        </w:tc>
        <w:tc>
          <w:tcPr>
            <w:tcW w:w="100" w:type="dxa"/>
            <w:vAlign w:val="bottom"/>
          </w:tcPr>
          <w:p>
            <w:pPr>
              <w:spacing w:after="0"/>
              <w:rPr>
                <w:sz w:val="23"/>
                <w:szCs w:val="23"/>
                <w:color w:val="auto"/>
              </w:rPr>
            </w:pPr>
          </w:p>
        </w:tc>
        <w:tc>
          <w:tcPr>
            <w:tcW w:w="2820" w:type="dxa"/>
            <w:vAlign w:val="bottom"/>
          </w:tcPr>
          <w:p>
            <w:pPr>
              <w:jc w:val="right"/>
              <w:ind w:right="328"/>
              <w:spacing w:after="0"/>
              <w:rPr>
                <w:sz w:val="20"/>
                <w:szCs w:val="20"/>
                <w:color w:val="auto"/>
              </w:rPr>
            </w:pPr>
            <w:r>
              <w:rPr>
                <w:rFonts w:ascii="Arial" w:cs="Arial" w:eastAsia="Arial" w:hAnsi="Arial"/>
                <w:sz w:val="14"/>
                <w:szCs w:val="14"/>
                <w:color w:val="54565B"/>
              </w:rPr>
              <w:t>11,200</w:t>
            </w:r>
          </w:p>
        </w:tc>
        <w:tc>
          <w:tcPr>
            <w:tcW w:w="3080" w:type="dxa"/>
            <w:vAlign w:val="bottom"/>
          </w:tcPr>
          <w:p>
            <w:pPr>
              <w:ind w:left="1520"/>
              <w:spacing w:after="0"/>
              <w:rPr>
                <w:sz w:val="20"/>
                <w:szCs w:val="20"/>
                <w:color w:val="auto"/>
              </w:rPr>
            </w:pPr>
            <w:r>
              <w:rPr>
                <w:rFonts w:ascii="Arial" w:cs="Arial" w:eastAsia="Arial" w:hAnsi="Arial"/>
                <w:sz w:val="14"/>
                <w:szCs w:val="14"/>
                <w:color w:val="54565B"/>
              </w:rPr>
              <w:t>1,530,816</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540" w:type="dxa"/>
            <w:vAlign w:val="bottom"/>
            <w:vMerge w:val="restart"/>
          </w:tcPr>
          <w:p>
            <w:pPr>
              <w:ind w:left="80"/>
              <w:spacing w:after="0"/>
              <w:rPr>
                <w:sz w:val="20"/>
                <w:szCs w:val="20"/>
                <w:color w:val="auto"/>
              </w:rPr>
            </w:pPr>
            <w:r>
              <w:rPr>
                <w:rFonts w:ascii="Arial" w:cs="Arial" w:eastAsia="Arial" w:hAnsi="Arial"/>
                <w:sz w:val="14"/>
                <w:szCs w:val="14"/>
                <w:b w:val="1"/>
                <w:bCs w:val="1"/>
                <w:color w:val="54565B"/>
              </w:rPr>
              <w:t>Carl H. Lindner III</w:t>
            </w:r>
          </w:p>
        </w:tc>
        <w:tc>
          <w:tcPr>
            <w:tcW w:w="1600" w:type="dxa"/>
            <w:vAlign w:val="bottom"/>
            <w:gridSpan w:val="2"/>
          </w:tcPr>
          <w:p>
            <w:pPr>
              <w:ind w:left="940"/>
              <w:spacing w:after="0"/>
              <w:rPr>
                <w:sz w:val="20"/>
                <w:szCs w:val="20"/>
                <w:color w:val="auto"/>
              </w:rPr>
            </w:pPr>
            <w:r>
              <w:rPr>
                <w:rFonts w:ascii="Arial" w:cs="Arial" w:eastAsia="Arial" w:hAnsi="Arial"/>
                <w:sz w:val="14"/>
                <w:szCs w:val="14"/>
                <w:color w:val="54565B"/>
              </w:rPr>
              <w:t>2/22/2023</w:t>
            </w:r>
          </w:p>
        </w:tc>
        <w:tc>
          <w:tcPr>
            <w:tcW w:w="100" w:type="dxa"/>
            <w:vAlign w:val="bottom"/>
          </w:tcPr>
          <w:p>
            <w:pPr>
              <w:spacing w:after="0"/>
              <w:rPr>
                <w:sz w:val="21"/>
                <w:szCs w:val="21"/>
                <w:color w:val="auto"/>
              </w:rPr>
            </w:pPr>
          </w:p>
        </w:tc>
        <w:tc>
          <w:tcPr>
            <w:tcW w:w="2820" w:type="dxa"/>
            <w:vAlign w:val="bottom"/>
          </w:tcPr>
          <w:p>
            <w:pPr>
              <w:jc w:val="right"/>
              <w:ind w:right="328"/>
              <w:spacing w:after="0"/>
              <w:rPr>
                <w:sz w:val="20"/>
                <w:szCs w:val="20"/>
                <w:color w:val="auto"/>
              </w:rPr>
            </w:pPr>
            <w:r>
              <w:rPr>
                <w:rFonts w:ascii="Arial" w:cs="Arial" w:eastAsia="Arial" w:hAnsi="Arial"/>
                <w:sz w:val="14"/>
                <w:szCs w:val="14"/>
                <w:color w:val="54565B"/>
              </w:rPr>
              <w:t>11,349</w:t>
            </w:r>
          </w:p>
        </w:tc>
        <w:tc>
          <w:tcPr>
            <w:tcW w:w="3080" w:type="dxa"/>
            <w:vAlign w:val="bottom"/>
          </w:tcPr>
          <w:p>
            <w:pPr>
              <w:ind w:left="1520"/>
              <w:spacing w:after="0"/>
              <w:rPr>
                <w:sz w:val="20"/>
                <w:szCs w:val="20"/>
                <w:color w:val="auto"/>
              </w:rPr>
            </w:pPr>
            <w:r>
              <w:rPr>
                <w:rFonts w:ascii="Arial" w:cs="Arial" w:eastAsia="Arial" w:hAnsi="Arial"/>
                <w:sz w:val="14"/>
                <w:szCs w:val="14"/>
                <w:color w:val="54565B"/>
              </w:rPr>
              <w:t>1,551,181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600" w:type="dxa"/>
            <w:vAlign w:val="bottom"/>
            <w:gridSpan w:val="2"/>
            <w:vMerge w:val="restart"/>
          </w:tcPr>
          <w:p>
            <w:pPr>
              <w:ind w:left="940"/>
              <w:spacing w:after="0"/>
              <w:rPr>
                <w:sz w:val="20"/>
                <w:szCs w:val="20"/>
                <w:color w:val="auto"/>
              </w:rPr>
            </w:pPr>
            <w:r>
              <w:rPr>
                <w:rFonts w:ascii="Arial" w:cs="Arial" w:eastAsia="Arial" w:hAnsi="Arial"/>
                <w:sz w:val="14"/>
                <w:szCs w:val="14"/>
                <w:color w:val="54565B"/>
              </w:rPr>
              <w:t>2/27/2024</w:t>
            </w:r>
          </w:p>
        </w:tc>
        <w:tc>
          <w:tcPr>
            <w:tcW w:w="100" w:type="dxa"/>
            <w:vAlign w:val="bottom"/>
          </w:tcPr>
          <w:p>
            <w:pPr>
              <w:spacing w:after="0"/>
              <w:rPr>
                <w:sz w:val="12"/>
                <w:szCs w:val="12"/>
                <w:color w:val="auto"/>
              </w:rPr>
            </w:pPr>
          </w:p>
        </w:tc>
        <w:tc>
          <w:tcPr>
            <w:tcW w:w="2820" w:type="dxa"/>
            <w:vAlign w:val="bottom"/>
            <w:vMerge w:val="restart"/>
          </w:tcPr>
          <w:p>
            <w:pPr>
              <w:jc w:val="right"/>
              <w:ind w:right="328"/>
              <w:spacing w:after="0"/>
              <w:rPr>
                <w:sz w:val="20"/>
                <w:szCs w:val="20"/>
                <w:color w:val="auto"/>
              </w:rPr>
            </w:pPr>
            <w:r>
              <w:rPr>
                <w:rFonts w:ascii="Arial" w:cs="Arial" w:eastAsia="Arial" w:hAnsi="Arial"/>
                <w:sz w:val="14"/>
                <w:szCs w:val="14"/>
                <w:color w:val="54565B"/>
              </w:rPr>
              <w:t>11,882</w:t>
            </w:r>
          </w:p>
        </w:tc>
        <w:tc>
          <w:tcPr>
            <w:tcW w:w="3080" w:type="dxa"/>
            <w:vAlign w:val="bottom"/>
            <w:vMerge w:val="restart"/>
          </w:tcPr>
          <w:p>
            <w:pPr>
              <w:ind w:left="1520"/>
              <w:spacing w:after="0"/>
              <w:rPr>
                <w:sz w:val="20"/>
                <w:szCs w:val="20"/>
                <w:color w:val="auto"/>
              </w:rPr>
            </w:pPr>
            <w:r>
              <w:rPr>
                <w:rFonts w:ascii="Arial" w:cs="Arial" w:eastAsia="Arial" w:hAnsi="Arial"/>
                <w:sz w:val="14"/>
                <w:szCs w:val="14"/>
                <w:color w:val="54565B"/>
              </w:rPr>
              <w:t>1,624,032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30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600" w:type="dxa"/>
            <w:vAlign w:val="bottom"/>
            <w:gridSpan w:val="2"/>
          </w:tcPr>
          <w:p>
            <w:pPr>
              <w:ind w:left="940"/>
              <w:spacing w:after="0"/>
              <w:rPr>
                <w:sz w:val="20"/>
                <w:szCs w:val="20"/>
                <w:color w:val="auto"/>
              </w:rPr>
            </w:pPr>
            <w:r>
              <w:rPr>
                <w:rFonts w:ascii="Arial" w:cs="Arial" w:eastAsia="Arial" w:hAnsi="Arial"/>
                <w:sz w:val="14"/>
                <w:szCs w:val="14"/>
                <w:color w:val="54565B"/>
              </w:rPr>
              <w:t>2/19/2025</w:t>
            </w:r>
          </w:p>
        </w:tc>
        <w:tc>
          <w:tcPr>
            <w:tcW w:w="100" w:type="dxa"/>
            <w:vAlign w:val="bottom"/>
          </w:tcPr>
          <w:p>
            <w:pPr>
              <w:spacing w:after="0"/>
              <w:rPr>
                <w:sz w:val="22"/>
                <w:szCs w:val="22"/>
                <w:color w:val="auto"/>
              </w:rPr>
            </w:pPr>
          </w:p>
        </w:tc>
        <w:tc>
          <w:tcPr>
            <w:tcW w:w="2820" w:type="dxa"/>
            <w:vAlign w:val="bottom"/>
          </w:tcPr>
          <w:p>
            <w:pPr>
              <w:jc w:val="right"/>
              <w:ind w:right="308"/>
              <w:spacing w:after="0"/>
              <w:rPr>
                <w:sz w:val="20"/>
                <w:szCs w:val="20"/>
                <w:color w:val="auto"/>
              </w:rPr>
            </w:pPr>
            <w:r>
              <w:rPr>
                <w:rFonts w:ascii="Arial" w:cs="Arial" w:eastAsia="Arial" w:hAnsi="Arial"/>
                <w:sz w:val="14"/>
                <w:szCs w:val="14"/>
                <w:color w:val="54565B"/>
              </w:rPr>
              <w:t>12,306</w:t>
            </w:r>
          </w:p>
        </w:tc>
        <w:tc>
          <w:tcPr>
            <w:tcW w:w="3080" w:type="dxa"/>
            <w:vAlign w:val="bottom"/>
          </w:tcPr>
          <w:p>
            <w:pPr>
              <w:ind w:left="1520"/>
              <w:spacing w:after="0"/>
              <w:rPr>
                <w:sz w:val="20"/>
                <w:szCs w:val="20"/>
                <w:color w:val="auto"/>
              </w:rPr>
            </w:pPr>
            <w:r>
              <w:rPr>
                <w:rFonts w:ascii="Arial" w:cs="Arial" w:eastAsia="Arial" w:hAnsi="Arial"/>
                <w:sz w:val="14"/>
                <w:szCs w:val="14"/>
                <w:color w:val="54565B"/>
              </w:rPr>
              <w:t>1,681,984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120" w:type="dxa"/>
            <w:vAlign w:val="bottom"/>
            <w:shd w:val="clear" w:color="auto" w:fill="EAF7FA"/>
          </w:tcPr>
          <w:p>
            <w:pPr>
              <w:spacing w:after="0"/>
              <w:rPr>
                <w:sz w:val="19"/>
                <w:szCs w:val="19"/>
                <w:color w:val="auto"/>
              </w:rPr>
            </w:pPr>
          </w:p>
        </w:tc>
        <w:tc>
          <w:tcPr>
            <w:tcW w:w="1540" w:type="dxa"/>
            <w:vAlign w:val="bottom"/>
            <w:shd w:val="clear" w:color="auto" w:fill="EAF7FA"/>
          </w:tcPr>
          <w:p>
            <w:pPr>
              <w:spacing w:after="0"/>
              <w:rPr>
                <w:sz w:val="19"/>
                <w:szCs w:val="19"/>
                <w:color w:val="auto"/>
              </w:rPr>
            </w:pPr>
          </w:p>
        </w:tc>
        <w:tc>
          <w:tcPr>
            <w:tcW w:w="80" w:type="dxa"/>
            <w:vAlign w:val="bottom"/>
            <w:shd w:val="clear" w:color="auto" w:fill="EAF7FA"/>
          </w:tcPr>
          <w:p>
            <w:pPr>
              <w:spacing w:after="0"/>
              <w:rPr>
                <w:sz w:val="19"/>
                <w:szCs w:val="19"/>
                <w:color w:val="auto"/>
              </w:rPr>
            </w:pPr>
          </w:p>
        </w:tc>
        <w:tc>
          <w:tcPr>
            <w:tcW w:w="1520" w:type="dxa"/>
            <w:vAlign w:val="bottom"/>
            <w:shd w:val="clear" w:color="auto" w:fill="EAF7FA"/>
          </w:tcPr>
          <w:p>
            <w:pPr>
              <w:ind w:left="860"/>
              <w:spacing w:after="0"/>
              <w:rPr>
                <w:sz w:val="20"/>
                <w:szCs w:val="20"/>
                <w:color w:val="auto"/>
              </w:rPr>
            </w:pPr>
            <w:r>
              <w:rPr>
                <w:rFonts w:ascii="Arial" w:cs="Arial" w:eastAsia="Arial" w:hAnsi="Arial"/>
                <w:sz w:val="14"/>
                <w:szCs w:val="14"/>
                <w:color w:val="54565B"/>
              </w:rPr>
              <w:t>2/22/2022</w:t>
            </w:r>
          </w:p>
        </w:tc>
        <w:tc>
          <w:tcPr>
            <w:tcW w:w="100" w:type="dxa"/>
            <w:vAlign w:val="bottom"/>
            <w:shd w:val="clear" w:color="auto" w:fill="EAF7FA"/>
          </w:tcPr>
          <w:p>
            <w:pPr>
              <w:spacing w:after="0"/>
              <w:rPr>
                <w:sz w:val="19"/>
                <w:szCs w:val="19"/>
                <w:color w:val="auto"/>
              </w:rPr>
            </w:pPr>
          </w:p>
        </w:tc>
        <w:tc>
          <w:tcPr>
            <w:tcW w:w="2820" w:type="dxa"/>
            <w:vAlign w:val="bottom"/>
            <w:shd w:val="clear" w:color="auto" w:fill="EAF7FA"/>
          </w:tcPr>
          <w:p>
            <w:pPr>
              <w:jc w:val="right"/>
              <w:ind w:right="328"/>
              <w:spacing w:after="0"/>
              <w:rPr>
                <w:sz w:val="20"/>
                <w:szCs w:val="20"/>
                <w:color w:val="auto"/>
              </w:rPr>
            </w:pPr>
            <w:r>
              <w:rPr>
                <w:rFonts w:ascii="Arial" w:cs="Arial" w:eastAsia="Arial" w:hAnsi="Arial"/>
                <w:sz w:val="14"/>
                <w:szCs w:val="14"/>
                <w:color w:val="54565B"/>
              </w:rPr>
              <w:t>11,200</w:t>
            </w:r>
          </w:p>
        </w:tc>
        <w:tc>
          <w:tcPr>
            <w:tcW w:w="3080" w:type="dxa"/>
            <w:vAlign w:val="bottom"/>
            <w:shd w:val="clear" w:color="auto" w:fill="EAF7FA"/>
          </w:tcPr>
          <w:p>
            <w:pPr>
              <w:ind w:left="1520"/>
              <w:spacing w:after="0"/>
              <w:rPr>
                <w:sz w:val="20"/>
                <w:szCs w:val="20"/>
                <w:color w:val="auto"/>
              </w:rPr>
            </w:pPr>
            <w:r>
              <w:rPr>
                <w:rFonts w:ascii="Arial" w:cs="Arial" w:eastAsia="Arial" w:hAnsi="Arial"/>
                <w:sz w:val="14"/>
                <w:szCs w:val="14"/>
                <w:color w:val="54565B"/>
              </w:rPr>
              <w:t>1,530,816</w:t>
            </w:r>
          </w:p>
        </w:tc>
        <w:tc>
          <w:tcPr>
            <w:tcW w:w="140" w:type="dxa"/>
            <w:vAlign w:val="bottom"/>
            <w:shd w:val="clear" w:color="auto" w:fill="EAF7FA"/>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20" w:type="dxa"/>
            <w:vAlign w:val="bottom"/>
            <w:shd w:val="clear" w:color="auto" w:fill="EAF7FA"/>
          </w:tcPr>
          <w:p>
            <w:pPr>
              <w:spacing w:after="0"/>
              <w:rPr>
                <w:sz w:val="22"/>
                <w:szCs w:val="22"/>
                <w:color w:val="auto"/>
              </w:rPr>
            </w:pPr>
          </w:p>
        </w:tc>
        <w:tc>
          <w:tcPr>
            <w:tcW w:w="1540" w:type="dxa"/>
            <w:vAlign w:val="bottom"/>
            <w:vMerge w:val="restart"/>
            <w:shd w:val="clear" w:color="auto" w:fill="EAF7FA"/>
          </w:tcPr>
          <w:p>
            <w:pPr>
              <w:ind w:left="80"/>
              <w:spacing w:after="0"/>
              <w:rPr>
                <w:sz w:val="20"/>
                <w:szCs w:val="20"/>
                <w:color w:val="auto"/>
              </w:rPr>
            </w:pPr>
            <w:r>
              <w:rPr>
                <w:rFonts w:ascii="Arial" w:cs="Arial" w:eastAsia="Arial" w:hAnsi="Arial"/>
                <w:sz w:val="14"/>
                <w:szCs w:val="14"/>
                <w:b w:val="1"/>
                <w:bCs w:val="1"/>
                <w:color w:val="54565B"/>
              </w:rPr>
              <w:t>S. Craig Lindner</w:t>
            </w:r>
          </w:p>
        </w:tc>
        <w:tc>
          <w:tcPr>
            <w:tcW w:w="80" w:type="dxa"/>
            <w:vAlign w:val="bottom"/>
            <w:shd w:val="clear" w:color="auto" w:fill="EAF7FA"/>
          </w:tcPr>
          <w:p>
            <w:pPr>
              <w:spacing w:after="0"/>
              <w:rPr>
                <w:sz w:val="22"/>
                <w:szCs w:val="22"/>
                <w:color w:val="auto"/>
              </w:rPr>
            </w:pPr>
          </w:p>
        </w:tc>
        <w:tc>
          <w:tcPr>
            <w:tcW w:w="1520" w:type="dxa"/>
            <w:vAlign w:val="bottom"/>
            <w:shd w:val="clear" w:color="auto" w:fill="EAF7FA"/>
          </w:tcPr>
          <w:p>
            <w:pPr>
              <w:ind w:left="860"/>
              <w:spacing w:after="0"/>
              <w:rPr>
                <w:sz w:val="20"/>
                <w:szCs w:val="20"/>
                <w:color w:val="auto"/>
              </w:rPr>
            </w:pPr>
            <w:r>
              <w:rPr>
                <w:rFonts w:ascii="Arial" w:cs="Arial" w:eastAsia="Arial" w:hAnsi="Arial"/>
                <w:sz w:val="14"/>
                <w:szCs w:val="14"/>
                <w:color w:val="54565B"/>
              </w:rPr>
              <w:t>2/22/2023</w:t>
            </w:r>
          </w:p>
        </w:tc>
        <w:tc>
          <w:tcPr>
            <w:tcW w:w="100" w:type="dxa"/>
            <w:vAlign w:val="bottom"/>
            <w:shd w:val="clear" w:color="auto" w:fill="EAF7FA"/>
          </w:tcPr>
          <w:p>
            <w:pPr>
              <w:spacing w:after="0"/>
              <w:rPr>
                <w:sz w:val="22"/>
                <w:szCs w:val="22"/>
                <w:color w:val="auto"/>
              </w:rPr>
            </w:pPr>
          </w:p>
        </w:tc>
        <w:tc>
          <w:tcPr>
            <w:tcW w:w="2820" w:type="dxa"/>
            <w:vAlign w:val="bottom"/>
            <w:shd w:val="clear" w:color="auto" w:fill="EAF7FA"/>
          </w:tcPr>
          <w:p>
            <w:pPr>
              <w:jc w:val="right"/>
              <w:ind w:right="328"/>
              <w:spacing w:after="0"/>
              <w:rPr>
                <w:sz w:val="20"/>
                <w:szCs w:val="20"/>
                <w:color w:val="auto"/>
              </w:rPr>
            </w:pPr>
            <w:r>
              <w:rPr>
                <w:rFonts w:ascii="Arial" w:cs="Arial" w:eastAsia="Arial" w:hAnsi="Arial"/>
                <w:sz w:val="14"/>
                <w:szCs w:val="14"/>
                <w:color w:val="54565B"/>
              </w:rPr>
              <w:t>11,349</w:t>
            </w:r>
          </w:p>
        </w:tc>
        <w:tc>
          <w:tcPr>
            <w:tcW w:w="3080" w:type="dxa"/>
            <w:vAlign w:val="bottom"/>
            <w:shd w:val="clear" w:color="auto" w:fill="EAF7FA"/>
          </w:tcPr>
          <w:p>
            <w:pPr>
              <w:ind w:left="1520"/>
              <w:spacing w:after="0"/>
              <w:rPr>
                <w:sz w:val="20"/>
                <w:szCs w:val="20"/>
                <w:color w:val="auto"/>
              </w:rPr>
            </w:pPr>
            <w:r>
              <w:rPr>
                <w:rFonts w:ascii="Arial" w:cs="Arial" w:eastAsia="Arial" w:hAnsi="Arial"/>
                <w:sz w:val="14"/>
                <w:szCs w:val="14"/>
                <w:color w:val="54565B"/>
              </w:rPr>
              <w:t>1,551,181</w:t>
            </w:r>
          </w:p>
        </w:tc>
        <w:tc>
          <w:tcPr>
            <w:tcW w:w="140" w:type="dxa"/>
            <w:vAlign w:val="bottom"/>
            <w:shd w:val="clear" w:color="auto" w:fill="EAF7FA"/>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20" w:type="dxa"/>
            <w:vAlign w:val="bottom"/>
            <w:shd w:val="clear" w:color="auto" w:fill="EAF7FA"/>
          </w:tcPr>
          <w:p>
            <w:pPr>
              <w:spacing w:after="0"/>
              <w:rPr>
                <w:sz w:val="11"/>
                <w:szCs w:val="11"/>
                <w:color w:val="auto"/>
              </w:rPr>
            </w:pPr>
          </w:p>
        </w:tc>
        <w:tc>
          <w:tcPr>
            <w:tcW w:w="1540" w:type="dxa"/>
            <w:vAlign w:val="bottom"/>
            <w:vMerge w:val="continue"/>
            <w:shd w:val="clear" w:color="auto" w:fill="EAF7FA"/>
          </w:tcPr>
          <w:p>
            <w:pPr>
              <w:spacing w:after="0"/>
              <w:rPr>
                <w:sz w:val="11"/>
                <w:szCs w:val="11"/>
                <w:color w:val="auto"/>
              </w:rPr>
            </w:pPr>
          </w:p>
        </w:tc>
        <w:tc>
          <w:tcPr>
            <w:tcW w:w="80" w:type="dxa"/>
            <w:vAlign w:val="bottom"/>
            <w:shd w:val="clear" w:color="auto" w:fill="EAF7FA"/>
          </w:tcPr>
          <w:p>
            <w:pPr>
              <w:spacing w:after="0"/>
              <w:rPr>
                <w:sz w:val="11"/>
                <w:szCs w:val="11"/>
                <w:color w:val="auto"/>
              </w:rPr>
            </w:pPr>
          </w:p>
        </w:tc>
        <w:tc>
          <w:tcPr>
            <w:tcW w:w="1520" w:type="dxa"/>
            <w:vAlign w:val="bottom"/>
            <w:vMerge w:val="restart"/>
            <w:shd w:val="clear" w:color="auto" w:fill="EAF7FA"/>
          </w:tcPr>
          <w:p>
            <w:pPr>
              <w:ind w:left="860"/>
              <w:spacing w:after="0"/>
              <w:rPr>
                <w:sz w:val="20"/>
                <w:szCs w:val="20"/>
                <w:color w:val="auto"/>
              </w:rPr>
            </w:pPr>
            <w:r>
              <w:rPr>
                <w:rFonts w:ascii="Arial" w:cs="Arial" w:eastAsia="Arial" w:hAnsi="Arial"/>
                <w:sz w:val="14"/>
                <w:szCs w:val="14"/>
                <w:color w:val="54565B"/>
              </w:rPr>
              <w:t>2/27/2024</w:t>
            </w:r>
          </w:p>
        </w:tc>
        <w:tc>
          <w:tcPr>
            <w:tcW w:w="100" w:type="dxa"/>
            <w:vAlign w:val="bottom"/>
            <w:shd w:val="clear" w:color="auto" w:fill="EAF7FA"/>
          </w:tcPr>
          <w:p>
            <w:pPr>
              <w:spacing w:after="0"/>
              <w:rPr>
                <w:sz w:val="11"/>
                <w:szCs w:val="11"/>
                <w:color w:val="auto"/>
              </w:rPr>
            </w:pPr>
          </w:p>
        </w:tc>
        <w:tc>
          <w:tcPr>
            <w:tcW w:w="2820" w:type="dxa"/>
            <w:vAlign w:val="bottom"/>
            <w:vMerge w:val="restart"/>
            <w:shd w:val="clear" w:color="auto" w:fill="EAF7FA"/>
          </w:tcPr>
          <w:p>
            <w:pPr>
              <w:jc w:val="right"/>
              <w:ind w:right="328"/>
              <w:spacing w:after="0"/>
              <w:rPr>
                <w:sz w:val="20"/>
                <w:szCs w:val="20"/>
                <w:color w:val="auto"/>
              </w:rPr>
            </w:pPr>
            <w:r>
              <w:rPr>
                <w:rFonts w:ascii="Arial" w:cs="Arial" w:eastAsia="Arial" w:hAnsi="Arial"/>
                <w:sz w:val="14"/>
                <w:szCs w:val="14"/>
                <w:color w:val="54565B"/>
              </w:rPr>
              <w:t>11,882</w:t>
            </w:r>
          </w:p>
        </w:tc>
        <w:tc>
          <w:tcPr>
            <w:tcW w:w="3080" w:type="dxa"/>
            <w:vAlign w:val="bottom"/>
            <w:vMerge w:val="restart"/>
            <w:shd w:val="clear" w:color="auto" w:fill="EAF7FA"/>
          </w:tcPr>
          <w:p>
            <w:pPr>
              <w:ind w:left="1520"/>
              <w:spacing w:after="0"/>
              <w:rPr>
                <w:sz w:val="20"/>
                <w:szCs w:val="20"/>
                <w:color w:val="auto"/>
              </w:rPr>
            </w:pPr>
            <w:r>
              <w:rPr>
                <w:rFonts w:ascii="Arial" w:cs="Arial" w:eastAsia="Arial" w:hAnsi="Arial"/>
                <w:sz w:val="14"/>
                <w:szCs w:val="14"/>
                <w:color w:val="54565B"/>
              </w:rPr>
              <w:t>1,624,032</w:t>
            </w:r>
          </w:p>
        </w:tc>
        <w:tc>
          <w:tcPr>
            <w:tcW w:w="140" w:type="dxa"/>
            <w:vAlign w:val="bottom"/>
            <w:shd w:val="clear" w:color="auto" w:fill="EAF7FA"/>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0" w:type="dxa"/>
            <w:vAlign w:val="bottom"/>
            <w:shd w:val="clear" w:color="auto" w:fill="EAF7FA"/>
          </w:tcPr>
          <w:p>
            <w:pPr>
              <w:spacing w:after="0"/>
              <w:rPr>
                <w:sz w:val="11"/>
                <w:szCs w:val="11"/>
                <w:color w:val="auto"/>
              </w:rPr>
            </w:pPr>
          </w:p>
        </w:tc>
        <w:tc>
          <w:tcPr>
            <w:tcW w:w="1540" w:type="dxa"/>
            <w:vAlign w:val="bottom"/>
            <w:shd w:val="clear" w:color="auto" w:fill="EAF7FA"/>
          </w:tcPr>
          <w:p>
            <w:pPr>
              <w:spacing w:after="0"/>
              <w:rPr>
                <w:sz w:val="11"/>
                <w:szCs w:val="11"/>
                <w:color w:val="auto"/>
              </w:rPr>
            </w:pPr>
          </w:p>
        </w:tc>
        <w:tc>
          <w:tcPr>
            <w:tcW w:w="80" w:type="dxa"/>
            <w:vAlign w:val="bottom"/>
            <w:shd w:val="clear" w:color="auto" w:fill="EAF7FA"/>
          </w:tcPr>
          <w:p>
            <w:pPr>
              <w:spacing w:after="0"/>
              <w:rPr>
                <w:sz w:val="11"/>
                <w:szCs w:val="11"/>
                <w:color w:val="auto"/>
              </w:rPr>
            </w:pPr>
          </w:p>
        </w:tc>
        <w:tc>
          <w:tcPr>
            <w:tcW w:w="1520" w:type="dxa"/>
            <w:vAlign w:val="bottom"/>
            <w:vMerge w:val="continue"/>
            <w:shd w:val="clear" w:color="auto" w:fill="EAF7FA"/>
          </w:tcPr>
          <w:p>
            <w:pPr>
              <w:spacing w:after="0"/>
              <w:rPr>
                <w:sz w:val="11"/>
                <w:szCs w:val="11"/>
                <w:color w:val="auto"/>
              </w:rPr>
            </w:pPr>
          </w:p>
        </w:tc>
        <w:tc>
          <w:tcPr>
            <w:tcW w:w="100" w:type="dxa"/>
            <w:vAlign w:val="bottom"/>
            <w:shd w:val="clear" w:color="auto" w:fill="EAF7FA"/>
          </w:tcPr>
          <w:p>
            <w:pPr>
              <w:spacing w:after="0"/>
              <w:rPr>
                <w:sz w:val="11"/>
                <w:szCs w:val="11"/>
                <w:color w:val="auto"/>
              </w:rPr>
            </w:pPr>
          </w:p>
        </w:tc>
        <w:tc>
          <w:tcPr>
            <w:tcW w:w="2820" w:type="dxa"/>
            <w:vAlign w:val="bottom"/>
            <w:vMerge w:val="continue"/>
            <w:shd w:val="clear" w:color="auto" w:fill="EAF7FA"/>
          </w:tcPr>
          <w:p>
            <w:pPr>
              <w:spacing w:after="0"/>
              <w:rPr>
                <w:sz w:val="11"/>
                <w:szCs w:val="11"/>
                <w:color w:val="auto"/>
              </w:rPr>
            </w:pPr>
          </w:p>
        </w:tc>
        <w:tc>
          <w:tcPr>
            <w:tcW w:w="3080" w:type="dxa"/>
            <w:vAlign w:val="bottom"/>
            <w:vMerge w:val="continue"/>
            <w:shd w:val="clear" w:color="auto" w:fill="EAF7FA"/>
          </w:tcPr>
          <w:p>
            <w:pPr>
              <w:spacing w:after="0"/>
              <w:rPr>
                <w:sz w:val="11"/>
                <w:szCs w:val="11"/>
                <w:color w:val="auto"/>
              </w:rPr>
            </w:pPr>
          </w:p>
        </w:tc>
        <w:tc>
          <w:tcPr>
            <w:tcW w:w="140" w:type="dxa"/>
            <w:vAlign w:val="bottom"/>
            <w:shd w:val="clear" w:color="auto" w:fill="EAF7FA"/>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120" w:type="dxa"/>
            <w:vAlign w:val="bottom"/>
            <w:tcBorders>
              <w:bottom w:val="single" w:sz="8" w:color="EAF7FA"/>
            </w:tcBorders>
            <w:shd w:val="clear" w:color="auto" w:fill="EAF7FA"/>
          </w:tcPr>
          <w:p>
            <w:pPr>
              <w:spacing w:after="0"/>
              <w:rPr>
                <w:sz w:val="23"/>
                <w:szCs w:val="23"/>
                <w:color w:val="auto"/>
              </w:rPr>
            </w:pPr>
          </w:p>
        </w:tc>
        <w:tc>
          <w:tcPr>
            <w:tcW w:w="1540" w:type="dxa"/>
            <w:vAlign w:val="bottom"/>
            <w:tcBorders>
              <w:bottom w:val="single" w:sz="8" w:color="EAF7FA"/>
            </w:tcBorders>
            <w:shd w:val="clear" w:color="auto" w:fill="EAF7FA"/>
          </w:tcPr>
          <w:p>
            <w:pPr>
              <w:spacing w:after="0"/>
              <w:rPr>
                <w:sz w:val="23"/>
                <w:szCs w:val="23"/>
                <w:color w:val="auto"/>
              </w:rPr>
            </w:pPr>
          </w:p>
        </w:tc>
        <w:tc>
          <w:tcPr>
            <w:tcW w:w="80" w:type="dxa"/>
            <w:vAlign w:val="bottom"/>
            <w:tcBorders>
              <w:bottom w:val="single" w:sz="8" w:color="EAF7FA"/>
            </w:tcBorders>
            <w:shd w:val="clear" w:color="auto" w:fill="EAF7FA"/>
          </w:tcPr>
          <w:p>
            <w:pPr>
              <w:spacing w:after="0"/>
              <w:rPr>
                <w:sz w:val="23"/>
                <w:szCs w:val="23"/>
                <w:color w:val="auto"/>
              </w:rPr>
            </w:pPr>
          </w:p>
        </w:tc>
        <w:tc>
          <w:tcPr>
            <w:tcW w:w="1520" w:type="dxa"/>
            <w:vAlign w:val="bottom"/>
            <w:tcBorders>
              <w:bottom w:val="single" w:sz="8" w:color="EAF7FA"/>
            </w:tcBorders>
            <w:shd w:val="clear" w:color="auto" w:fill="EAF7FA"/>
          </w:tcPr>
          <w:p>
            <w:pPr>
              <w:ind w:left="860"/>
              <w:spacing w:after="0"/>
              <w:rPr>
                <w:sz w:val="20"/>
                <w:szCs w:val="20"/>
                <w:color w:val="auto"/>
              </w:rPr>
            </w:pPr>
            <w:r>
              <w:rPr>
                <w:rFonts w:ascii="Arial" w:cs="Arial" w:eastAsia="Arial" w:hAnsi="Arial"/>
                <w:sz w:val="14"/>
                <w:szCs w:val="14"/>
                <w:color w:val="54565B"/>
              </w:rPr>
              <w:t>2/19/2025</w:t>
            </w:r>
          </w:p>
        </w:tc>
        <w:tc>
          <w:tcPr>
            <w:tcW w:w="100" w:type="dxa"/>
            <w:vAlign w:val="bottom"/>
            <w:tcBorders>
              <w:bottom w:val="single" w:sz="8" w:color="EAF7FA"/>
            </w:tcBorders>
            <w:shd w:val="clear" w:color="auto" w:fill="EAF7FA"/>
          </w:tcPr>
          <w:p>
            <w:pPr>
              <w:spacing w:after="0"/>
              <w:rPr>
                <w:sz w:val="23"/>
                <w:szCs w:val="23"/>
                <w:color w:val="auto"/>
              </w:rPr>
            </w:pPr>
          </w:p>
        </w:tc>
        <w:tc>
          <w:tcPr>
            <w:tcW w:w="2820" w:type="dxa"/>
            <w:vAlign w:val="bottom"/>
            <w:tcBorders>
              <w:bottom w:val="single" w:sz="8" w:color="EAF7FA"/>
            </w:tcBorders>
            <w:shd w:val="clear" w:color="auto" w:fill="EAF7FA"/>
          </w:tcPr>
          <w:p>
            <w:pPr>
              <w:jc w:val="right"/>
              <w:ind w:right="308"/>
              <w:spacing w:after="0"/>
              <w:rPr>
                <w:sz w:val="20"/>
                <w:szCs w:val="20"/>
                <w:color w:val="auto"/>
              </w:rPr>
            </w:pPr>
            <w:r>
              <w:rPr>
                <w:rFonts w:ascii="Arial" w:cs="Arial" w:eastAsia="Arial" w:hAnsi="Arial"/>
                <w:sz w:val="14"/>
                <w:szCs w:val="14"/>
                <w:color w:val="54565B"/>
              </w:rPr>
              <w:t>12,306</w:t>
            </w:r>
          </w:p>
        </w:tc>
        <w:tc>
          <w:tcPr>
            <w:tcW w:w="3080" w:type="dxa"/>
            <w:vAlign w:val="bottom"/>
            <w:tcBorders>
              <w:bottom w:val="single" w:sz="8" w:color="EAF7FA"/>
            </w:tcBorders>
            <w:shd w:val="clear" w:color="auto" w:fill="EAF7FA"/>
          </w:tcPr>
          <w:p>
            <w:pPr>
              <w:ind w:left="1520"/>
              <w:spacing w:after="0"/>
              <w:rPr>
                <w:sz w:val="20"/>
                <w:szCs w:val="20"/>
                <w:color w:val="auto"/>
              </w:rPr>
            </w:pPr>
            <w:r>
              <w:rPr>
                <w:rFonts w:ascii="Arial" w:cs="Arial" w:eastAsia="Arial" w:hAnsi="Arial"/>
                <w:sz w:val="14"/>
                <w:szCs w:val="14"/>
                <w:color w:val="54565B"/>
              </w:rPr>
              <w:t>1,681,984</w:t>
            </w:r>
          </w:p>
        </w:tc>
        <w:tc>
          <w:tcPr>
            <w:tcW w:w="140" w:type="dxa"/>
            <w:vAlign w:val="bottom"/>
            <w:tcBorders>
              <w:bottom w:val="single" w:sz="8" w:color="EAF7FA"/>
            </w:tcBorders>
            <w:shd w:val="clear" w:color="auto" w:fill="EAF7FA"/>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0" w:type="dxa"/>
            <w:vAlign w:val="bottom"/>
            <w:gridSpan w:val="2"/>
          </w:tcPr>
          <w:p>
            <w:pPr>
              <w:ind w:left="940"/>
              <w:spacing w:after="0"/>
              <w:rPr>
                <w:sz w:val="20"/>
                <w:szCs w:val="20"/>
                <w:color w:val="auto"/>
              </w:rPr>
            </w:pPr>
            <w:r>
              <w:rPr>
                <w:rFonts w:ascii="Arial" w:cs="Arial" w:eastAsia="Arial" w:hAnsi="Arial"/>
                <w:sz w:val="14"/>
                <w:szCs w:val="14"/>
                <w:color w:val="54565B"/>
              </w:rPr>
              <w:t>2/22/2022</w:t>
            </w:r>
          </w:p>
        </w:tc>
        <w:tc>
          <w:tcPr>
            <w:tcW w:w="100" w:type="dxa"/>
            <w:vAlign w:val="bottom"/>
          </w:tcPr>
          <w:p>
            <w:pPr>
              <w:spacing w:after="0"/>
              <w:rPr>
                <w:sz w:val="19"/>
                <w:szCs w:val="19"/>
                <w:color w:val="auto"/>
              </w:rPr>
            </w:pPr>
          </w:p>
        </w:tc>
        <w:tc>
          <w:tcPr>
            <w:tcW w:w="2820" w:type="dxa"/>
            <w:vAlign w:val="bottom"/>
          </w:tcPr>
          <w:p>
            <w:pPr>
              <w:jc w:val="right"/>
              <w:ind w:right="328"/>
              <w:spacing w:after="0"/>
              <w:rPr>
                <w:sz w:val="20"/>
                <w:szCs w:val="20"/>
                <w:color w:val="auto"/>
              </w:rPr>
            </w:pPr>
            <w:r>
              <w:rPr>
                <w:rFonts w:ascii="Arial" w:cs="Arial" w:eastAsia="Arial" w:hAnsi="Arial"/>
                <w:sz w:val="14"/>
                <w:szCs w:val="14"/>
                <w:color w:val="54565B"/>
              </w:rPr>
              <w:t>7,093</w:t>
            </w:r>
          </w:p>
        </w:tc>
        <w:tc>
          <w:tcPr>
            <w:tcW w:w="3080" w:type="dxa"/>
            <w:vAlign w:val="bottom"/>
          </w:tcPr>
          <w:p>
            <w:pPr>
              <w:ind w:left="1620"/>
              <w:spacing w:after="0"/>
              <w:rPr>
                <w:sz w:val="20"/>
                <w:szCs w:val="20"/>
                <w:color w:val="auto"/>
              </w:rPr>
            </w:pPr>
            <w:r>
              <w:rPr>
                <w:rFonts w:ascii="Arial" w:cs="Arial" w:eastAsia="Arial" w:hAnsi="Arial"/>
                <w:sz w:val="14"/>
                <w:szCs w:val="14"/>
                <w:color w:val="54565B"/>
              </w:rPr>
              <w:t>969,471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600" w:type="dxa"/>
            <w:vAlign w:val="bottom"/>
            <w:gridSpan w:val="2"/>
          </w:tcPr>
          <w:p>
            <w:pPr>
              <w:ind w:left="940"/>
              <w:spacing w:after="0"/>
              <w:rPr>
                <w:sz w:val="20"/>
                <w:szCs w:val="20"/>
                <w:color w:val="auto"/>
              </w:rPr>
            </w:pPr>
            <w:r>
              <w:rPr>
                <w:rFonts w:ascii="Arial" w:cs="Arial" w:eastAsia="Arial" w:hAnsi="Arial"/>
                <w:sz w:val="14"/>
                <w:szCs w:val="14"/>
                <w:color w:val="54565B"/>
              </w:rPr>
              <w:t>2/22/2023</w:t>
            </w:r>
          </w:p>
        </w:tc>
        <w:tc>
          <w:tcPr>
            <w:tcW w:w="100" w:type="dxa"/>
            <w:vAlign w:val="bottom"/>
          </w:tcPr>
          <w:p>
            <w:pPr>
              <w:spacing w:after="0"/>
              <w:rPr>
                <w:sz w:val="22"/>
                <w:szCs w:val="22"/>
                <w:color w:val="auto"/>
              </w:rPr>
            </w:pPr>
          </w:p>
        </w:tc>
        <w:tc>
          <w:tcPr>
            <w:tcW w:w="2820" w:type="dxa"/>
            <w:vAlign w:val="bottom"/>
          </w:tcPr>
          <w:p>
            <w:pPr>
              <w:jc w:val="right"/>
              <w:ind w:right="328"/>
              <w:spacing w:after="0"/>
              <w:rPr>
                <w:sz w:val="20"/>
                <w:szCs w:val="20"/>
                <w:color w:val="auto"/>
              </w:rPr>
            </w:pPr>
            <w:r>
              <w:rPr>
                <w:rFonts w:ascii="Arial" w:cs="Arial" w:eastAsia="Arial" w:hAnsi="Arial"/>
                <w:sz w:val="14"/>
                <w:szCs w:val="14"/>
                <w:color w:val="54565B"/>
              </w:rPr>
              <w:t>8,512</w:t>
            </w:r>
          </w:p>
        </w:tc>
        <w:tc>
          <w:tcPr>
            <w:tcW w:w="3080" w:type="dxa"/>
            <w:vAlign w:val="bottom"/>
          </w:tcPr>
          <w:p>
            <w:pPr>
              <w:ind w:left="1520"/>
              <w:spacing w:after="0"/>
              <w:rPr>
                <w:sz w:val="20"/>
                <w:szCs w:val="20"/>
                <w:color w:val="auto"/>
              </w:rPr>
            </w:pPr>
            <w:r>
              <w:rPr>
                <w:rFonts w:ascii="Arial" w:cs="Arial" w:eastAsia="Arial" w:hAnsi="Arial"/>
                <w:sz w:val="14"/>
                <w:szCs w:val="14"/>
                <w:color w:val="54565B"/>
              </w:rPr>
              <w:t>1,163,420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1540" w:type="dxa"/>
            <w:vAlign w:val="bottom"/>
          </w:tcPr>
          <w:p>
            <w:pPr>
              <w:ind w:left="80"/>
              <w:spacing w:after="0"/>
              <w:rPr>
                <w:sz w:val="20"/>
                <w:szCs w:val="20"/>
                <w:color w:val="auto"/>
              </w:rPr>
            </w:pPr>
            <w:r>
              <w:rPr>
                <w:rFonts w:ascii="Arial" w:cs="Arial" w:eastAsia="Arial" w:hAnsi="Arial"/>
                <w:sz w:val="14"/>
                <w:szCs w:val="14"/>
                <w:b w:val="1"/>
                <w:bCs w:val="1"/>
                <w:color w:val="54565B"/>
              </w:rPr>
              <w:t>John B. Berding</w:t>
            </w:r>
          </w:p>
        </w:tc>
        <w:tc>
          <w:tcPr>
            <w:tcW w:w="1600" w:type="dxa"/>
            <w:vAlign w:val="bottom"/>
            <w:gridSpan w:val="2"/>
          </w:tcPr>
          <w:p>
            <w:pPr>
              <w:ind w:left="940"/>
              <w:spacing w:after="0"/>
              <w:rPr>
                <w:sz w:val="20"/>
                <w:szCs w:val="20"/>
                <w:color w:val="auto"/>
              </w:rPr>
            </w:pPr>
            <w:r>
              <w:rPr>
                <w:rFonts w:ascii="Arial" w:cs="Arial" w:eastAsia="Arial" w:hAnsi="Arial"/>
                <w:sz w:val="14"/>
                <w:szCs w:val="14"/>
                <w:color w:val="54565B"/>
              </w:rPr>
              <w:t>6/26/2023</w:t>
            </w:r>
          </w:p>
        </w:tc>
        <w:tc>
          <w:tcPr>
            <w:tcW w:w="100" w:type="dxa"/>
            <w:vAlign w:val="bottom"/>
          </w:tcPr>
          <w:p>
            <w:pPr>
              <w:spacing w:after="0"/>
              <w:rPr>
                <w:sz w:val="22"/>
                <w:szCs w:val="22"/>
                <w:color w:val="auto"/>
              </w:rPr>
            </w:pPr>
          </w:p>
        </w:tc>
        <w:tc>
          <w:tcPr>
            <w:tcW w:w="2820" w:type="dxa"/>
            <w:vAlign w:val="bottom"/>
          </w:tcPr>
          <w:p>
            <w:pPr>
              <w:jc w:val="right"/>
              <w:ind w:right="328"/>
              <w:spacing w:after="0"/>
              <w:rPr>
                <w:sz w:val="20"/>
                <w:szCs w:val="20"/>
                <w:color w:val="auto"/>
              </w:rPr>
            </w:pPr>
            <w:r>
              <w:rPr>
                <w:rFonts w:ascii="Arial" w:cs="Arial" w:eastAsia="Arial" w:hAnsi="Arial"/>
                <w:sz w:val="14"/>
                <w:szCs w:val="14"/>
                <w:color w:val="54565B"/>
              </w:rPr>
              <w:t>17,114</w:t>
            </w:r>
          </w:p>
        </w:tc>
        <w:tc>
          <w:tcPr>
            <w:tcW w:w="3080" w:type="dxa"/>
            <w:vAlign w:val="bottom"/>
          </w:tcPr>
          <w:p>
            <w:pPr>
              <w:ind w:left="1520"/>
              <w:spacing w:after="0"/>
              <w:rPr>
                <w:sz w:val="20"/>
                <w:szCs w:val="20"/>
                <w:color w:val="auto"/>
              </w:rPr>
            </w:pPr>
            <w:r>
              <w:rPr>
                <w:rFonts w:ascii="Arial" w:cs="Arial" w:eastAsia="Arial" w:hAnsi="Arial"/>
                <w:sz w:val="14"/>
                <w:szCs w:val="14"/>
                <w:color w:val="54565B"/>
              </w:rPr>
              <w:t>2,339,142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0" w:type="dxa"/>
            <w:vAlign w:val="bottom"/>
            <w:gridSpan w:val="2"/>
          </w:tcPr>
          <w:p>
            <w:pPr>
              <w:ind w:left="940"/>
              <w:spacing w:after="0"/>
              <w:rPr>
                <w:sz w:val="20"/>
                <w:szCs w:val="20"/>
                <w:color w:val="auto"/>
              </w:rPr>
            </w:pPr>
            <w:r>
              <w:rPr>
                <w:rFonts w:ascii="Arial" w:cs="Arial" w:eastAsia="Arial" w:hAnsi="Arial"/>
                <w:sz w:val="14"/>
                <w:szCs w:val="14"/>
                <w:color w:val="54565B"/>
              </w:rPr>
              <w:t>2/27/2024</w:t>
            </w:r>
          </w:p>
        </w:tc>
        <w:tc>
          <w:tcPr>
            <w:tcW w:w="100" w:type="dxa"/>
            <w:vAlign w:val="bottom"/>
          </w:tcPr>
          <w:p>
            <w:pPr>
              <w:spacing w:after="0"/>
              <w:rPr>
                <w:sz w:val="21"/>
                <w:szCs w:val="21"/>
                <w:color w:val="auto"/>
              </w:rPr>
            </w:pPr>
          </w:p>
        </w:tc>
        <w:tc>
          <w:tcPr>
            <w:tcW w:w="2820" w:type="dxa"/>
            <w:vAlign w:val="bottom"/>
          </w:tcPr>
          <w:p>
            <w:pPr>
              <w:jc w:val="right"/>
              <w:ind w:right="328"/>
              <w:spacing w:after="0"/>
              <w:rPr>
                <w:sz w:val="20"/>
                <w:szCs w:val="20"/>
                <w:color w:val="auto"/>
              </w:rPr>
            </w:pPr>
            <w:r>
              <w:rPr>
                <w:rFonts w:ascii="Arial" w:cs="Arial" w:eastAsia="Arial" w:hAnsi="Arial"/>
                <w:sz w:val="14"/>
                <w:szCs w:val="14"/>
                <w:color w:val="54565B"/>
              </w:rPr>
              <w:t>8,912</w:t>
            </w:r>
          </w:p>
        </w:tc>
        <w:tc>
          <w:tcPr>
            <w:tcW w:w="3080" w:type="dxa"/>
            <w:vAlign w:val="bottom"/>
          </w:tcPr>
          <w:p>
            <w:pPr>
              <w:ind w:left="1520"/>
              <w:spacing w:after="0"/>
              <w:rPr>
                <w:sz w:val="20"/>
                <w:szCs w:val="20"/>
                <w:color w:val="auto"/>
              </w:rPr>
            </w:pPr>
            <w:r>
              <w:rPr>
                <w:rFonts w:ascii="Arial" w:cs="Arial" w:eastAsia="Arial" w:hAnsi="Arial"/>
                <w:sz w:val="14"/>
                <w:szCs w:val="14"/>
                <w:color w:val="54565B"/>
              </w:rPr>
              <w:t>1,218,092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600" w:type="dxa"/>
            <w:vAlign w:val="bottom"/>
            <w:gridSpan w:val="2"/>
          </w:tcPr>
          <w:p>
            <w:pPr>
              <w:ind w:left="940"/>
              <w:spacing w:after="0"/>
              <w:rPr>
                <w:sz w:val="20"/>
                <w:szCs w:val="20"/>
                <w:color w:val="auto"/>
              </w:rPr>
            </w:pPr>
            <w:r>
              <w:rPr>
                <w:rFonts w:ascii="Arial" w:cs="Arial" w:eastAsia="Arial" w:hAnsi="Arial"/>
                <w:sz w:val="14"/>
                <w:szCs w:val="14"/>
                <w:color w:val="54565B"/>
              </w:rPr>
              <w:t>2/19/2025</w:t>
            </w:r>
          </w:p>
        </w:tc>
        <w:tc>
          <w:tcPr>
            <w:tcW w:w="100" w:type="dxa"/>
            <w:vAlign w:val="bottom"/>
          </w:tcPr>
          <w:p>
            <w:pPr>
              <w:spacing w:after="0"/>
              <w:rPr>
                <w:sz w:val="22"/>
                <w:szCs w:val="22"/>
                <w:color w:val="auto"/>
              </w:rPr>
            </w:pPr>
          </w:p>
        </w:tc>
        <w:tc>
          <w:tcPr>
            <w:tcW w:w="2820" w:type="dxa"/>
            <w:vAlign w:val="bottom"/>
          </w:tcPr>
          <w:p>
            <w:pPr>
              <w:jc w:val="right"/>
              <w:ind w:right="328"/>
              <w:spacing w:after="0"/>
              <w:rPr>
                <w:sz w:val="20"/>
                <w:szCs w:val="20"/>
                <w:color w:val="auto"/>
              </w:rPr>
            </w:pPr>
            <w:r>
              <w:rPr>
                <w:rFonts w:ascii="Arial" w:cs="Arial" w:eastAsia="Arial" w:hAnsi="Arial"/>
                <w:sz w:val="14"/>
                <w:szCs w:val="14"/>
                <w:color w:val="54565B"/>
              </w:rPr>
              <w:t>9,640</w:t>
            </w:r>
          </w:p>
        </w:tc>
        <w:tc>
          <w:tcPr>
            <w:tcW w:w="3080" w:type="dxa"/>
            <w:vAlign w:val="bottom"/>
          </w:tcPr>
          <w:p>
            <w:pPr>
              <w:ind w:left="1520"/>
              <w:spacing w:after="0"/>
              <w:rPr>
                <w:sz w:val="20"/>
                <w:szCs w:val="20"/>
                <w:color w:val="auto"/>
              </w:rPr>
            </w:pPr>
            <w:r>
              <w:rPr>
                <w:rFonts w:ascii="Arial" w:cs="Arial" w:eastAsia="Arial" w:hAnsi="Arial"/>
                <w:sz w:val="14"/>
                <w:szCs w:val="14"/>
                <w:color w:val="54565B"/>
              </w:rPr>
              <w:t>1,317,595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6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32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120" w:type="dxa"/>
            <w:vAlign w:val="bottom"/>
            <w:shd w:val="clear" w:color="auto" w:fill="EAF7FA"/>
          </w:tcPr>
          <w:p>
            <w:pPr>
              <w:spacing w:after="0"/>
              <w:rPr>
                <w:sz w:val="19"/>
                <w:szCs w:val="19"/>
                <w:color w:val="auto"/>
              </w:rPr>
            </w:pPr>
          </w:p>
        </w:tc>
        <w:tc>
          <w:tcPr>
            <w:tcW w:w="1540" w:type="dxa"/>
            <w:vAlign w:val="bottom"/>
            <w:shd w:val="clear" w:color="auto" w:fill="EAF7FA"/>
          </w:tcPr>
          <w:p>
            <w:pPr>
              <w:spacing w:after="0"/>
              <w:rPr>
                <w:sz w:val="19"/>
                <w:szCs w:val="19"/>
                <w:color w:val="auto"/>
              </w:rPr>
            </w:pPr>
          </w:p>
        </w:tc>
        <w:tc>
          <w:tcPr>
            <w:tcW w:w="80" w:type="dxa"/>
            <w:vAlign w:val="bottom"/>
            <w:shd w:val="clear" w:color="auto" w:fill="EAF7FA"/>
          </w:tcPr>
          <w:p>
            <w:pPr>
              <w:spacing w:after="0"/>
              <w:rPr>
                <w:sz w:val="19"/>
                <w:szCs w:val="19"/>
                <w:color w:val="auto"/>
              </w:rPr>
            </w:pPr>
          </w:p>
        </w:tc>
        <w:tc>
          <w:tcPr>
            <w:tcW w:w="1520" w:type="dxa"/>
            <w:vAlign w:val="bottom"/>
            <w:shd w:val="clear" w:color="auto" w:fill="EAF7FA"/>
          </w:tcPr>
          <w:p>
            <w:pPr>
              <w:ind w:left="860"/>
              <w:spacing w:after="0"/>
              <w:rPr>
                <w:sz w:val="20"/>
                <w:szCs w:val="20"/>
                <w:color w:val="auto"/>
              </w:rPr>
            </w:pPr>
            <w:r>
              <w:rPr>
                <w:rFonts w:ascii="Arial" w:cs="Arial" w:eastAsia="Arial" w:hAnsi="Arial"/>
                <w:sz w:val="14"/>
                <w:szCs w:val="14"/>
                <w:color w:val="54565B"/>
              </w:rPr>
              <w:t>2/22/2022</w:t>
            </w:r>
          </w:p>
        </w:tc>
        <w:tc>
          <w:tcPr>
            <w:tcW w:w="100" w:type="dxa"/>
            <w:vAlign w:val="bottom"/>
            <w:shd w:val="clear" w:color="auto" w:fill="EAF7FA"/>
          </w:tcPr>
          <w:p>
            <w:pPr>
              <w:spacing w:after="0"/>
              <w:rPr>
                <w:sz w:val="19"/>
                <w:szCs w:val="19"/>
                <w:color w:val="auto"/>
              </w:rPr>
            </w:pPr>
          </w:p>
        </w:tc>
        <w:tc>
          <w:tcPr>
            <w:tcW w:w="2820" w:type="dxa"/>
            <w:vAlign w:val="bottom"/>
            <w:shd w:val="clear" w:color="auto" w:fill="EAF7FA"/>
          </w:tcPr>
          <w:p>
            <w:pPr>
              <w:jc w:val="right"/>
              <w:ind w:right="328"/>
              <w:spacing w:after="0"/>
              <w:rPr>
                <w:sz w:val="20"/>
                <w:szCs w:val="20"/>
                <w:color w:val="auto"/>
              </w:rPr>
            </w:pPr>
            <w:r>
              <w:rPr>
                <w:rFonts w:ascii="Arial" w:cs="Arial" w:eastAsia="Arial" w:hAnsi="Arial"/>
                <w:sz w:val="14"/>
                <w:szCs w:val="14"/>
                <w:color w:val="54565B"/>
              </w:rPr>
              <w:t>2,390</w:t>
            </w:r>
          </w:p>
        </w:tc>
        <w:tc>
          <w:tcPr>
            <w:tcW w:w="3220" w:type="dxa"/>
            <w:vAlign w:val="bottom"/>
            <w:gridSpan w:val="2"/>
            <w:shd w:val="clear" w:color="auto" w:fill="EAF7FA"/>
          </w:tcPr>
          <w:p>
            <w:pPr>
              <w:ind w:left="1520"/>
              <w:spacing w:after="0"/>
              <w:rPr>
                <w:sz w:val="20"/>
                <w:szCs w:val="20"/>
                <w:color w:val="auto"/>
              </w:rPr>
            </w:pPr>
            <w:r>
              <w:rPr>
                <w:rFonts w:ascii="Arial" w:cs="Arial" w:eastAsia="Arial" w:hAnsi="Arial"/>
                <w:sz w:val="14"/>
                <w:szCs w:val="14"/>
                <w:color w:val="54565B"/>
              </w:rPr>
              <w:t>​ 326,665</w:t>
            </w:r>
          </w:p>
        </w:tc>
        <w:tc>
          <w:tcPr>
            <w:tcW w:w="0" w:type="dxa"/>
            <w:vAlign w:val="bottom"/>
          </w:tcPr>
          <w:p>
            <w:pPr>
              <w:spacing w:after="0"/>
              <w:rPr>
                <w:sz w:val="1"/>
                <w:szCs w:val="1"/>
                <w:color w:val="auto"/>
              </w:rPr>
            </w:pPr>
          </w:p>
        </w:tc>
      </w:tr>
      <w:tr>
        <w:trPr>
          <w:trHeight w:val="257"/>
        </w:trPr>
        <w:tc>
          <w:tcPr>
            <w:tcW w:w="120" w:type="dxa"/>
            <w:vAlign w:val="bottom"/>
            <w:shd w:val="clear" w:color="auto" w:fill="EAF7FA"/>
          </w:tcPr>
          <w:p>
            <w:pPr>
              <w:spacing w:after="0"/>
              <w:rPr>
                <w:sz w:val="22"/>
                <w:szCs w:val="22"/>
                <w:color w:val="auto"/>
              </w:rPr>
            </w:pPr>
          </w:p>
        </w:tc>
        <w:tc>
          <w:tcPr>
            <w:tcW w:w="1540" w:type="dxa"/>
            <w:vAlign w:val="bottom"/>
            <w:vMerge w:val="restart"/>
            <w:shd w:val="clear" w:color="auto" w:fill="EAF7FA"/>
          </w:tcPr>
          <w:p>
            <w:pPr>
              <w:ind w:left="80"/>
              <w:spacing w:after="0"/>
              <w:rPr>
                <w:sz w:val="20"/>
                <w:szCs w:val="20"/>
                <w:color w:val="auto"/>
              </w:rPr>
            </w:pPr>
            <w:r>
              <w:rPr>
                <w:rFonts w:ascii="Arial" w:cs="Arial" w:eastAsia="Arial" w:hAnsi="Arial"/>
                <w:sz w:val="14"/>
                <w:szCs w:val="14"/>
                <w:b w:val="1"/>
                <w:bCs w:val="1"/>
                <w:color w:val="54565B"/>
              </w:rPr>
              <w:t>Brian S. Hertzman</w:t>
            </w:r>
          </w:p>
        </w:tc>
        <w:tc>
          <w:tcPr>
            <w:tcW w:w="80" w:type="dxa"/>
            <w:vAlign w:val="bottom"/>
            <w:shd w:val="clear" w:color="auto" w:fill="EAF7FA"/>
          </w:tcPr>
          <w:p>
            <w:pPr>
              <w:spacing w:after="0"/>
              <w:rPr>
                <w:sz w:val="22"/>
                <w:szCs w:val="22"/>
                <w:color w:val="auto"/>
              </w:rPr>
            </w:pPr>
          </w:p>
        </w:tc>
        <w:tc>
          <w:tcPr>
            <w:tcW w:w="1520" w:type="dxa"/>
            <w:vAlign w:val="bottom"/>
            <w:shd w:val="clear" w:color="auto" w:fill="EAF7FA"/>
          </w:tcPr>
          <w:p>
            <w:pPr>
              <w:ind w:left="860"/>
              <w:spacing w:after="0"/>
              <w:rPr>
                <w:sz w:val="20"/>
                <w:szCs w:val="20"/>
                <w:color w:val="auto"/>
              </w:rPr>
            </w:pPr>
            <w:r>
              <w:rPr>
                <w:rFonts w:ascii="Arial" w:cs="Arial" w:eastAsia="Arial" w:hAnsi="Arial"/>
                <w:sz w:val="14"/>
                <w:szCs w:val="14"/>
                <w:color w:val="54565B"/>
              </w:rPr>
              <w:t>2/22/2023</w:t>
            </w:r>
          </w:p>
        </w:tc>
        <w:tc>
          <w:tcPr>
            <w:tcW w:w="100" w:type="dxa"/>
            <w:vAlign w:val="bottom"/>
            <w:shd w:val="clear" w:color="auto" w:fill="EAF7FA"/>
          </w:tcPr>
          <w:p>
            <w:pPr>
              <w:spacing w:after="0"/>
              <w:rPr>
                <w:sz w:val="22"/>
                <w:szCs w:val="22"/>
                <w:color w:val="auto"/>
              </w:rPr>
            </w:pPr>
          </w:p>
        </w:tc>
        <w:tc>
          <w:tcPr>
            <w:tcW w:w="2820" w:type="dxa"/>
            <w:vAlign w:val="bottom"/>
            <w:shd w:val="clear" w:color="auto" w:fill="EAF7FA"/>
          </w:tcPr>
          <w:p>
            <w:pPr>
              <w:jc w:val="right"/>
              <w:ind w:right="328"/>
              <w:spacing w:after="0"/>
              <w:rPr>
                <w:sz w:val="20"/>
                <w:szCs w:val="20"/>
                <w:color w:val="auto"/>
              </w:rPr>
            </w:pPr>
            <w:r>
              <w:rPr>
                <w:rFonts w:ascii="Arial" w:cs="Arial" w:eastAsia="Arial" w:hAnsi="Arial"/>
                <w:sz w:val="14"/>
                <w:szCs w:val="14"/>
                <w:color w:val="54565B"/>
              </w:rPr>
              <w:t>2,422</w:t>
            </w:r>
          </w:p>
        </w:tc>
        <w:tc>
          <w:tcPr>
            <w:tcW w:w="3220" w:type="dxa"/>
            <w:vAlign w:val="bottom"/>
            <w:gridSpan w:val="2"/>
            <w:shd w:val="clear" w:color="auto" w:fill="EAF7FA"/>
          </w:tcPr>
          <w:p>
            <w:pPr>
              <w:ind w:left="1520"/>
              <w:spacing w:after="0"/>
              <w:rPr>
                <w:sz w:val="20"/>
                <w:szCs w:val="20"/>
                <w:color w:val="auto"/>
              </w:rPr>
            </w:pPr>
            <w:r>
              <w:rPr>
                <w:rFonts w:ascii="Arial" w:cs="Arial" w:eastAsia="Arial" w:hAnsi="Arial"/>
                <w:sz w:val="14"/>
                <w:szCs w:val="14"/>
                <w:color w:val="54565B"/>
              </w:rPr>
              <w:t>​ 331,039</w:t>
            </w:r>
          </w:p>
        </w:tc>
        <w:tc>
          <w:tcPr>
            <w:tcW w:w="0" w:type="dxa"/>
            <w:vAlign w:val="bottom"/>
          </w:tcPr>
          <w:p>
            <w:pPr>
              <w:spacing w:after="0"/>
              <w:rPr>
                <w:sz w:val="1"/>
                <w:szCs w:val="1"/>
                <w:color w:val="auto"/>
              </w:rPr>
            </w:pPr>
          </w:p>
        </w:tc>
      </w:tr>
      <w:tr>
        <w:trPr>
          <w:trHeight w:val="128"/>
        </w:trPr>
        <w:tc>
          <w:tcPr>
            <w:tcW w:w="120" w:type="dxa"/>
            <w:vAlign w:val="bottom"/>
            <w:shd w:val="clear" w:color="auto" w:fill="EAF7FA"/>
          </w:tcPr>
          <w:p>
            <w:pPr>
              <w:spacing w:after="0"/>
              <w:rPr>
                <w:sz w:val="11"/>
                <w:szCs w:val="11"/>
                <w:color w:val="auto"/>
              </w:rPr>
            </w:pPr>
          </w:p>
        </w:tc>
        <w:tc>
          <w:tcPr>
            <w:tcW w:w="1540" w:type="dxa"/>
            <w:vAlign w:val="bottom"/>
            <w:vMerge w:val="continue"/>
            <w:shd w:val="clear" w:color="auto" w:fill="EAF7FA"/>
          </w:tcPr>
          <w:p>
            <w:pPr>
              <w:spacing w:after="0"/>
              <w:rPr>
                <w:sz w:val="11"/>
                <w:szCs w:val="11"/>
                <w:color w:val="auto"/>
              </w:rPr>
            </w:pPr>
          </w:p>
        </w:tc>
        <w:tc>
          <w:tcPr>
            <w:tcW w:w="80" w:type="dxa"/>
            <w:vAlign w:val="bottom"/>
            <w:shd w:val="clear" w:color="auto" w:fill="EAF7FA"/>
          </w:tcPr>
          <w:p>
            <w:pPr>
              <w:spacing w:after="0"/>
              <w:rPr>
                <w:sz w:val="11"/>
                <w:szCs w:val="11"/>
                <w:color w:val="auto"/>
              </w:rPr>
            </w:pPr>
          </w:p>
        </w:tc>
        <w:tc>
          <w:tcPr>
            <w:tcW w:w="1520" w:type="dxa"/>
            <w:vAlign w:val="bottom"/>
            <w:vMerge w:val="restart"/>
            <w:shd w:val="clear" w:color="auto" w:fill="EAF7FA"/>
          </w:tcPr>
          <w:p>
            <w:pPr>
              <w:ind w:left="860"/>
              <w:spacing w:after="0"/>
              <w:rPr>
                <w:sz w:val="20"/>
                <w:szCs w:val="20"/>
                <w:color w:val="auto"/>
              </w:rPr>
            </w:pPr>
            <w:r>
              <w:rPr>
                <w:rFonts w:ascii="Arial" w:cs="Arial" w:eastAsia="Arial" w:hAnsi="Arial"/>
                <w:sz w:val="14"/>
                <w:szCs w:val="14"/>
                <w:color w:val="54565B"/>
              </w:rPr>
              <w:t>2/27/2024</w:t>
            </w:r>
          </w:p>
        </w:tc>
        <w:tc>
          <w:tcPr>
            <w:tcW w:w="100" w:type="dxa"/>
            <w:vAlign w:val="bottom"/>
            <w:shd w:val="clear" w:color="auto" w:fill="EAF7FA"/>
          </w:tcPr>
          <w:p>
            <w:pPr>
              <w:spacing w:after="0"/>
              <w:rPr>
                <w:sz w:val="11"/>
                <w:szCs w:val="11"/>
                <w:color w:val="auto"/>
              </w:rPr>
            </w:pPr>
          </w:p>
        </w:tc>
        <w:tc>
          <w:tcPr>
            <w:tcW w:w="2820" w:type="dxa"/>
            <w:vAlign w:val="bottom"/>
            <w:vMerge w:val="restart"/>
            <w:shd w:val="clear" w:color="auto" w:fill="EAF7FA"/>
          </w:tcPr>
          <w:p>
            <w:pPr>
              <w:jc w:val="right"/>
              <w:ind w:right="328"/>
              <w:spacing w:after="0"/>
              <w:rPr>
                <w:sz w:val="20"/>
                <w:szCs w:val="20"/>
                <w:color w:val="auto"/>
              </w:rPr>
            </w:pPr>
            <w:r>
              <w:rPr>
                <w:rFonts w:ascii="Arial" w:cs="Arial" w:eastAsia="Arial" w:hAnsi="Arial"/>
                <w:sz w:val="14"/>
                <w:szCs w:val="14"/>
                <w:color w:val="54565B"/>
              </w:rPr>
              <w:t>3,169</w:t>
            </w:r>
          </w:p>
        </w:tc>
        <w:tc>
          <w:tcPr>
            <w:tcW w:w="3220" w:type="dxa"/>
            <w:vAlign w:val="bottom"/>
            <w:gridSpan w:val="2"/>
            <w:vMerge w:val="restart"/>
            <w:shd w:val="clear" w:color="auto" w:fill="EAF7FA"/>
          </w:tcPr>
          <w:p>
            <w:pPr>
              <w:ind w:left="1520"/>
              <w:spacing w:after="0"/>
              <w:rPr>
                <w:sz w:val="20"/>
                <w:szCs w:val="20"/>
                <w:color w:val="auto"/>
              </w:rPr>
            </w:pPr>
            <w:r>
              <w:rPr>
                <w:rFonts w:ascii="Arial" w:cs="Arial" w:eastAsia="Arial" w:hAnsi="Arial"/>
                <w:sz w:val="14"/>
                <w:szCs w:val="14"/>
                <w:color w:val="54565B"/>
              </w:rPr>
              <w:t>​ 433,139</w:t>
            </w:r>
          </w:p>
        </w:tc>
        <w:tc>
          <w:tcPr>
            <w:tcW w:w="0" w:type="dxa"/>
            <w:vAlign w:val="bottom"/>
          </w:tcPr>
          <w:p>
            <w:pPr>
              <w:spacing w:after="0"/>
              <w:rPr>
                <w:sz w:val="1"/>
                <w:szCs w:val="1"/>
                <w:color w:val="auto"/>
              </w:rPr>
            </w:pPr>
          </w:p>
        </w:tc>
      </w:tr>
      <w:tr>
        <w:trPr>
          <w:trHeight w:val="129"/>
        </w:trPr>
        <w:tc>
          <w:tcPr>
            <w:tcW w:w="120" w:type="dxa"/>
            <w:vAlign w:val="bottom"/>
            <w:shd w:val="clear" w:color="auto" w:fill="EAF7FA"/>
          </w:tcPr>
          <w:p>
            <w:pPr>
              <w:spacing w:after="0"/>
              <w:rPr>
                <w:sz w:val="11"/>
                <w:szCs w:val="11"/>
                <w:color w:val="auto"/>
              </w:rPr>
            </w:pPr>
          </w:p>
        </w:tc>
        <w:tc>
          <w:tcPr>
            <w:tcW w:w="1540" w:type="dxa"/>
            <w:vAlign w:val="bottom"/>
            <w:shd w:val="clear" w:color="auto" w:fill="EAF7FA"/>
          </w:tcPr>
          <w:p>
            <w:pPr>
              <w:spacing w:after="0"/>
              <w:rPr>
                <w:sz w:val="11"/>
                <w:szCs w:val="11"/>
                <w:color w:val="auto"/>
              </w:rPr>
            </w:pPr>
          </w:p>
        </w:tc>
        <w:tc>
          <w:tcPr>
            <w:tcW w:w="80" w:type="dxa"/>
            <w:vAlign w:val="bottom"/>
            <w:shd w:val="clear" w:color="auto" w:fill="EAF7FA"/>
          </w:tcPr>
          <w:p>
            <w:pPr>
              <w:spacing w:after="0"/>
              <w:rPr>
                <w:sz w:val="11"/>
                <w:szCs w:val="11"/>
                <w:color w:val="auto"/>
              </w:rPr>
            </w:pPr>
          </w:p>
        </w:tc>
        <w:tc>
          <w:tcPr>
            <w:tcW w:w="1520" w:type="dxa"/>
            <w:vAlign w:val="bottom"/>
            <w:vMerge w:val="continue"/>
            <w:shd w:val="clear" w:color="auto" w:fill="EAF7FA"/>
          </w:tcPr>
          <w:p>
            <w:pPr>
              <w:spacing w:after="0"/>
              <w:rPr>
                <w:sz w:val="11"/>
                <w:szCs w:val="11"/>
                <w:color w:val="auto"/>
              </w:rPr>
            </w:pPr>
          </w:p>
        </w:tc>
        <w:tc>
          <w:tcPr>
            <w:tcW w:w="100" w:type="dxa"/>
            <w:vAlign w:val="bottom"/>
            <w:shd w:val="clear" w:color="auto" w:fill="EAF7FA"/>
          </w:tcPr>
          <w:p>
            <w:pPr>
              <w:spacing w:after="0"/>
              <w:rPr>
                <w:sz w:val="11"/>
                <w:szCs w:val="11"/>
                <w:color w:val="auto"/>
              </w:rPr>
            </w:pPr>
          </w:p>
        </w:tc>
        <w:tc>
          <w:tcPr>
            <w:tcW w:w="2820" w:type="dxa"/>
            <w:vAlign w:val="bottom"/>
            <w:vMerge w:val="continue"/>
            <w:shd w:val="clear" w:color="auto" w:fill="EAF7FA"/>
          </w:tcPr>
          <w:p>
            <w:pPr>
              <w:spacing w:after="0"/>
              <w:rPr>
                <w:sz w:val="11"/>
                <w:szCs w:val="11"/>
                <w:color w:val="auto"/>
              </w:rPr>
            </w:pPr>
          </w:p>
        </w:tc>
        <w:tc>
          <w:tcPr>
            <w:tcW w:w="3220" w:type="dxa"/>
            <w:vAlign w:val="bottom"/>
            <w:gridSpan w:val="2"/>
            <w:vMerge w:val="continue"/>
            <w:shd w:val="clear" w:color="auto" w:fill="EAF7FA"/>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120" w:type="dxa"/>
            <w:vAlign w:val="bottom"/>
            <w:tcBorders>
              <w:bottom w:val="single" w:sz="8" w:color="EAF7FA"/>
            </w:tcBorders>
            <w:shd w:val="clear" w:color="auto" w:fill="EAF7FA"/>
          </w:tcPr>
          <w:p>
            <w:pPr>
              <w:spacing w:after="0"/>
              <w:rPr>
                <w:sz w:val="23"/>
                <w:szCs w:val="23"/>
                <w:color w:val="auto"/>
              </w:rPr>
            </w:pPr>
          </w:p>
        </w:tc>
        <w:tc>
          <w:tcPr>
            <w:tcW w:w="1540" w:type="dxa"/>
            <w:vAlign w:val="bottom"/>
            <w:tcBorders>
              <w:bottom w:val="single" w:sz="8" w:color="EAF7FA"/>
            </w:tcBorders>
            <w:shd w:val="clear" w:color="auto" w:fill="EAF7FA"/>
          </w:tcPr>
          <w:p>
            <w:pPr>
              <w:spacing w:after="0"/>
              <w:rPr>
                <w:sz w:val="23"/>
                <w:szCs w:val="23"/>
                <w:color w:val="auto"/>
              </w:rPr>
            </w:pPr>
          </w:p>
        </w:tc>
        <w:tc>
          <w:tcPr>
            <w:tcW w:w="80" w:type="dxa"/>
            <w:vAlign w:val="bottom"/>
            <w:tcBorders>
              <w:bottom w:val="single" w:sz="8" w:color="EAF7FA"/>
            </w:tcBorders>
            <w:shd w:val="clear" w:color="auto" w:fill="EAF7FA"/>
          </w:tcPr>
          <w:p>
            <w:pPr>
              <w:spacing w:after="0"/>
              <w:rPr>
                <w:sz w:val="23"/>
                <w:szCs w:val="23"/>
                <w:color w:val="auto"/>
              </w:rPr>
            </w:pPr>
          </w:p>
        </w:tc>
        <w:tc>
          <w:tcPr>
            <w:tcW w:w="1520" w:type="dxa"/>
            <w:vAlign w:val="bottom"/>
            <w:tcBorders>
              <w:bottom w:val="single" w:sz="8" w:color="EAF7FA"/>
            </w:tcBorders>
            <w:shd w:val="clear" w:color="auto" w:fill="EAF7FA"/>
          </w:tcPr>
          <w:p>
            <w:pPr>
              <w:ind w:left="860"/>
              <w:spacing w:after="0"/>
              <w:rPr>
                <w:sz w:val="20"/>
                <w:szCs w:val="20"/>
                <w:color w:val="auto"/>
              </w:rPr>
            </w:pPr>
            <w:r>
              <w:rPr>
                <w:rFonts w:ascii="Arial" w:cs="Arial" w:eastAsia="Arial" w:hAnsi="Arial"/>
                <w:sz w:val="14"/>
                <w:szCs w:val="14"/>
                <w:color w:val="54565B"/>
              </w:rPr>
              <w:t>2/19/2025</w:t>
            </w:r>
          </w:p>
        </w:tc>
        <w:tc>
          <w:tcPr>
            <w:tcW w:w="100" w:type="dxa"/>
            <w:vAlign w:val="bottom"/>
            <w:tcBorders>
              <w:bottom w:val="single" w:sz="8" w:color="EAF7FA"/>
            </w:tcBorders>
            <w:shd w:val="clear" w:color="auto" w:fill="EAF7FA"/>
          </w:tcPr>
          <w:p>
            <w:pPr>
              <w:spacing w:after="0"/>
              <w:rPr>
                <w:sz w:val="23"/>
                <w:szCs w:val="23"/>
                <w:color w:val="auto"/>
              </w:rPr>
            </w:pPr>
          </w:p>
        </w:tc>
        <w:tc>
          <w:tcPr>
            <w:tcW w:w="2820" w:type="dxa"/>
            <w:vAlign w:val="bottom"/>
            <w:tcBorders>
              <w:bottom w:val="single" w:sz="8" w:color="EAF7FA"/>
            </w:tcBorders>
            <w:shd w:val="clear" w:color="auto" w:fill="EAF7FA"/>
          </w:tcPr>
          <w:p>
            <w:pPr>
              <w:jc w:val="right"/>
              <w:ind w:right="328"/>
              <w:spacing w:after="0"/>
              <w:rPr>
                <w:sz w:val="20"/>
                <w:szCs w:val="20"/>
                <w:color w:val="auto"/>
              </w:rPr>
            </w:pPr>
            <w:r>
              <w:rPr>
                <w:rFonts w:ascii="Arial" w:cs="Arial" w:eastAsia="Arial" w:hAnsi="Arial"/>
                <w:sz w:val="14"/>
                <w:szCs w:val="14"/>
                <w:color w:val="54565B"/>
              </w:rPr>
              <w:t>3,282</w:t>
            </w:r>
          </w:p>
        </w:tc>
        <w:tc>
          <w:tcPr>
            <w:tcW w:w="3080" w:type="dxa"/>
            <w:vAlign w:val="bottom"/>
            <w:tcBorders>
              <w:bottom w:val="single" w:sz="8" w:color="EAF7FA"/>
            </w:tcBorders>
            <w:shd w:val="clear" w:color="auto" w:fill="EAF7FA"/>
          </w:tcPr>
          <w:p>
            <w:pPr>
              <w:ind w:left="1620"/>
              <w:spacing w:after="0"/>
              <w:rPr>
                <w:sz w:val="20"/>
                <w:szCs w:val="20"/>
                <w:color w:val="auto"/>
              </w:rPr>
            </w:pPr>
            <w:r>
              <w:rPr>
                <w:rFonts w:ascii="Arial" w:cs="Arial" w:eastAsia="Arial" w:hAnsi="Arial"/>
                <w:sz w:val="14"/>
                <w:szCs w:val="14"/>
                <w:color w:val="54565B"/>
              </w:rPr>
              <w:t>448,584</w:t>
            </w:r>
          </w:p>
        </w:tc>
        <w:tc>
          <w:tcPr>
            <w:tcW w:w="140" w:type="dxa"/>
            <w:vAlign w:val="bottom"/>
            <w:tcBorders>
              <w:bottom w:val="single" w:sz="8" w:color="EAF7FA"/>
            </w:tcBorders>
            <w:shd w:val="clear" w:color="auto" w:fill="EAF7FA"/>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0" w:type="dxa"/>
            <w:vAlign w:val="bottom"/>
            <w:gridSpan w:val="2"/>
          </w:tcPr>
          <w:p>
            <w:pPr>
              <w:ind w:left="940"/>
              <w:spacing w:after="0"/>
              <w:rPr>
                <w:sz w:val="20"/>
                <w:szCs w:val="20"/>
                <w:color w:val="auto"/>
              </w:rPr>
            </w:pPr>
            <w:r>
              <w:rPr>
                <w:rFonts w:ascii="Arial" w:cs="Arial" w:eastAsia="Arial" w:hAnsi="Arial"/>
                <w:sz w:val="14"/>
                <w:szCs w:val="14"/>
                <w:color w:val="54565B"/>
              </w:rPr>
              <w:t>2/22/2022</w:t>
            </w:r>
          </w:p>
        </w:tc>
        <w:tc>
          <w:tcPr>
            <w:tcW w:w="100" w:type="dxa"/>
            <w:vAlign w:val="bottom"/>
          </w:tcPr>
          <w:p>
            <w:pPr>
              <w:spacing w:after="0"/>
              <w:rPr>
                <w:sz w:val="19"/>
                <w:szCs w:val="19"/>
                <w:color w:val="auto"/>
              </w:rPr>
            </w:pPr>
          </w:p>
        </w:tc>
        <w:tc>
          <w:tcPr>
            <w:tcW w:w="2820" w:type="dxa"/>
            <w:vAlign w:val="bottom"/>
          </w:tcPr>
          <w:p>
            <w:pPr>
              <w:jc w:val="right"/>
              <w:ind w:right="328"/>
              <w:spacing w:after="0"/>
              <w:rPr>
                <w:sz w:val="20"/>
                <w:szCs w:val="20"/>
                <w:color w:val="auto"/>
              </w:rPr>
            </w:pPr>
            <w:r>
              <w:rPr>
                <w:rFonts w:ascii="Arial" w:cs="Arial" w:eastAsia="Arial" w:hAnsi="Arial"/>
                <w:sz w:val="14"/>
                <w:szCs w:val="14"/>
                <w:color w:val="54565B"/>
              </w:rPr>
              <w:t>3,734</w:t>
            </w:r>
          </w:p>
        </w:tc>
        <w:tc>
          <w:tcPr>
            <w:tcW w:w="3080" w:type="dxa"/>
            <w:vAlign w:val="bottom"/>
          </w:tcPr>
          <w:p>
            <w:pPr>
              <w:ind w:left="1620"/>
              <w:spacing w:after="0"/>
              <w:rPr>
                <w:sz w:val="20"/>
                <w:szCs w:val="20"/>
                <w:color w:val="auto"/>
              </w:rPr>
            </w:pPr>
            <w:r>
              <w:rPr>
                <w:rFonts w:ascii="Arial" w:cs="Arial" w:eastAsia="Arial" w:hAnsi="Arial"/>
                <w:sz w:val="14"/>
                <w:szCs w:val="14"/>
                <w:color w:val="54565B"/>
              </w:rPr>
              <w:t>510,363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540" w:type="dxa"/>
            <w:vAlign w:val="bottom"/>
            <w:vMerge w:val="restart"/>
          </w:tcPr>
          <w:p>
            <w:pPr>
              <w:ind w:left="80"/>
              <w:spacing w:after="0"/>
              <w:rPr>
                <w:sz w:val="20"/>
                <w:szCs w:val="20"/>
                <w:color w:val="auto"/>
              </w:rPr>
            </w:pPr>
            <w:r>
              <w:rPr>
                <w:rFonts w:ascii="Arial" w:cs="Arial" w:eastAsia="Arial" w:hAnsi="Arial"/>
                <w:sz w:val="14"/>
                <w:szCs w:val="14"/>
                <w:b w:val="1"/>
                <w:bCs w:val="1"/>
                <w:color w:val="54565B"/>
              </w:rPr>
              <w:t>David L. Thompson</w:t>
            </w:r>
          </w:p>
        </w:tc>
        <w:tc>
          <w:tcPr>
            <w:tcW w:w="1600" w:type="dxa"/>
            <w:vAlign w:val="bottom"/>
            <w:gridSpan w:val="2"/>
          </w:tcPr>
          <w:p>
            <w:pPr>
              <w:ind w:left="940"/>
              <w:spacing w:after="0"/>
              <w:rPr>
                <w:sz w:val="20"/>
                <w:szCs w:val="20"/>
                <w:color w:val="auto"/>
              </w:rPr>
            </w:pPr>
            <w:r>
              <w:rPr>
                <w:rFonts w:ascii="Arial" w:cs="Arial" w:eastAsia="Arial" w:hAnsi="Arial"/>
                <w:sz w:val="14"/>
                <w:szCs w:val="14"/>
                <w:color w:val="54565B"/>
              </w:rPr>
              <w:t>2/22/2023</w:t>
            </w:r>
          </w:p>
        </w:tc>
        <w:tc>
          <w:tcPr>
            <w:tcW w:w="100" w:type="dxa"/>
            <w:vAlign w:val="bottom"/>
          </w:tcPr>
          <w:p>
            <w:pPr>
              <w:spacing w:after="0"/>
              <w:rPr>
                <w:sz w:val="22"/>
                <w:szCs w:val="22"/>
                <w:color w:val="auto"/>
              </w:rPr>
            </w:pPr>
          </w:p>
        </w:tc>
        <w:tc>
          <w:tcPr>
            <w:tcW w:w="2820" w:type="dxa"/>
            <w:vAlign w:val="bottom"/>
          </w:tcPr>
          <w:p>
            <w:pPr>
              <w:jc w:val="right"/>
              <w:ind w:right="328"/>
              <w:spacing w:after="0"/>
              <w:rPr>
                <w:sz w:val="20"/>
                <w:szCs w:val="20"/>
                <w:color w:val="auto"/>
              </w:rPr>
            </w:pPr>
            <w:r>
              <w:rPr>
                <w:rFonts w:ascii="Arial" w:cs="Arial" w:eastAsia="Arial" w:hAnsi="Arial"/>
                <w:sz w:val="14"/>
                <w:szCs w:val="14"/>
                <w:color w:val="54565B"/>
              </w:rPr>
              <w:t>3,783</w:t>
            </w:r>
          </w:p>
        </w:tc>
        <w:tc>
          <w:tcPr>
            <w:tcW w:w="3080" w:type="dxa"/>
            <w:vAlign w:val="bottom"/>
          </w:tcPr>
          <w:p>
            <w:pPr>
              <w:ind w:left="1620"/>
              <w:spacing w:after="0"/>
              <w:rPr>
                <w:sz w:val="20"/>
                <w:szCs w:val="20"/>
                <w:color w:val="auto"/>
              </w:rPr>
            </w:pPr>
            <w:r>
              <w:rPr>
                <w:rFonts w:ascii="Arial" w:cs="Arial" w:eastAsia="Arial" w:hAnsi="Arial"/>
                <w:sz w:val="14"/>
                <w:szCs w:val="14"/>
                <w:color w:val="54565B"/>
              </w:rPr>
              <w:t>517,060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600" w:type="dxa"/>
            <w:vAlign w:val="bottom"/>
            <w:gridSpan w:val="2"/>
            <w:vMerge w:val="restart"/>
          </w:tcPr>
          <w:p>
            <w:pPr>
              <w:ind w:left="940"/>
              <w:spacing w:after="0"/>
              <w:rPr>
                <w:sz w:val="20"/>
                <w:szCs w:val="20"/>
                <w:color w:val="auto"/>
              </w:rPr>
            </w:pPr>
            <w:r>
              <w:rPr>
                <w:rFonts w:ascii="Arial" w:cs="Arial" w:eastAsia="Arial" w:hAnsi="Arial"/>
                <w:sz w:val="14"/>
                <w:szCs w:val="14"/>
                <w:color w:val="54565B"/>
              </w:rPr>
              <w:t>2/27/2024</w:t>
            </w:r>
          </w:p>
        </w:tc>
        <w:tc>
          <w:tcPr>
            <w:tcW w:w="100" w:type="dxa"/>
            <w:vAlign w:val="bottom"/>
          </w:tcPr>
          <w:p>
            <w:pPr>
              <w:spacing w:after="0"/>
              <w:rPr>
                <w:sz w:val="11"/>
                <w:szCs w:val="11"/>
                <w:color w:val="auto"/>
              </w:rPr>
            </w:pPr>
          </w:p>
        </w:tc>
        <w:tc>
          <w:tcPr>
            <w:tcW w:w="2820" w:type="dxa"/>
            <w:vAlign w:val="bottom"/>
            <w:vMerge w:val="restart"/>
          </w:tcPr>
          <w:p>
            <w:pPr>
              <w:jc w:val="right"/>
              <w:ind w:right="328"/>
              <w:spacing w:after="0"/>
              <w:rPr>
                <w:sz w:val="20"/>
                <w:szCs w:val="20"/>
                <w:color w:val="auto"/>
              </w:rPr>
            </w:pPr>
            <w:r>
              <w:rPr>
                <w:rFonts w:ascii="Arial" w:cs="Arial" w:eastAsia="Arial" w:hAnsi="Arial"/>
                <w:sz w:val="14"/>
                <w:szCs w:val="14"/>
                <w:color w:val="54565B"/>
              </w:rPr>
              <w:t>4,753</w:t>
            </w:r>
          </w:p>
        </w:tc>
        <w:tc>
          <w:tcPr>
            <w:tcW w:w="3080" w:type="dxa"/>
            <w:vAlign w:val="bottom"/>
            <w:vMerge w:val="restart"/>
          </w:tcPr>
          <w:p>
            <w:pPr>
              <w:ind w:left="1620"/>
              <w:spacing w:after="0"/>
              <w:rPr>
                <w:sz w:val="20"/>
                <w:szCs w:val="20"/>
                <w:color w:val="auto"/>
              </w:rPr>
            </w:pPr>
            <w:r>
              <w:rPr>
                <w:rFonts w:ascii="Arial" w:cs="Arial" w:eastAsia="Arial" w:hAnsi="Arial"/>
                <w:sz w:val="14"/>
                <w:szCs w:val="14"/>
                <w:color w:val="54565B"/>
              </w:rPr>
              <w:t>649,640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820" w:type="dxa"/>
            <w:vAlign w:val="bottom"/>
            <w:vMerge w:val="continue"/>
          </w:tcPr>
          <w:p>
            <w:pPr>
              <w:spacing w:after="0"/>
              <w:rPr>
                <w:sz w:val="11"/>
                <w:szCs w:val="11"/>
                <w:color w:val="auto"/>
              </w:rPr>
            </w:pPr>
          </w:p>
        </w:tc>
        <w:tc>
          <w:tcPr>
            <w:tcW w:w="30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600" w:type="dxa"/>
            <w:vAlign w:val="bottom"/>
            <w:gridSpan w:val="2"/>
          </w:tcPr>
          <w:p>
            <w:pPr>
              <w:ind w:left="940"/>
              <w:spacing w:after="0"/>
              <w:rPr>
                <w:sz w:val="20"/>
                <w:szCs w:val="20"/>
                <w:color w:val="auto"/>
              </w:rPr>
            </w:pPr>
            <w:r>
              <w:rPr>
                <w:rFonts w:ascii="Arial" w:cs="Arial" w:eastAsia="Arial" w:hAnsi="Arial"/>
                <w:sz w:val="14"/>
                <w:szCs w:val="14"/>
                <w:color w:val="54565B"/>
              </w:rPr>
              <w:t>2/19/2025</w:t>
            </w:r>
          </w:p>
        </w:tc>
        <w:tc>
          <w:tcPr>
            <w:tcW w:w="100" w:type="dxa"/>
            <w:vAlign w:val="bottom"/>
          </w:tcPr>
          <w:p>
            <w:pPr>
              <w:spacing w:after="0"/>
              <w:rPr>
                <w:sz w:val="22"/>
                <w:szCs w:val="22"/>
                <w:color w:val="auto"/>
              </w:rPr>
            </w:pPr>
          </w:p>
        </w:tc>
        <w:tc>
          <w:tcPr>
            <w:tcW w:w="2820" w:type="dxa"/>
            <w:vAlign w:val="bottom"/>
          </w:tcPr>
          <w:p>
            <w:pPr>
              <w:jc w:val="right"/>
              <w:ind w:right="328"/>
              <w:spacing w:after="0"/>
              <w:rPr>
                <w:sz w:val="20"/>
                <w:szCs w:val="20"/>
                <w:color w:val="auto"/>
              </w:rPr>
            </w:pPr>
            <w:r>
              <w:rPr>
                <w:rFonts w:ascii="Arial" w:cs="Arial" w:eastAsia="Arial" w:hAnsi="Arial"/>
                <w:sz w:val="14"/>
                <w:szCs w:val="14"/>
                <w:color w:val="54565B"/>
              </w:rPr>
              <w:t>4,923</w:t>
            </w:r>
          </w:p>
        </w:tc>
        <w:tc>
          <w:tcPr>
            <w:tcW w:w="3080" w:type="dxa"/>
            <w:vAlign w:val="bottom"/>
          </w:tcPr>
          <w:p>
            <w:pPr>
              <w:ind w:left="1620"/>
              <w:spacing w:after="0"/>
              <w:rPr>
                <w:sz w:val="20"/>
                <w:szCs w:val="20"/>
                <w:color w:val="auto"/>
              </w:rPr>
            </w:pPr>
            <w:r>
              <w:rPr>
                <w:rFonts w:ascii="Arial" w:cs="Arial" w:eastAsia="Arial" w:hAnsi="Arial"/>
                <w:sz w:val="14"/>
                <w:szCs w:val="14"/>
                <w:color w:val="54565B"/>
              </w:rPr>
              <w:t>672,876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6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120" w:type="dxa"/>
            <w:vAlign w:val="bottom"/>
            <w:shd w:val="clear" w:color="auto" w:fill="EAF7FA"/>
          </w:tcPr>
          <w:p>
            <w:pPr>
              <w:spacing w:after="0"/>
              <w:rPr>
                <w:sz w:val="19"/>
                <w:szCs w:val="19"/>
                <w:color w:val="auto"/>
              </w:rPr>
            </w:pPr>
          </w:p>
        </w:tc>
        <w:tc>
          <w:tcPr>
            <w:tcW w:w="1540" w:type="dxa"/>
            <w:vAlign w:val="bottom"/>
            <w:shd w:val="clear" w:color="auto" w:fill="EAF7FA"/>
          </w:tcPr>
          <w:p>
            <w:pPr>
              <w:spacing w:after="0"/>
              <w:rPr>
                <w:sz w:val="19"/>
                <w:szCs w:val="19"/>
                <w:color w:val="auto"/>
              </w:rPr>
            </w:pPr>
          </w:p>
        </w:tc>
        <w:tc>
          <w:tcPr>
            <w:tcW w:w="80" w:type="dxa"/>
            <w:vAlign w:val="bottom"/>
            <w:shd w:val="clear" w:color="auto" w:fill="EAF7FA"/>
          </w:tcPr>
          <w:p>
            <w:pPr>
              <w:spacing w:after="0"/>
              <w:rPr>
                <w:sz w:val="19"/>
                <w:szCs w:val="19"/>
                <w:color w:val="auto"/>
              </w:rPr>
            </w:pPr>
          </w:p>
        </w:tc>
        <w:tc>
          <w:tcPr>
            <w:tcW w:w="1520" w:type="dxa"/>
            <w:vAlign w:val="bottom"/>
            <w:shd w:val="clear" w:color="auto" w:fill="EAF7FA"/>
          </w:tcPr>
          <w:p>
            <w:pPr>
              <w:ind w:left="860"/>
              <w:spacing w:after="0"/>
              <w:rPr>
                <w:sz w:val="20"/>
                <w:szCs w:val="20"/>
                <w:color w:val="auto"/>
              </w:rPr>
            </w:pPr>
            <w:r>
              <w:rPr>
                <w:rFonts w:ascii="Arial" w:cs="Arial" w:eastAsia="Arial" w:hAnsi="Arial"/>
                <w:sz w:val="14"/>
                <w:szCs w:val="14"/>
                <w:color w:val="54565B"/>
              </w:rPr>
              <w:t>2/22/2022</w:t>
            </w:r>
          </w:p>
        </w:tc>
        <w:tc>
          <w:tcPr>
            <w:tcW w:w="100" w:type="dxa"/>
            <w:vAlign w:val="bottom"/>
            <w:shd w:val="clear" w:color="auto" w:fill="EAF7FA"/>
          </w:tcPr>
          <w:p>
            <w:pPr>
              <w:spacing w:after="0"/>
              <w:rPr>
                <w:sz w:val="19"/>
                <w:szCs w:val="19"/>
                <w:color w:val="auto"/>
              </w:rPr>
            </w:pPr>
          </w:p>
        </w:tc>
        <w:tc>
          <w:tcPr>
            <w:tcW w:w="2820" w:type="dxa"/>
            <w:vAlign w:val="bottom"/>
            <w:shd w:val="clear" w:color="auto" w:fill="EAF7FA"/>
          </w:tcPr>
          <w:p>
            <w:pPr>
              <w:jc w:val="right"/>
              <w:ind w:right="328"/>
              <w:spacing w:after="0"/>
              <w:rPr>
                <w:sz w:val="20"/>
                <w:szCs w:val="20"/>
                <w:color w:val="auto"/>
              </w:rPr>
            </w:pPr>
            <w:r>
              <w:rPr>
                <w:rFonts w:ascii="Arial" w:cs="Arial" w:eastAsia="Arial" w:hAnsi="Arial"/>
                <w:sz w:val="14"/>
                <w:szCs w:val="14"/>
                <w:color w:val="54565B"/>
              </w:rPr>
              <w:t>1,419</w:t>
            </w:r>
          </w:p>
        </w:tc>
        <w:tc>
          <w:tcPr>
            <w:tcW w:w="3080" w:type="dxa"/>
            <w:vAlign w:val="bottom"/>
            <w:shd w:val="clear" w:color="auto" w:fill="EAF7FA"/>
          </w:tcPr>
          <w:p>
            <w:pPr>
              <w:ind w:left="1620"/>
              <w:spacing w:after="0"/>
              <w:rPr>
                <w:sz w:val="20"/>
                <w:szCs w:val="20"/>
                <w:color w:val="auto"/>
              </w:rPr>
            </w:pPr>
            <w:r>
              <w:rPr>
                <w:rFonts w:ascii="Arial" w:cs="Arial" w:eastAsia="Arial" w:hAnsi="Arial"/>
                <w:sz w:val="14"/>
                <w:szCs w:val="14"/>
                <w:color w:val="54565B"/>
              </w:rPr>
              <w:t>193,949</w:t>
            </w:r>
          </w:p>
        </w:tc>
        <w:tc>
          <w:tcPr>
            <w:tcW w:w="140" w:type="dxa"/>
            <w:vAlign w:val="bottom"/>
            <w:shd w:val="clear" w:color="auto" w:fill="EAF7FA"/>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20" w:type="dxa"/>
            <w:vAlign w:val="bottom"/>
            <w:shd w:val="clear" w:color="auto" w:fill="EAF7FA"/>
          </w:tcPr>
          <w:p>
            <w:pPr>
              <w:spacing w:after="0"/>
              <w:rPr>
                <w:sz w:val="22"/>
                <w:szCs w:val="22"/>
                <w:color w:val="auto"/>
              </w:rPr>
            </w:pPr>
          </w:p>
        </w:tc>
        <w:tc>
          <w:tcPr>
            <w:tcW w:w="1540" w:type="dxa"/>
            <w:vAlign w:val="bottom"/>
            <w:vMerge w:val="restart"/>
            <w:shd w:val="clear" w:color="auto" w:fill="EAF7FA"/>
          </w:tcPr>
          <w:p>
            <w:pPr>
              <w:ind w:left="80"/>
              <w:spacing w:after="0"/>
              <w:rPr>
                <w:sz w:val="20"/>
                <w:szCs w:val="20"/>
                <w:color w:val="auto"/>
              </w:rPr>
            </w:pPr>
            <w:r>
              <w:rPr>
                <w:rFonts w:ascii="Arial" w:cs="Arial" w:eastAsia="Arial" w:hAnsi="Arial"/>
                <w:sz w:val="14"/>
                <w:szCs w:val="14"/>
                <w:b w:val="1"/>
                <w:bCs w:val="1"/>
                <w:color w:val="54565B"/>
              </w:rPr>
              <w:t>Mark A. Weiss</w:t>
            </w:r>
          </w:p>
        </w:tc>
        <w:tc>
          <w:tcPr>
            <w:tcW w:w="80" w:type="dxa"/>
            <w:vAlign w:val="bottom"/>
            <w:shd w:val="clear" w:color="auto" w:fill="EAF7FA"/>
          </w:tcPr>
          <w:p>
            <w:pPr>
              <w:spacing w:after="0"/>
              <w:rPr>
                <w:sz w:val="22"/>
                <w:szCs w:val="22"/>
                <w:color w:val="auto"/>
              </w:rPr>
            </w:pPr>
          </w:p>
        </w:tc>
        <w:tc>
          <w:tcPr>
            <w:tcW w:w="1520" w:type="dxa"/>
            <w:vAlign w:val="bottom"/>
            <w:shd w:val="clear" w:color="auto" w:fill="EAF7FA"/>
          </w:tcPr>
          <w:p>
            <w:pPr>
              <w:ind w:left="860"/>
              <w:spacing w:after="0"/>
              <w:rPr>
                <w:sz w:val="20"/>
                <w:szCs w:val="20"/>
                <w:color w:val="auto"/>
              </w:rPr>
            </w:pPr>
            <w:r>
              <w:rPr>
                <w:rFonts w:ascii="Arial" w:cs="Arial" w:eastAsia="Arial" w:hAnsi="Arial"/>
                <w:sz w:val="14"/>
                <w:szCs w:val="14"/>
                <w:color w:val="54565B"/>
              </w:rPr>
              <w:t>2/22/2023</w:t>
            </w:r>
          </w:p>
        </w:tc>
        <w:tc>
          <w:tcPr>
            <w:tcW w:w="100" w:type="dxa"/>
            <w:vAlign w:val="bottom"/>
            <w:shd w:val="clear" w:color="auto" w:fill="EAF7FA"/>
          </w:tcPr>
          <w:p>
            <w:pPr>
              <w:spacing w:after="0"/>
              <w:rPr>
                <w:sz w:val="22"/>
                <w:szCs w:val="22"/>
                <w:color w:val="auto"/>
              </w:rPr>
            </w:pPr>
          </w:p>
        </w:tc>
        <w:tc>
          <w:tcPr>
            <w:tcW w:w="2820" w:type="dxa"/>
            <w:vAlign w:val="bottom"/>
            <w:shd w:val="clear" w:color="auto" w:fill="EAF7FA"/>
          </w:tcPr>
          <w:p>
            <w:pPr>
              <w:jc w:val="right"/>
              <w:ind w:right="328"/>
              <w:spacing w:after="0"/>
              <w:rPr>
                <w:sz w:val="20"/>
                <w:szCs w:val="20"/>
                <w:color w:val="auto"/>
              </w:rPr>
            </w:pPr>
            <w:r>
              <w:rPr>
                <w:rFonts w:ascii="Arial" w:cs="Arial" w:eastAsia="Arial" w:hAnsi="Arial"/>
                <w:sz w:val="14"/>
                <w:szCs w:val="14"/>
                <w:color w:val="54565B"/>
              </w:rPr>
              <w:t>2,422</w:t>
            </w:r>
          </w:p>
        </w:tc>
        <w:tc>
          <w:tcPr>
            <w:tcW w:w="3080" w:type="dxa"/>
            <w:vAlign w:val="bottom"/>
            <w:shd w:val="clear" w:color="auto" w:fill="EAF7FA"/>
          </w:tcPr>
          <w:p>
            <w:pPr>
              <w:ind w:left="1620"/>
              <w:spacing w:after="0"/>
              <w:rPr>
                <w:sz w:val="20"/>
                <w:szCs w:val="20"/>
                <w:color w:val="auto"/>
              </w:rPr>
            </w:pPr>
            <w:r>
              <w:rPr>
                <w:rFonts w:ascii="Arial" w:cs="Arial" w:eastAsia="Arial" w:hAnsi="Arial"/>
                <w:sz w:val="14"/>
                <w:szCs w:val="14"/>
                <w:color w:val="54565B"/>
              </w:rPr>
              <w:t>331,039</w:t>
            </w:r>
          </w:p>
        </w:tc>
        <w:tc>
          <w:tcPr>
            <w:tcW w:w="140" w:type="dxa"/>
            <w:vAlign w:val="bottom"/>
            <w:shd w:val="clear" w:color="auto" w:fill="EAF7FA"/>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20" w:type="dxa"/>
            <w:vAlign w:val="bottom"/>
            <w:shd w:val="clear" w:color="auto" w:fill="EAF7FA"/>
          </w:tcPr>
          <w:p>
            <w:pPr>
              <w:spacing w:after="0"/>
              <w:rPr>
                <w:sz w:val="11"/>
                <w:szCs w:val="11"/>
                <w:color w:val="auto"/>
              </w:rPr>
            </w:pPr>
          </w:p>
        </w:tc>
        <w:tc>
          <w:tcPr>
            <w:tcW w:w="1540" w:type="dxa"/>
            <w:vAlign w:val="bottom"/>
            <w:vMerge w:val="continue"/>
            <w:shd w:val="clear" w:color="auto" w:fill="EAF7FA"/>
          </w:tcPr>
          <w:p>
            <w:pPr>
              <w:spacing w:after="0"/>
              <w:rPr>
                <w:sz w:val="11"/>
                <w:szCs w:val="11"/>
                <w:color w:val="auto"/>
              </w:rPr>
            </w:pPr>
          </w:p>
        </w:tc>
        <w:tc>
          <w:tcPr>
            <w:tcW w:w="80" w:type="dxa"/>
            <w:vAlign w:val="bottom"/>
            <w:shd w:val="clear" w:color="auto" w:fill="EAF7FA"/>
          </w:tcPr>
          <w:p>
            <w:pPr>
              <w:spacing w:after="0"/>
              <w:rPr>
                <w:sz w:val="11"/>
                <w:szCs w:val="11"/>
                <w:color w:val="auto"/>
              </w:rPr>
            </w:pPr>
          </w:p>
        </w:tc>
        <w:tc>
          <w:tcPr>
            <w:tcW w:w="1520" w:type="dxa"/>
            <w:vAlign w:val="bottom"/>
            <w:vMerge w:val="restart"/>
            <w:shd w:val="clear" w:color="auto" w:fill="EAF7FA"/>
          </w:tcPr>
          <w:p>
            <w:pPr>
              <w:ind w:left="860"/>
              <w:spacing w:after="0"/>
              <w:rPr>
                <w:sz w:val="20"/>
                <w:szCs w:val="20"/>
                <w:color w:val="auto"/>
              </w:rPr>
            </w:pPr>
            <w:r>
              <w:rPr>
                <w:rFonts w:ascii="Arial" w:cs="Arial" w:eastAsia="Arial" w:hAnsi="Arial"/>
                <w:sz w:val="14"/>
                <w:szCs w:val="14"/>
                <w:color w:val="54565B"/>
              </w:rPr>
              <w:t>2/27/2024</w:t>
            </w:r>
          </w:p>
        </w:tc>
        <w:tc>
          <w:tcPr>
            <w:tcW w:w="100" w:type="dxa"/>
            <w:vAlign w:val="bottom"/>
            <w:shd w:val="clear" w:color="auto" w:fill="EAF7FA"/>
          </w:tcPr>
          <w:p>
            <w:pPr>
              <w:spacing w:after="0"/>
              <w:rPr>
                <w:sz w:val="11"/>
                <w:szCs w:val="11"/>
                <w:color w:val="auto"/>
              </w:rPr>
            </w:pPr>
          </w:p>
        </w:tc>
        <w:tc>
          <w:tcPr>
            <w:tcW w:w="2820" w:type="dxa"/>
            <w:vAlign w:val="bottom"/>
            <w:vMerge w:val="restart"/>
            <w:shd w:val="clear" w:color="auto" w:fill="EAF7FA"/>
          </w:tcPr>
          <w:p>
            <w:pPr>
              <w:jc w:val="right"/>
              <w:ind w:right="328"/>
              <w:spacing w:after="0"/>
              <w:rPr>
                <w:sz w:val="20"/>
                <w:szCs w:val="20"/>
                <w:color w:val="auto"/>
              </w:rPr>
            </w:pPr>
            <w:r>
              <w:rPr>
                <w:rFonts w:ascii="Arial" w:cs="Arial" w:eastAsia="Arial" w:hAnsi="Arial"/>
                <w:sz w:val="14"/>
                <w:szCs w:val="14"/>
                <w:color w:val="54565B"/>
              </w:rPr>
              <w:t>3,011</w:t>
            </w:r>
          </w:p>
        </w:tc>
        <w:tc>
          <w:tcPr>
            <w:tcW w:w="3080" w:type="dxa"/>
            <w:vAlign w:val="bottom"/>
            <w:vMerge w:val="restart"/>
            <w:shd w:val="clear" w:color="auto" w:fill="EAF7FA"/>
          </w:tcPr>
          <w:p>
            <w:pPr>
              <w:ind w:left="1620"/>
              <w:spacing w:after="0"/>
              <w:rPr>
                <w:sz w:val="20"/>
                <w:szCs w:val="20"/>
                <w:color w:val="auto"/>
              </w:rPr>
            </w:pPr>
            <w:r>
              <w:rPr>
                <w:rFonts w:ascii="Arial" w:cs="Arial" w:eastAsia="Arial" w:hAnsi="Arial"/>
                <w:sz w:val="14"/>
                <w:szCs w:val="14"/>
                <w:color w:val="54565B"/>
              </w:rPr>
              <w:t>411,543</w:t>
            </w:r>
          </w:p>
        </w:tc>
        <w:tc>
          <w:tcPr>
            <w:tcW w:w="140" w:type="dxa"/>
            <w:vAlign w:val="bottom"/>
            <w:shd w:val="clear" w:color="auto" w:fill="EAF7FA"/>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0" w:type="dxa"/>
            <w:vAlign w:val="bottom"/>
            <w:shd w:val="clear" w:color="auto" w:fill="EAF7FA"/>
          </w:tcPr>
          <w:p>
            <w:pPr>
              <w:spacing w:after="0"/>
              <w:rPr>
                <w:sz w:val="11"/>
                <w:szCs w:val="11"/>
                <w:color w:val="auto"/>
              </w:rPr>
            </w:pPr>
          </w:p>
        </w:tc>
        <w:tc>
          <w:tcPr>
            <w:tcW w:w="1540" w:type="dxa"/>
            <w:vAlign w:val="bottom"/>
            <w:shd w:val="clear" w:color="auto" w:fill="EAF7FA"/>
          </w:tcPr>
          <w:p>
            <w:pPr>
              <w:spacing w:after="0"/>
              <w:rPr>
                <w:sz w:val="11"/>
                <w:szCs w:val="11"/>
                <w:color w:val="auto"/>
              </w:rPr>
            </w:pPr>
          </w:p>
        </w:tc>
        <w:tc>
          <w:tcPr>
            <w:tcW w:w="80" w:type="dxa"/>
            <w:vAlign w:val="bottom"/>
            <w:shd w:val="clear" w:color="auto" w:fill="EAF7FA"/>
          </w:tcPr>
          <w:p>
            <w:pPr>
              <w:spacing w:after="0"/>
              <w:rPr>
                <w:sz w:val="11"/>
                <w:szCs w:val="11"/>
                <w:color w:val="auto"/>
              </w:rPr>
            </w:pPr>
          </w:p>
        </w:tc>
        <w:tc>
          <w:tcPr>
            <w:tcW w:w="1520" w:type="dxa"/>
            <w:vAlign w:val="bottom"/>
            <w:vMerge w:val="continue"/>
            <w:shd w:val="clear" w:color="auto" w:fill="EAF7FA"/>
          </w:tcPr>
          <w:p>
            <w:pPr>
              <w:spacing w:after="0"/>
              <w:rPr>
                <w:sz w:val="11"/>
                <w:szCs w:val="11"/>
                <w:color w:val="auto"/>
              </w:rPr>
            </w:pPr>
          </w:p>
        </w:tc>
        <w:tc>
          <w:tcPr>
            <w:tcW w:w="100" w:type="dxa"/>
            <w:vAlign w:val="bottom"/>
            <w:shd w:val="clear" w:color="auto" w:fill="EAF7FA"/>
          </w:tcPr>
          <w:p>
            <w:pPr>
              <w:spacing w:after="0"/>
              <w:rPr>
                <w:sz w:val="11"/>
                <w:szCs w:val="11"/>
                <w:color w:val="auto"/>
              </w:rPr>
            </w:pPr>
          </w:p>
        </w:tc>
        <w:tc>
          <w:tcPr>
            <w:tcW w:w="2820" w:type="dxa"/>
            <w:vAlign w:val="bottom"/>
            <w:vMerge w:val="continue"/>
            <w:shd w:val="clear" w:color="auto" w:fill="EAF7FA"/>
          </w:tcPr>
          <w:p>
            <w:pPr>
              <w:spacing w:after="0"/>
              <w:rPr>
                <w:sz w:val="11"/>
                <w:szCs w:val="11"/>
                <w:color w:val="auto"/>
              </w:rPr>
            </w:pPr>
          </w:p>
        </w:tc>
        <w:tc>
          <w:tcPr>
            <w:tcW w:w="3080" w:type="dxa"/>
            <w:vAlign w:val="bottom"/>
            <w:vMerge w:val="continue"/>
            <w:shd w:val="clear" w:color="auto" w:fill="EAF7FA"/>
          </w:tcPr>
          <w:p>
            <w:pPr>
              <w:spacing w:after="0"/>
              <w:rPr>
                <w:sz w:val="11"/>
                <w:szCs w:val="11"/>
                <w:color w:val="auto"/>
              </w:rPr>
            </w:pPr>
          </w:p>
        </w:tc>
        <w:tc>
          <w:tcPr>
            <w:tcW w:w="140" w:type="dxa"/>
            <w:vAlign w:val="bottom"/>
            <w:shd w:val="clear" w:color="auto" w:fill="EAF7FA"/>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120" w:type="dxa"/>
            <w:vAlign w:val="bottom"/>
            <w:tcBorders>
              <w:bottom w:val="single" w:sz="8" w:color="EAF7FA"/>
            </w:tcBorders>
            <w:shd w:val="clear" w:color="auto" w:fill="EAF7FA"/>
          </w:tcPr>
          <w:p>
            <w:pPr>
              <w:spacing w:after="0"/>
              <w:rPr>
                <w:sz w:val="23"/>
                <w:szCs w:val="23"/>
                <w:color w:val="auto"/>
              </w:rPr>
            </w:pPr>
          </w:p>
        </w:tc>
        <w:tc>
          <w:tcPr>
            <w:tcW w:w="1540" w:type="dxa"/>
            <w:vAlign w:val="bottom"/>
            <w:tcBorders>
              <w:bottom w:val="single" w:sz="8" w:color="EAF7FA"/>
            </w:tcBorders>
            <w:shd w:val="clear" w:color="auto" w:fill="EAF7FA"/>
          </w:tcPr>
          <w:p>
            <w:pPr>
              <w:spacing w:after="0"/>
              <w:rPr>
                <w:sz w:val="23"/>
                <w:szCs w:val="23"/>
                <w:color w:val="auto"/>
              </w:rPr>
            </w:pPr>
          </w:p>
        </w:tc>
        <w:tc>
          <w:tcPr>
            <w:tcW w:w="80" w:type="dxa"/>
            <w:vAlign w:val="bottom"/>
            <w:tcBorders>
              <w:bottom w:val="single" w:sz="8" w:color="EAF7FA"/>
            </w:tcBorders>
            <w:shd w:val="clear" w:color="auto" w:fill="EAF7FA"/>
          </w:tcPr>
          <w:p>
            <w:pPr>
              <w:spacing w:after="0"/>
              <w:rPr>
                <w:sz w:val="23"/>
                <w:szCs w:val="23"/>
                <w:color w:val="auto"/>
              </w:rPr>
            </w:pPr>
          </w:p>
        </w:tc>
        <w:tc>
          <w:tcPr>
            <w:tcW w:w="1520" w:type="dxa"/>
            <w:vAlign w:val="bottom"/>
            <w:tcBorders>
              <w:bottom w:val="single" w:sz="8" w:color="EAF7FA"/>
            </w:tcBorders>
            <w:shd w:val="clear" w:color="auto" w:fill="EAF7FA"/>
          </w:tcPr>
          <w:p>
            <w:pPr>
              <w:ind w:left="860"/>
              <w:spacing w:after="0"/>
              <w:rPr>
                <w:sz w:val="20"/>
                <w:szCs w:val="20"/>
                <w:color w:val="auto"/>
              </w:rPr>
            </w:pPr>
            <w:r>
              <w:rPr>
                <w:rFonts w:ascii="Arial" w:cs="Arial" w:eastAsia="Arial" w:hAnsi="Arial"/>
                <w:sz w:val="14"/>
                <w:szCs w:val="14"/>
                <w:color w:val="54565B"/>
              </w:rPr>
              <w:t>2/19/2025</w:t>
            </w:r>
          </w:p>
        </w:tc>
        <w:tc>
          <w:tcPr>
            <w:tcW w:w="100" w:type="dxa"/>
            <w:vAlign w:val="bottom"/>
            <w:tcBorders>
              <w:bottom w:val="single" w:sz="8" w:color="EAF7FA"/>
            </w:tcBorders>
            <w:shd w:val="clear" w:color="auto" w:fill="EAF7FA"/>
          </w:tcPr>
          <w:p>
            <w:pPr>
              <w:spacing w:after="0"/>
              <w:rPr>
                <w:sz w:val="23"/>
                <w:szCs w:val="23"/>
                <w:color w:val="auto"/>
              </w:rPr>
            </w:pPr>
          </w:p>
        </w:tc>
        <w:tc>
          <w:tcPr>
            <w:tcW w:w="2820" w:type="dxa"/>
            <w:vAlign w:val="bottom"/>
            <w:tcBorders>
              <w:bottom w:val="single" w:sz="8" w:color="EAF7FA"/>
            </w:tcBorders>
            <w:shd w:val="clear" w:color="auto" w:fill="EAF7FA"/>
          </w:tcPr>
          <w:p>
            <w:pPr>
              <w:jc w:val="right"/>
              <w:ind w:right="328"/>
              <w:spacing w:after="0"/>
              <w:rPr>
                <w:sz w:val="20"/>
                <w:szCs w:val="20"/>
                <w:color w:val="auto"/>
              </w:rPr>
            </w:pPr>
            <w:r>
              <w:rPr>
                <w:rFonts w:ascii="Arial" w:cs="Arial" w:eastAsia="Arial" w:hAnsi="Arial"/>
                <w:sz w:val="14"/>
                <w:szCs w:val="14"/>
                <w:color w:val="54565B"/>
              </w:rPr>
              <w:t>3,282</w:t>
            </w:r>
          </w:p>
        </w:tc>
        <w:tc>
          <w:tcPr>
            <w:tcW w:w="3080" w:type="dxa"/>
            <w:vAlign w:val="bottom"/>
            <w:tcBorders>
              <w:bottom w:val="single" w:sz="8" w:color="EAF7FA"/>
            </w:tcBorders>
            <w:shd w:val="clear" w:color="auto" w:fill="EAF7FA"/>
          </w:tcPr>
          <w:p>
            <w:pPr>
              <w:ind w:left="1620"/>
              <w:spacing w:after="0"/>
              <w:rPr>
                <w:sz w:val="20"/>
                <w:szCs w:val="20"/>
                <w:color w:val="auto"/>
              </w:rPr>
            </w:pPr>
            <w:r>
              <w:rPr>
                <w:rFonts w:ascii="Arial" w:cs="Arial" w:eastAsia="Arial" w:hAnsi="Arial"/>
                <w:sz w:val="14"/>
                <w:szCs w:val="14"/>
                <w:color w:val="54565B"/>
              </w:rPr>
              <w:t>448,584</w:t>
            </w:r>
          </w:p>
        </w:tc>
        <w:tc>
          <w:tcPr>
            <w:tcW w:w="140" w:type="dxa"/>
            <w:vAlign w:val="bottom"/>
            <w:tcBorders>
              <w:bottom w:val="single" w:sz="8" w:color="EAF7FA"/>
            </w:tcBorders>
            <w:shd w:val="clear" w:color="auto" w:fill="EAF7FA"/>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B3C61"/>
          </w:tcPr>
          <w:p>
            <w:pPr>
              <w:spacing w:after="0" w:line="20" w:lineRule="exact"/>
              <w:rPr>
                <w:sz w:val="1"/>
                <w:szCs w:val="1"/>
                <w:color w:val="auto"/>
              </w:rPr>
            </w:pPr>
          </w:p>
        </w:tc>
        <w:tc>
          <w:tcPr>
            <w:tcW w:w="1540" w:type="dxa"/>
            <w:vAlign w:val="bottom"/>
            <w:shd w:val="clear" w:color="auto" w:fill="0B3C61"/>
          </w:tcPr>
          <w:p>
            <w:pPr>
              <w:spacing w:after="0" w:line="20" w:lineRule="exact"/>
              <w:rPr>
                <w:sz w:val="1"/>
                <w:szCs w:val="1"/>
                <w:color w:val="auto"/>
              </w:rPr>
            </w:pPr>
          </w:p>
        </w:tc>
        <w:tc>
          <w:tcPr>
            <w:tcW w:w="80" w:type="dxa"/>
            <w:vAlign w:val="bottom"/>
            <w:shd w:val="clear" w:color="auto" w:fill="0B3C61"/>
          </w:tcPr>
          <w:p>
            <w:pPr>
              <w:spacing w:after="0" w:line="20" w:lineRule="exact"/>
              <w:rPr>
                <w:sz w:val="1"/>
                <w:szCs w:val="1"/>
                <w:color w:val="auto"/>
              </w:rPr>
            </w:pPr>
          </w:p>
        </w:tc>
        <w:tc>
          <w:tcPr>
            <w:tcW w:w="1520" w:type="dxa"/>
            <w:vAlign w:val="bottom"/>
            <w:shd w:val="clear" w:color="auto" w:fill="0B3C61"/>
          </w:tcPr>
          <w:p>
            <w:pPr>
              <w:spacing w:after="0" w:line="20" w:lineRule="exact"/>
              <w:rPr>
                <w:sz w:val="1"/>
                <w:szCs w:val="1"/>
                <w:color w:val="auto"/>
              </w:rPr>
            </w:pPr>
          </w:p>
        </w:tc>
        <w:tc>
          <w:tcPr>
            <w:tcW w:w="100" w:type="dxa"/>
            <w:vAlign w:val="bottom"/>
            <w:shd w:val="clear" w:color="auto" w:fill="0B3C61"/>
          </w:tcPr>
          <w:p>
            <w:pPr>
              <w:spacing w:after="0" w:line="20" w:lineRule="exact"/>
              <w:rPr>
                <w:sz w:val="1"/>
                <w:szCs w:val="1"/>
                <w:color w:val="auto"/>
              </w:rPr>
            </w:pPr>
          </w:p>
        </w:tc>
        <w:tc>
          <w:tcPr>
            <w:tcW w:w="2820" w:type="dxa"/>
            <w:vAlign w:val="bottom"/>
            <w:shd w:val="clear" w:color="auto" w:fill="0B3C61"/>
          </w:tcPr>
          <w:p>
            <w:pPr>
              <w:spacing w:after="0" w:line="20" w:lineRule="exact"/>
              <w:rPr>
                <w:sz w:val="1"/>
                <w:szCs w:val="1"/>
                <w:color w:val="auto"/>
              </w:rPr>
            </w:pPr>
          </w:p>
        </w:tc>
        <w:tc>
          <w:tcPr>
            <w:tcW w:w="3080" w:type="dxa"/>
            <w:vAlign w:val="bottom"/>
            <w:shd w:val="clear" w:color="auto" w:fill="0B3C61"/>
          </w:tcPr>
          <w:p>
            <w:pPr>
              <w:spacing w:after="0" w:line="20" w:lineRule="exact"/>
              <w:rPr>
                <w:sz w:val="1"/>
                <w:szCs w:val="1"/>
                <w:color w:val="auto"/>
              </w:rPr>
            </w:pPr>
          </w:p>
        </w:tc>
        <w:tc>
          <w:tcPr>
            <w:tcW w:w="140" w:type="dxa"/>
            <w:vAlign w:val="bottom"/>
            <w:shd w:val="clear" w:color="auto" w:fill="0B3C6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2720975</wp:posOffset>
            </wp:positionH>
            <wp:positionV relativeFrom="paragraph">
              <wp:posOffset>-4739640</wp:posOffset>
            </wp:positionV>
            <wp:extent cx="31546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124"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3"/>
          <w:szCs w:val="13"/>
          <w:color w:val="54565B"/>
        </w:rPr>
        <w:t>(1)</w:t>
      </w:r>
      <w:r>
        <w:rPr>
          <w:sz w:val="20"/>
          <w:szCs w:val="20"/>
          <w:color w:val="auto"/>
        </w:rPr>
        <w:tab/>
      </w:r>
      <w:r>
        <w:rPr>
          <w:rFonts w:ascii="Arial" w:cs="Arial" w:eastAsia="Arial" w:hAnsi="Arial"/>
          <w:sz w:val="12"/>
          <w:szCs w:val="12"/>
          <w:color w:val="54565B"/>
        </w:rPr>
        <w:t>Represents restricted shares which cliff-vest four years following the award grant date.</w:t>
      </w:r>
    </w:p>
    <w:p>
      <w:pPr>
        <w:spacing w:after="0" w:line="310" w:lineRule="exact"/>
        <w:rPr>
          <w:sz w:val="20"/>
          <w:szCs w:val="20"/>
          <w:color w:val="auto"/>
        </w:rPr>
      </w:pPr>
    </w:p>
    <w:p>
      <w:pPr>
        <w:ind w:left="6360"/>
        <w:spacing w:after="0"/>
        <w:rPr>
          <w:sz w:val="20"/>
          <w:szCs w:val="20"/>
          <w:color w:val="auto"/>
        </w:rPr>
      </w:pPr>
      <w:r>
        <w:rPr>
          <w:rFonts w:ascii="Arial" w:cs="Arial" w:eastAsia="Arial" w:hAnsi="Arial"/>
          <w:sz w:val="12"/>
          <w:szCs w:val="12"/>
          <w:color w:val="0B3C61"/>
        </w:rPr>
        <w:t xml:space="preserve">2026 Proxy Statement | American Financial Group   </w:t>
      </w:r>
      <w:r>
        <w:rPr>
          <w:rFonts w:ascii="Arial" w:cs="Arial" w:eastAsia="Arial" w:hAnsi="Arial"/>
          <w:sz w:val="12"/>
          <w:szCs w:val="12"/>
          <w:b w:val="1"/>
          <w:bCs w:val="1"/>
          <w:color w:val="EA1D2D"/>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163830</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0B3C61"/>
        </w:rPr>
        <w:t>OPTION EXERCISES AND STOCK VESTED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54565B"/>
        </w:rPr>
        <w:t>The table below sets forth information regarding restricted share awards which vested in 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4940" w:type="dxa"/>
            <w:vAlign w:val="bottom"/>
            <w:shd w:val="clear" w:color="auto" w:fill="0B3C61"/>
          </w:tcPr>
          <w:p>
            <w:pPr>
              <w:spacing w:after="0"/>
              <w:rPr>
                <w:sz w:val="24"/>
                <w:szCs w:val="24"/>
                <w:color w:val="auto"/>
              </w:rPr>
            </w:pPr>
          </w:p>
        </w:tc>
        <w:tc>
          <w:tcPr>
            <w:tcW w:w="2120" w:type="dxa"/>
            <w:vAlign w:val="bottom"/>
            <w:shd w:val="clear" w:color="auto" w:fill="0B3C61"/>
          </w:tcPr>
          <w:p>
            <w:pPr>
              <w:spacing w:after="0"/>
              <w:rPr>
                <w:sz w:val="24"/>
                <w:szCs w:val="24"/>
                <w:color w:val="auto"/>
              </w:rPr>
            </w:pPr>
          </w:p>
        </w:tc>
        <w:tc>
          <w:tcPr>
            <w:tcW w:w="2160" w:type="dxa"/>
            <w:vAlign w:val="bottom"/>
            <w:shd w:val="clear" w:color="auto" w:fill="0B3C61"/>
          </w:tcPr>
          <w:p>
            <w:pPr>
              <w:ind w:left="60"/>
              <w:spacing w:after="0"/>
              <w:rPr>
                <w:sz w:val="20"/>
                <w:szCs w:val="20"/>
                <w:color w:val="auto"/>
              </w:rPr>
            </w:pPr>
            <w:r>
              <w:rPr>
                <w:rFonts w:ascii="Arial" w:cs="Arial" w:eastAsia="Arial" w:hAnsi="Arial"/>
                <w:sz w:val="14"/>
                <w:szCs w:val="14"/>
                <w:color w:val="FFFFFF"/>
              </w:rPr>
              <w:t>Stock Awards</w:t>
            </w:r>
          </w:p>
        </w:tc>
        <w:tc>
          <w:tcPr>
            <w:tcW w:w="180" w:type="dxa"/>
            <w:vAlign w:val="bottom"/>
            <w:shd w:val="clear" w:color="auto" w:fill="0B3C61"/>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940" w:type="dxa"/>
            <w:vAlign w:val="bottom"/>
            <w:shd w:val="clear" w:color="auto" w:fill="0B3C61"/>
          </w:tcPr>
          <w:p>
            <w:pPr>
              <w:spacing w:after="0"/>
              <w:rPr>
                <w:sz w:val="24"/>
                <w:szCs w:val="24"/>
                <w:color w:val="auto"/>
              </w:rPr>
            </w:pPr>
          </w:p>
        </w:tc>
        <w:tc>
          <w:tcPr>
            <w:tcW w:w="2120" w:type="dxa"/>
            <w:vAlign w:val="bottom"/>
            <w:shd w:val="clear" w:color="auto" w:fill="0B3C61"/>
          </w:tcPr>
          <w:p>
            <w:pPr>
              <w:jc w:val="center"/>
              <w:ind w:left="848"/>
              <w:spacing w:after="0"/>
              <w:rPr>
                <w:sz w:val="20"/>
                <w:szCs w:val="20"/>
                <w:color w:val="auto"/>
              </w:rPr>
            </w:pPr>
            <w:r>
              <w:rPr>
                <w:rFonts w:ascii="Arial" w:cs="Arial" w:eastAsia="Arial" w:hAnsi="Arial"/>
                <w:sz w:val="14"/>
                <w:szCs w:val="14"/>
                <w:color w:val="FFFFFF"/>
              </w:rPr>
              <w:t>Number of</w:t>
            </w:r>
          </w:p>
        </w:tc>
        <w:tc>
          <w:tcPr>
            <w:tcW w:w="2160" w:type="dxa"/>
            <w:vAlign w:val="bottom"/>
            <w:vMerge w:val="restart"/>
            <w:shd w:val="clear" w:color="auto" w:fill="0B3C61"/>
          </w:tcPr>
          <w:p>
            <w:pPr>
              <w:jc w:val="center"/>
              <w:ind w:left="848"/>
              <w:spacing w:after="0"/>
              <w:rPr>
                <w:sz w:val="20"/>
                <w:szCs w:val="20"/>
                <w:color w:val="auto"/>
              </w:rPr>
            </w:pPr>
            <w:r>
              <w:rPr>
                <w:rFonts w:ascii="Arial" w:cs="Arial" w:eastAsia="Arial" w:hAnsi="Arial"/>
                <w:sz w:val="14"/>
                <w:szCs w:val="14"/>
                <w:color w:val="FFFFFF"/>
              </w:rPr>
              <w:t>Value Realized on</w:t>
            </w:r>
          </w:p>
        </w:tc>
        <w:tc>
          <w:tcPr>
            <w:tcW w:w="180" w:type="dxa"/>
            <w:vAlign w:val="bottom"/>
            <w:shd w:val="clear" w:color="auto" w:fill="0B3C61"/>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940" w:type="dxa"/>
            <w:vAlign w:val="bottom"/>
            <w:shd w:val="clear" w:color="auto" w:fill="0B3C61"/>
          </w:tcPr>
          <w:p>
            <w:pPr>
              <w:spacing w:after="0"/>
              <w:rPr>
                <w:sz w:val="12"/>
                <w:szCs w:val="12"/>
                <w:color w:val="auto"/>
              </w:rPr>
            </w:pPr>
          </w:p>
        </w:tc>
        <w:tc>
          <w:tcPr>
            <w:tcW w:w="2120" w:type="dxa"/>
            <w:vAlign w:val="bottom"/>
            <w:shd w:val="clear" w:color="auto" w:fill="0B3C61"/>
          </w:tcPr>
          <w:p>
            <w:pPr>
              <w:jc w:val="center"/>
              <w:ind w:left="848"/>
              <w:spacing w:after="0" w:line="145" w:lineRule="exact"/>
              <w:rPr>
                <w:sz w:val="20"/>
                <w:szCs w:val="20"/>
                <w:color w:val="auto"/>
              </w:rPr>
            </w:pPr>
            <w:r>
              <w:rPr>
                <w:rFonts w:ascii="Arial" w:cs="Arial" w:eastAsia="Arial" w:hAnsi="Arial"/>
                <w:sz w:val="14"/>
                <w:szCs w:val="14"/>
                <w:color w:val="FFFFFF"/>
              </w:rPr>
              <w:t>Shares Acquired</w:t>
            </w:r>
          </w:p>
        </w:tc>
        <w:tc>
          <w:tcPr>
            <w:tcW w:w="2160" w:type="dxa"/>
            <w:vAlign w:val="bottom"/>
            <w:vMerge w:val="continue"/>
            <w:shd w:val="clear" w:color="auto" w:fill="0B3C61"/>
          </w:tcPr>
          <w:p>
            <w:pPr>
              <w:spacing w:after="0"/>
              <w:rPr>
                <w:sz w:val="12"/>
                <w:szCs w:val="12"/>
                <w:color w:val="auto"/>
              </w:rPr>
            </w:pPr>
          </w:p>
        </w:tc>
        <w:tc>
          <w:tcPr>
            <w:tcW w:w="180" w:type="dxa"/>
            <w:vAlign w:val="bottom"/>
            <w:shd w:val="clear" w:color="auto" w:fill="0B3C61"/>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40" w:type="dxa"/>
            <w:vAlign w:val="bottom"/>
            <w:shd w:val="clear" w:color="auto" w:fill="0B3C61"/>
          </w:tcPr>
          <w:p>
            <w:pPr>
              <w:spacing w:after="0"/>
              <w:rPr>
                <w:sz w:val="14"/>
                <w:szCs w:val="14"/>
                <w:color w:val="auto"/>
              </w:rPr>
            </w:pPr>
          </w:p>
        </w:tc>
        <w:tc>
          <w:tcPr>
            <w:tcW w:w="2120" w:type="dxa"/>
            <w:vAlign w:val="bottom"/>
            <w:shd w:val="clear" w:color="auto" w:fill="0B3C61"/>
          </w:tcPr>
          <w:p>
            <w:pPr>
              <w:jc w:val="center"/>
              <w:ind w:left="848"/>
              <w:spacing w:after="0"/>
              <w:rPr>
                <w:sz w:val="20"/>
                <w:szCs w:val="20"/>
                <w:color w:val="auto"/>
              </w:rPr>
            </w:pPr>
            <w:r>
              <w:rPr>
                <w:rFonts w:ascii="Arial" w:cs="Arial" w:eastAsia="Arial" w:hAnsi="Arial"/>
                <w:sz w:val="14"/>
                <w:szCs w:val="14"/>
                <w:color w:val="FFFFFF"/>
              </w:rPr>
              <w:t>on Vesting</w:t>
            </w:r>
          </w:p>
        </w:tc>
        <w:tc>
          <w:tcPr>
            <w:tcW w:w="2160" w:type="dxa"/>
            <w:vAlign w:val="bottom"/>
            <w:shd w:val="clear" w:color="auto" w:fill="0B3C61"/>
          </w:tcPr>
          <w:p>
            <w:pPr>
              <w:jc w:val="center"/>
              <w:ind w:left="848"/>
              <w:spacing w:after="0"/>
              <w:rPr>
                <w:sz w:val="20"/>
                <w:szCs w:val="20"/>
                <w:color w:val="auto"/>
              </w:rPr>
            </w:pPr>
            <w:r>
              <w:rPr>
                <w:rFonts w:ascii="Arial" w:cs="Arial" w:eastAsia="Arial" w:hAnsi="Arial"/>
                <w:sz w:val="14"/>
                <w:szCs w:val="14"/>
                <w:color w:val="FFFFFF"/>
              </w:rPr>
              <w:t>Vesting</w:t>
            </w:r>
          </w:p>
        </w:tc>
        <w:tc>
          <w:tcPr>
            <w:tcW w:w="180" w:type="dxa"/>
            <w:vAlign w:val="bottom"/>
            <w:shd w:val="clear" w:color="auto" w:fill="0B3C61"/>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940" w:type="dxa"/>
            <w:vAlign w:val="bottom"/>
            <w:shd w:val="clear" w:color="auto" w:fill="0B3C61"/>
          </w:tcPr>
          <w:p>
            <w:pPr>
              <w:ind w:left="240"/>
              <w:spacing w:after="0"/>
              <w:rPr>
                <w:sz w:val="20"/>
                <w:szCs w:val="20"/>
                <w:color w:val="auto"/>
              </w:rPr>
            </w:pPr>
            <w:r>
              <w:rPr>
                <w:rFonts w:ascii="Arial" w:cs="Arial" w:eastAsia="Arial" w:hAnsi="Arial"/>
                <w:sz w:val="14"/>
                <w:szCs w:val="14"/>
                <w:color w:val="FFFFFF"/>
              </w:rPr>
              <w:t>Name</w:t>
            </w:r>
          </w:p>
        </w:tc>
        <w:tc>
          <w:tcPr>
            <w:tcW w:w="2120" w:type="dxa"/>
            <w:vAlign w:val="bottom"/>
            <w:shd w:val="clear" w:color="auto" w:fill="0B3C61"/>
          </w:tcPr>
          <w:p>
            <w:pPr>
              <w:jc w:val="center"/>
              <w:ind w:left="888"/>
              <w:spacing w:after="0"/>
              <w:rPr>
                <w:sz w:val="20"/>
                <w:szCs w:val="20"/>
                <w:color w:val="auto"/>
              </w:rPr>
            </w:pPr>
            <w:r>
              <w:rPr>
                <w:rFonts w:ascii="Arial" w:cs="Arial" w:eastAsia="Arial" w:hAnsi="Arial"/>
                <w:sz w:val="14"/>
                <w:szCs w:val="14"/>
                <w:color w:val="FFFFFF"/>
                <w:w w:val="93"/>
              </w:rPr>
              <w:t>(#)</w:t>
            </w:r>
          </w:p>
        </w:tc>
        <w:tc>
          <w:tcPr>
            <w:tcW w:w="2160" w:type="dxa"/>
            <w:vAlign w:val="bottom"/>
            <w:shd w:val="clear" w:color="auto" w:fill="0B3C61"/>
          </w:tcPr>
          <w:p>
            <w:pPr>
              <w:jc w:val="center"/>
              <w:ind w:left="888"/>
              <w:spacing w:after="0"/>
              <w:rPr>
                <w:sz w:val="20"/>
                <w:szCs w:val="20"/>
                <w:color w:val="auto"/>
              </w:rPr>
            </w:pPr>
            <w:r>
              <w:rPr>
                <w:rFonts w:ascii="Arial" w:cs="Arial" w:eastAsia="Arial" w:hAnsi="Arial"/>
                <w:sz w:val="14"/>
                <w:szCs w:val="14"/>
                <w:color w:val="FFFFFF"/>
                <w:w w:val="89"/>
              </w:rPr>
              <w:t>($)</w:t>
            </w:r>
            <w:r>
              <w:rPr>
                <w:rFonts w:ascii="Arial" w:cs="Arial" w:eastAsia="Arial" w:hAnsi="Arial"/>
                <w:sz w:val="23"/>
                <w:szCs w:val="23"/>
                <w:color w:val="FFFFFF"/>
                <w:w w:val="89"/>
                <w:vertAlign w:val="superscript"/>
              </w:rPr>
              <w:t>(1)</w:t>
            </w:r>
          </w:p>
        </w:tc>
        <w:tc>
          <w:tcPr>
            <w:tcW w:w="180" w:type="dxa"/>
            <w:vAlign w:val="bottom"/>
            <w:shd w:val="clear" w:color="auto" w:fill="0B3C61"/>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4940" w:type="dxa"/>
            <w:vAlign w:val="bottom"/>
          </w:tcPr>
          <w:p>
            <w:pPr>
              <w:ind w:left="240"/>
              <w:spacing w:after="0"/>
              <w:rPr>
                <w:sz w:val="20"/>
                <w:szCs w:val="20"/>
                <w:color w:val="auto"/>
              </w:rPr>
            </w:pPr>
            <w:r>
              <w:rPr>
                <w:rFonts w:ascii="Arial" w:cs="Arial" w:eastAsia="Arial" w:hAnsi="Arial"/>
                <w:sz w:val="14"/>
                <w:szCs w:val="14"/>
                <w:b w:val="1"/>
                <w:bCs w:val="1"/>
                <w:color w:val="54565B"/>
              </w:rPr>
              <w:t>Carl H. Lindner III</w:t>
            </w:r>
          </w:p>
        </w:tc>
        <w:tc>
          <w:tcPr>
            <w:tcW w:w="2120" w:type="dxa"/>
            <w:vAlign w:val="bottom"/>
          </w:tcPr>
          <w:p>
            <w:pPr>
              <w:jc w:val="center"/>
              <w:ind w:left="888"/>
              <w:spacing w:after="0"/>
              <w:rPr>
                <w:sz w:val="20"/>
                <w:szCs w:val="20"/>
                <w:color w:val="auto"/>
              </w:rPr>
            </w:pPr>
            <w:r>
              <w:rPr>
                <w:rFonts w:ascii="Arial" w:cs="Arial" w:eastAsia="Arial" w:hAnsi="Arial"/>
                <w:sz w:val="14"/>
                <w:szCs w:val="14"/>
                <w:color w:val="54565B"/>
              </w:rPr>
              <w:t>11,200</w:t>
            </w:r>
          </w:p>
        </w:tc>
        <w:tc>
          <w:tcPr>
            <w:tcW w:w="2160" w:type="dxa"/>
            <w:vAlign w:val="bottom"/>
          </w:tcPr>
          <w:p>
            <w:pPr>
              <w:jc w:val="center"/>
              <w:ind w:left="888"/>
              <w:spacing w:after="0"/>
              <w:rPr>
                <w:sz w:val="20"/>
                <w:szCs w:val="20"/>
                <w:color w:val="auto"/>
              </w:rPr>
            </w:pPr>
            <w:r>
              <w:rPr>
                <w:rFonts w:ascii="Arial" w:cs="Arial" w:eastAsia="Arial" w:hAnsi="Arial"/>
                <w:sz w:val="14"/>
                <w:szCs w:val="14"/>
                <w:color w:val="54565B"/>
              </w:rPr>
              <w:t>1,458,352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b w:val="1"/>
                <w:bCs w:val="1"/>
                <w:color w:val="54565B"/>
              </w:rPr>
              <w:t>S. Craig Lindner</w:t>
            </w:r>
          </w:p>
        </w:tc>
        <w:tc>
          <w:tcPr>
            <w:tcW w:w="2120" w:type="dxa"/>
            <w:vAlign w:val="bottom"/>
            <w:tcBorders>
              <w:bottom w:val="single" w:sz="8" w:color="EAF7FA"/>
            </w:tcBorders>
            <w:shd w:val="clear" w:color="auto" w:fill="EAF7FA"/>
          </w:tcPr>
          <w:p>
            <w:pPr>
              <w:jc w:val="center"/>
              <w:ind w:left="888"/>
              <w:spacing w:after="0"/>
              <w:rPr>
                <w:sz w:val="20"/>
                <w:szCs w:val="20"/>
                <w:color w:val="auto"/>
              </w:rPr>
            </w:pPr>
            <w:r>
              <w:rPr>
                <w:rFonts w:ascii="Arial" w:cs="Arial" w:eastAsia="Arial" w:hAnsi="Arial"/>
                <w:sz w:val="14"/>
                <w:szCs w:val="14"/>
                <w:color w:val="54565B"/>
              </w:rPr>
              <w:t>11,200</w:t>
            </w:r>
          </w:p>
        </w:tc>
        <w:tc>
          <w:tcPr>
            <w:tcW w:w="2160" w:type="dxa"/>
            <w:vAlign w:val="bottom"/>
            <w:tcBorders>
              <w:bottom w:val="single" w:sz="8" w:color="EAF7FA"/>
            </w:tcBorders>
            <w:shd w:val="clear" w:color="auto" w:fill="EAF7FA"/>
          </w:tcPr>
          <w:p>
            <w:pPr>
              <w:jc w:val="center"/>
              <w:ind w:left="888"/>
              <w:spacing w:after="0"/>
              <w:rPr>
                <w:sz w:val="20"/>
                <w:szCs w:val="20"/>
                <w:color w:val="auto"/>
              </w:rPr>
            </w:pPr>
            <w:r>
              <w:rPr>
                <w:rFonts w:ascii="Arial" w:cs="Arial" w:eastAsia="Arial" w:hAnsi="Arial"/>
                <w:sz w:val="14"/>
                <w:szCs w:val="14"/>
                <w:color w:val="54565B"/>
              </w:rPr>
              <w:t>1,458,352</w:t>
            </w:r>
          </w:p>
        </w:tc>
        <w:tc>
          <w:tcPr>
            <w:tcW w:w="180" w:type="dxa"/>
            <w:vAlign w:val="bottom"/>
            <w:tcBorders>
              <w:bottom w:val="single" w:sz="8" w:color="EAF7FA"/>
            </w:tcBorders>
            <w:shd w:val="clear" w:color="auto" w:fill="EAF7FA"/>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940" w:type="dxa"/>
            <w:vAlign w:val="bottom"/>
          </w:tcPr>
          <w:p>
            <w:pPr>
              <w:ind w:left="240"/>
              <w:spacing w:after="0"/>
              <w:rPr>
                <w:sz w:val="20"/>
                <w:szCs w:val="20"/>
                <w:color w:val="auto"/>
              </w:rPr>
            </w:pPr>
            <w:r>
              <w:rPr>
                <w:rFonts w:ascii="Arial" w:cs="Arial" w:eastAsia="Arial" w:hAnsi="Arial"/>
                <w:sz w:val="14"/>
                <w:szCs w:val="14"/>
                <w:b w:val="1"/>
                <w:bCs w:val="1"/>
                <w:color w:val="54565B"/>
              </w:rPr>
              <w:t>John B. Berding</w:t>
            </w:r>
          </w:p>
        </w:tc>
        <w:tc>
          <w:tcPr>
            <w:tcW w:w="2120" w:type="dxa"/>
            <w:vAlign w:val="bottom"/>
          </w:tcPr>
          <w:p>
            <w:pPr>
              <w:jc w:val="center"/>
              <w:ind w:left="888"/>
              <w:spacing w:after="0"/>
              <w:rPr>
                <w:sz w:val="20"/>
                <w:szCs w:val="20"/>
                <w:color w:val="auto"/>
              </w:rPr>
            </w:pPr>
            <w:r>
              <w:rPr>
                <w:rFonts w:ascii="Arial" w:cs="Arial" w:eastAsia="Arial" w:hAnsi="Arial"/>
                <w:sz w:val="14"/>
                <w:szCs w:val="14"/>
                <w:color w:val="54565B"/>
              </w:rPr>
              <w:t>7,093</w:t>
            </w:r>
          </w:p>
        </w:tc>
        <w:tc>
          <w:tcPr>
            <w:tcW w:w="2160" w:type="dxa"/>
            <w:vAlign w:val="bottom"/>
          </w:tcPr>
          <w:p>
            <w:pPr>
              <w:jc w:val="center"/>
              <w:ind w:left="888"/>
              <w:spacing w:after="0"/>
              <w:rPr>
                <w:sz w:val="20"/>
                <w:szCs w:val="20"/>
                <w:color w:val="auto"/>
              </w:rPr>
            </w:pPr>
            <w:r>
              <w:rPr>
                <w:rFonts w:ascii="Arial" w:cs="Arial" w:eastAsia="Arial" w:hAnsi="Arial"/>
                <w:sz w:val="14"/>
                <w:szCs w:val="14"/>
                <w:color w:val="54565B"/>
              </w:rPr>
              <w:t>923,579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4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b w:val="1"/>
                <w:bCs w:val="1"/>
                <w:color w:val="54565B"/>
              </w:rPr>
              <w:t>Brian S. Hertzman</w:t>
            </w:r>
          </w:p>
        </w:tc>
        <w:tc>
          <w:tcPr>
            <w:tcW w:w="2120" w:type="dxa"/>
            <w:vAlign w:val="bottom"/>
            <w:tcBorders>
              <w:bottom w:val="single" w:sz="8" w:color="EAF7FA"/>
            </w:tcBorders>
            <w:shd w:val="clear" w:color="auto" w:fill="EAF7FA"/>
          </w:tcPr>
          <w:p>
            <w:pPr>
              <w:jc w:val="center"/>
              <w:ind w:left="888"/>
              <w:spacing w:after="0"/>
              <w:rPr>
                <w:sz w:val="20"/>
                <w:szCs w:val="20"/>
                <w:color w:val="auto"/>
              </w:rPr>
            </w:pPr>
            <w:r>
              <w:rPr>
                <w:rFonts w:ascii="Arial" w:cs="Arial" w:eastAsia="Arial" w:hAnsi="Arial"/>
                <w:sz w:val="14"/>
                <w:szCs w:val="14"/>
                <w:color w:val="54565B"/>
              </w:rPr>
              <w:t>2,390</w:t>
            </w:r>
          </w:p>
        </w:tc>
        <w:tc>
          <w:tcPr>
            <w:tcW w:w="2160" w:type="dxa"/>
            <w:vAlign w:val="bottom"/>
            <w:tcBorders>
              <w:bottom w:val="single" w:sz="8" w:color="EAF7FA"/>
            </w:tcBorders>
            <w:shd w:val="clear" w:color="auto" w:fill="EAF7FA"/>
          </w:tcPr>
          <w:p>
            <w:pPr>
              <w:jc w:val="center"/>
              <w:ind w:left="908"/>
              <w:spacing w:after="0"/>
              <w:rPr>
                <w:sz w:val="20"/>
                <w:szCs w:val="20"/>
                <w:color w:val="auto"/>
              </w:rPr>
            </w:pPr>
            <w:r>
              <w:rPr>
                <w:rFonts w:ascii="Arial" w:cs="Arial" w:eastAsia="Arial" w:hAnsi="Arial"/>
                <w:sz w:val="14"/>
                <w:szCs w:val="14"/>
                <w:color w:val="54565B"/>
                <w:w w:val="98"/>
              </w:rPr>
              <w:t>311,201</w:t>
            </w:r>
          </w:p>
        </w:tc>
        <w:tc>
          <w:tcPr>
            <w:tcW w:w="180" w:type="dxa"/>
            <w:vAlign w:val="bottom"/>
            <w:tcBorders>
              <w:bottom w:val="single" w:sz="8" w:color="EAF7FA"/>
            </w:tcBorders>
            <w:shd w:val="clear" w:color="auto" w:fill="EAF7FA"/>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940" w:type="dxa"/>
            <w:vAlign w:val="bottom"/>
          </w:tcPr>
          <w:p>
            <w:pPr>
              <w:ind w:left="240"/>
              <w:spacing w:after="0"/>
              <w:rPr>
                <w:sz w:val="20"/>
                <w:szCs w:val="20"/>
                <w:color w:val="auto"/>
              </w:rPr>
            </w:pPr>
            <w:r>
              <w:rPr>
                <w:rFonts w:ascii="Arial" w:cs="Arial" w:eastAsia="Arial" w:hAnsi="Arial"/>
                <w:sz w:val="14"/>
                <w:szCs w:val="14"/>
                <w:b w:val="1"/>
                <w:bCs w:val="1"/>
                <w:color w:val="54565B"/>
              </w:rPr>
              <w:t>David L. Thompson</w:t>
            </w:r>
          </w:p>
        </w:tc>
        <w:tc>
          <w:tcPr>
            <w:tcW w:w="2120" w:type="dxa"/>
            <w:vAlign w:val="bottom"/>
          </w:tcPr>
          <w:p>
            <w:pPr>
              <w:jc w:val="center"/>
              <w:ind w:left="888"/>
              <w:spacing w:after="0"/>
              <w:rPr>
                <w:sz w:val="20"/>
                <w:szCs w:val="20"/>
                <w:color w:val="auto"/>
              </w:rPr>
            </w:pPr>
            <w:r>
              <w:rPr>
                <w:rFonts w:ascii="Arial" w:cs="Arial" w:eastAsia="Arial" w:hAnsi="Arial"/>
                <w:sz w:val="14"/>
                <w:szCs w:val="14"/>
                <w:color w:val="54565B"/>
              </w:rPr>
              <w:t>3,734</w:t>
            </w:r>
          </w:p>
        </w:tc>
        <w:tc>
          <w:tcPr>
            <w:tcW w:w="2160" w:type="dxa"/>
            <w:vAlign w:val="bottom"/>
          </w:tcPr>
          <w:p>
            <w:pPr>
              <w:jc w:val="center"/>
              <w:ind w:left="888"/>
              <w:spacing w:after="0"/>
              <w:rPr>
                <w:sz w:val="20"/>
                <w:szCs w:val="20"/>
                <w:color w:val="auto"/>
              </w:rPr>
            </w:pPr>
            <w:r>
              <w:rPr>
                <w:rFonts w:ascii="Arial" w:cs="Arial" w:eastAsia="Arial" w:hAnsi="Arial"/>
                <w:sz w:val="14"/>
                <w:szCs w:val="14"/>
                <w:color w:val="54565B"/>
              </w:rPr>
              <w:t>486,204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4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b w:val="1"/>
                <w:bCs w:val="1"/>
                <w:color w:val="54565B"/>
              </w:rPr>
              <w:t>Mark A. Weiss</w:t>
            </w:r>
          </w:p>
        </w:tc>
        <w:tc>
          <w:tcPr>
            <w:tcW w:w="2120" w:type="dxa"/>
            <w:vAlign w:val="bottom"/>
            <w:tcBorders>
              <w:bottom w:val="single" w:sz="8" w:color="EAF7FA"/>
            </w:tcBorders>
            <w:shd w:val="clear" w:color="auto" w:fill="EAF7FA"/>
          </w:tcPr>
          <w:p>
            <w:pPr>
              <w:jc w:val="center"/>
              <w:ind w:left="888"/>
              <w:spacing w:after="0"/>
              <w:rPr>
                <w:sz w:val="20"/>
                <w:szCs w:val="20"/>
                <w:color w:val="auto"/>
              </w:rPr>
            </w:pPr>
            <w:r>
              <w:rPr>
                <w:rFonts w:ascii="Arial" w:cs="Arial" w:eastAsia="Arial" w:hAnsi="Arial"/>
                <w:sz w:val="14"/>
                <w:szCs w:val="14"/>
                <w:color w:val="54565B"/>
              </w:rPr>
              <w:t>1,419</w:t>
            </w:r>
          </w:p>
        </w:tc>
        <w:tc>
          <w:tcPr>
            <w:tcW w:w="2160" w:type="dxa"/>
            <w:vAlign w:val="bottom"/>
            <w:tcBorders>
              <w:bottom w:val="single" w:sz="8" w:color="EAF7FA"/>
            </w:tcBorders>
            <w:shd w:val="clear" w:color="auto" w:fill="EAF7FA"/>
          </w:tcPr>
          <w:p>
            <w:pPr>
              <w:jc w:val="center"/>
              <w:ind w:left="888"/>
              <w:spacing w:after="0"/>
              <w:rPr>
                <w:sz w:val="20"/>
                <w:szCs w:val="20"/>
                <w:color w:val="auto"/>
              </w:rPr>
            </w:pPr>
            <w:r>
              <w:rPr>
                <w:rFonts w:ascii="Arial" w:cs="Arial" w:eastAsia="Arial" w:hAnsi="Arial"/>
                <w:sz w:val="14"/>
                <w:szCs w:val="14"/>
                <w:color w:val="54565B"/>
              </w:rPr>
              <w:t>184,767</w:t>
            </w:r>
          </w:p>
        </w:tc>
        <w:tc>
          <w:tcPr>
            <w:tcW w:w="180" w:type="dxa"/>
            <w:vAlign w:val="bottom"/>
            <w:tcBorders>
              <w:bottom w:val="single" w:sz="8" w:color="EAF7FA"/>
            </w:tcBorders>
            <w:shd w:val="clear" w:color="auto" w:fill="EAF7FA"/>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shd w:val="clear" w:color="auto" w:fill="0B3C61"/>
          </w:tcPr>
          <w:p>
            <w:pPr>
              <w:spacing w:after="0" w:line="20" w:lineRule="exact"/>
              <w:rPr>
                <w:sz w:val="1"/>
                <w:szCs w:val="1"/>
                <w:color w:val="auto"/>
              </w:rPr>
            </w:pPr>
          </w:p>
        </w:tc>
        <w:tc>
          <w:tcPr>
            <w:tcW w:w="2120" w:type="dxa"/>
            <w:vAlign w:val="bottom"/>
            <w:shd w:val="clear" w:color="auto" w:fill="0B3C61"/>
          </w:tcPr>
          <w:p>
            <w:pPr>
              <w:spacing w:after="0" w:line="20" w:lineRule="exact"/>
              <w:rPr>
                <w:sz w:val="1"/>
                <w:szCs w:val="1"/>
                <w:color w:val="auto"/>
              </w:rPr>
            </w:pPr>
          </w:p>
        </w:tc>
        <w:tc>
          <w:tcPr>
            <w:tcW w:w="2160" w:type="dxa"/>
            <w:vAlign w:val="bottom"/>
            <w:shd w:val="clear" w:color="auto" w:fill="0B3C61"/>
          </w:tcPr>
          <w:p>
            <w:pPr>
              <w:spacing w:after="0" w:line="20" w:lineRule="exact"/>
              <w:rPr>
                <w:sz w:val="1"/>
                <w:szCs w:val="1"/>
                <w:color w:val="auto"/>
              </w:rPr>
            </w:pPr>
          </w:p>
        </w:tc>
        <w:tc>
          <w:tcPr>
            <w:tcW w:w="180" w:type="dxa"/>
            <w:vAlign w:val="bottom"/>
            <w:shd w:val="clear" w:color="auto" w:fill="0B3C6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-1525270</wp:posOffset>
            </wp:positionV>
            <wp:extent cx="21259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124" w:lineRule="exact"/>
        <w:rPr>
          <w:sz w:val="20"/>
          <w:szCs w:val="20"/>
          <w:color w:val="auto"/>
        </w:rPr>
      </w:pPr>
    </w:p>
    <w:p>
      <w:pPr>
        <w:ind w:left="440" w:right="80" w:hanging="272"/>
        <w:spacing w:after="0" w:line="243" w:lineRule="auto"/>
        <w:tabs>
          <w:tab w:leader="none" w:pos="440" w:val="left"/>
        </w:tabs>
        <w:numPr>
          <w:ilvl w:val="0"/>
          <w:numId w:val="25"/>
        </w:numPr>
        <w:rPr>
          <w:rFonts w:ascii="Arial" w:cs="Arial" w:eastAsia="Arial" w:hAnsi="Arial"/>
          <w:sz w:val="13"/>
          <w:szCs w:val="13"/>
          <w:color w:val="54565B"/>
        </w:rPr>
      </w:pPr>
      <w:r>
        <w:rPr>
          <w:rFonts w:ascii="Arial" w:cs="Arial" w:eastAsia="Arial" w:hAnsi="Arial"/>
          <w:sz w:val="13"/>
          <w:szCs w:val="13"/>
          <w:color w:val="54565B"/>
        </w:rPr>
        <w:t>The dollar value realized reflects the market value of the vested shares based on the closing price of the Company common shares on the vesting date or, if not a business day, the next preceding business day.</w:t>
      </w:r>
    </w:p>
    <w:p>
      <w:pPr>
        <w:spacing w:after="0" w:line="364" w:lineRule="exact"/>
        <w:rPr>
          <w:sz w:val="20"/>
          <w:szCs w:val="20"/>
          <w:color w:val="auto"/>
        </w:rPr>
      </w:pPr>
    </w:p>
    <w:p>
      <w:pPr>
        <w:ind w:right="800"/>
        <w:spacing w:after="0" w:line="259" w:lineRule="auto"/>
        <w:rPr>
          <w:sz w:val="20"/>
          <w:szCs w:val="20"/>
          <w:color w:val="auto"/>
        </w:rPr>
      </w:pPr>
      <w:r>
        <w:rPr>
          <w:rFonts w:ascii="Arial" w:cs="Arial" w:eastAsia="Arial" w:hAnsi="Arial"/>
          <w:sz w:val="22"/>
          <w:szCs w:val="22"/>
          <w:color w:val="0B3C61"/>
        </w:rPr>
        <w:t>NONQUALIFIED DEFINED CONTRIBUTION AND OTHER NONQUALIFIED DEFERRED COMPENSATION PLANS</w:t>
      </w:r>
    </w:p>
    <w:p>
      <w:pPr>
        <w:spacing w:after="0" w:line="3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54565B"/>
        </w:rPr>
        <w:t>The Company provides retirement benefits to NEOs through a combination of qualified (under the Internal Revenue Code) and nonqualified plans. AFG makes available to certain employees, including its NEOs, benefits in its Nonqualified Auxiliary RASP (“Auxiliary RASP”). The purpose of the Auxiliary RASP is to enable employees whose contributions are limited by IRS regulations in the retirement contribution portion of the AFG Retirement and Savings Plan (“RASP”) to have an additional benefit to the RASP.</w:t>
      </w:r>
    </w:p>
    <w:p>
      <w:pPr>
        <w:spacing w:after="0" w:line="5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54565B"/>
        </w:rPr>
        <w:t>The Company also maintains a Deferred Compensation Plan pursuant to which certain key employees of AFG and its subsidiaries may defer up to 80% of their annual salary and/or bonus. The deferral term of either a fixed number of years or upon termination of employment must be elected at the time of deferral. Under the plan, no federal or state income taxes are paid on deferred compensation. Rather, such taxes will be due upon receipt at the end of the deferral period.</w:t>
      </w:r>
    </w:p>
    <w:p>
      <w:pPr>
        <w:spacing w:after="0" w:line="56" w:lineRule="exact"/>
        <w:rPr>
          <w:sz w:val="20"/>
          <w:szCs w:val="20"/>
          <w:color w:val="auto"/>
        </w:rPr>
      </w:pPr>
    </w:p>
    <w:p>
      <w:pPr>
        <w:spacing w:after="0" w:line="286" w:lineRule="auto"/>
        <w:rPr>
          <w:sz w:val="20"/>
          <w:szCs w:val="20"/>
          <w:color w:val="auto"/>
        </w:rPr>
      </w:pPr>
      <w:r>
        <w:rPr>
          <w:rFonts w:ascii="Arial" w:cs="Arial" w:eastAsia="Arial" w:hAnsi="Arial"/>
          <w:sz w:val="16"/>
          <w:szCs w:val="16"/>
          <w:color w:val="54565B"/>
        </w:rPr>
        <w:t>The table below discloses information on the nonqualified deferred compensation of the NEOs, including the Auxiliary RASP for the 2025 plan year and the Deferred Compensation Plan.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900" w:type="dxa"/>
            <w:vAlign w:val="bottom"/>
            <w:shd w:val="clear" w:color="auto" w:fill="0B3C61"/>
          </w:tcPr>
          <w:p>
            <w:pPr>
              <w:spacing w:after="0"/>
              <w:rPr>
                <w:sz w:val="23"/>
                <w:szCs w:val="23"/>
                <w:color w:val="auto"/>
              </w:rPr>
            </w:pPr>
          </w:p>
        </w:tc>
        <w:tc>
          <w:tcPr>
            <w:tcW w:w="1500" w:type="dxa"/>
            <w:vAlign w:val="bottom"/>
            <w:shd w:val="clear" w:color="auto" w:fill="0B3C61"/>
          </w:tcPr>
          <w:p>
            <w:pPr>
              <w:jc w:val="center"/>
              <w:ind w:left="108"/>
              <w:spacing w:after="0"/>
              <w:rPr>
                <w:sz w:val="20"/>
                <w:szCs w:val="20"/>
                <w:color w:val="auto"/>
              </w:rPr>
            </w:pPr>
            <w:r>
              <w:rPr>
                <w:rFonts w:ascii="Arial" w:cs="Arial" w:eastAsia="Arial" w:hAnsi="Arial"/>
                <w:sz w:val="14"/>
                <w:szCs w:val="14"/>
                <w:color w:val="FFFFFF"/>
              </w:rPr>
              <w:t>Executive</w:t>
            </w:r>
          </w:p>
        </w:tc>
        <w:tc>
          <w:tcPr>
            <w:tcW w:w="1420" w:type="dxa"/>
            <w:vAlign w:val="bottom"/>
            <w:shd w:val="clear" w:color="auto" w:fill="0B3C61"/>
          </w:tcPr>
          <w:p>
            <w:pPr>
              <w:jc w:val="center"/>
              <w:ind w:right="48"/>
              <w:spacing w:after="0"/>
              <w:rPr>
                <w:sz w:val="20"/>
                <w:szCs w:val="20"/>
                <w:color w:val="auto"/>
              </w:rPr>
            </w:pPr>
            <w:r>
              <w:rPr>
                <w:rFonts w:ascii="Arial" w:cs="Arial" w:eastAsia="Arial" w:hAnsi="Arial"/>
                <w:sz w:val="14"/>
                <w:szCs w:val="14"/>
                <w:color w:val="FFFFFF"/>
              </w:rPr>
              <w:t>Registrant</w:t>
            </w:r>
          </w:p>
        </w:tc>
        <w:tc>
          <w:tcPr>
            <w:tcW w:w="148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Aggregate</w:t>
            </w:r>
          </w:p>
        </w:tc>
        <w:tc>
          <w:tcPr>
            <w:tcW w:w="136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Aggregate</w:t>
            </w:r>
          </w:p>
        </w:tc>
        <w:tc>
          <w:tcPr>
            <w:tcW w:w="1740" w:type="dxa"/>
            <w:vAlign w:val="bottom"/>
            <w:shd w:val="clear" w:color="auto" w:fill="0B3C61"/>
          </w:tcPr>
          <w:p>
            <w:pPr>
              <w:jc w:val="center"/>
              <w:ind w:right="128"/>
              <w:spacing w:after="0"/>
              <w:rPr>
                <w:sz w:val="20"/>
                <w:szCs w:val="20"/>
                <w:color w:val="auto"/>
              </w:rPr>
            </w:pPr>
            <w:r>
              <w:rPr>
                <w:rFonts w:ascii="Arial" w:cs="Arial" w:eastAsia="Arial" w:hAnsi="Arial"/>
                <w:sz w:val="14"/>
                <w:szCs w:val="14"/>
                <w:color w:val="FFFFFF"/>
              </w:rPr>
              <w:t>Aggregate</w:t>
            </w:r>
          </w:p>
        </w:tc>
      </w:tr>
      <w:tr>
        <w:trPr>
          <w:trHeight w:val="162"/>
        </w:trPr>
        <w:tc>
          <w:tcPr>
            <w:tcW w:w="1900" w:type="dxa"/>
            <w:vAlign w:val="bottom"/>
            <w:shd w:val="clear" w:color="auto" w:fill="0B3C61"/>
          </w:tcPr>
          <w:p>
            <w:pPr>
              <w:spacing w:after="0"/>
              <w:rPr>
                <w:sz w:val="14"/>
                <w:szCs w:val="14"/>
                <w:color w:val="auto"/>
              </w:rPr>
            </w:pPr>
          </w:p>
        </w:tc>
        <w:tc>
          <w:tcPr>
            <w:tcW w:w="1500" w:type="dxa"/>
            <w:vAlign w:val="bottom"/>
            <w:shd w:val="clear" w:color="auto" w:fill="0B3C61"/>
          </w:tcPr>
          <w:p>
            <w:pPr>
              <w:jc w:val="center"/>
              <w:ind w:left="108"/>
              <w:spacing w:after="0"/>
              <w:rPr>
                <w:sz w:val="20"/>
                <w:szCs w:val="20"/>
                <w:color w:val="auto"/>
              </w:rPr>
            </w:pPr>
            <w:r>
              <w:rPr>
                <w:rFonts w:ascii="Arial" w:cs="Arial" w:eastAsia="Arial" w:hAnsi="Arial"/>
                <w:sz w:val="14"/>
                <w:szCs w:val="14"/>
                <w:color w:val="FFFFFF"/>
              </w:rPr>
              <w:t>contributions in</w:t>
            </w:r>
          </w:p>
        </w:tc>
        <w:tc>
          <w:tcPr>
            <w:tcW w:w="1420" w:type="dxa"/>
            <w:vAlign w:val="bottom"/>
            <w:shd w:val="clear" w:color="auto" w:fill="0B3C61"/>
          </w:tcPr>
          <w:p>
            <w:pPr>
              <w:jc w:val="center"/>
              <w:ind w:right="48"/>
              <w:spacing w:after="0"/>
              <w:rPr>
                <w:sz w:val="20"/>
                <w:szCs w:val="20"/>
                <w:color w:val="auto"/>
              </w:rPr>
            </w:pPr>
            <w:r>
              <w:rPr>
                <w:rFonts w:ascii="Arial" w:cs="Arial" w:eastAsia="Arial" w:hAnsi="Arial"/>
                <w:sz w:val="14"/>
                <w:szCs w:val="14"/>
                <w:color w:val="FFFFFF"/>
              </w:rPr>
              <w:t>contributions in</w:t>
            </w:r>
          </w:p>
        </w:tc>
        <w:tc>
          <w:tcPr>
            <w:tcW w:w="148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earnings (loss)</w:t>
            </w:r>
          </w:p>
        </w:tc>
        <w:tc>
          <w:tcPr>
            <w:tcW w:w="136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withdrawals /</w:t>
            </w:r>
          </w:p>
        </w:tc>
        <w:tc>
          <w:tcPr>
            <w:tcW w:w="1740" w:type="dxa"/>
            <w:vAlign w:val="bottom"/>
            <w:shd w:val="clear" w:color="auto" w:fill="0B3C61"/>
          </w:tcPr>
          <w:p>
            <w:pPr>
              <w:jc w:val="center"/>
              <w:ind w:right="108"/>
              <w:spacing w:after="0"/>
              <w:rPr>
                <w:sz w:val="20"/>
                <w:szCs w:val="20"/>
                <w:color w:val="auto"/>
              </w:rPr>
            </w:pPr>
            <w:r>
              <w:rPr>
                <w:rFonts w:ascii="Arial" w:cs="Arial" w:eastAsia="Arial" w:hAnsi="Arial"/>
                <w:sz w:val="14"/>
                <w:szCs w:val="14"/>
                <w:color w:val="FFFFFF"/>
              </w:rPr>
              <w:t>balances at last</w:t>
            </w:r>
          </w:p>
        </w:tc>
      </w:tr>
      <w:tr>
        <w:trPr>
          <w:trHeight w:val="162"/>
        </w:trPr>
        <w:tc>
          <w:tcPr>
            <w:tcW w:w="1900" w:type="dxa"/>
            <w:vAlign w:val="bottom"/>
            <w:shd w:val="clear" w:color="auto" w:fill="0B3C61"/>
          </w:tcPr>
          <w:p>
            <w:pPr>
              <w:spacing w:after="0"/>
              <w:rPr>
                <w:sz w:val="14"/>
                <w:szCs w:val="14"/>
                <w:color w:val="auto"/>
              </w:rPr>
            </w:pPr>
          </w:p>
        </w:tc>
        <w:tc>
          <w:tcPr>
            <w:tcW w:w="1500" w:type="dxa"/>
            <w:vAlign w:val="bottom"/>
            <w:shd w:val="clear" w:color="auto" w:fill="0B3C61"/>
          </w:tcPr>
          <w:p>
            <w:pPr>
              <w:jc w:val="center"/>
              <w:ind w:left="108"/>
              <w:spacing w:after="0"/>
              <w:rPr>
                <w:sz w:val="20"/>
                <w:szCs w:val="20"/>
                <w:color w:val="auto"/>
              </w:rPr>
            </w:pPr>
            <w:r>
              <w:rPr>
                <w:rFonts w:ascii="Arial" w:cs="Arial" w:eastAsia="Arial" w:hAnsi="Arial"/>
                <w:sz w:val="14"/>
                <w:szCs w:val="14"/>
                <w:color w:val="FFFFFF"/>
              </w:rPr>
              <w:t>last FY</w:t>
            </w:r>
          </w:p>
        </w:tc>
        <w:tc>
          <w:tcPr>
            <w:tcW w:w="1420" w:type="dxa"/>
            <w:vAlign w:val="bottom"/>
            <w:shd w:val="clear" w:color="auto" w:fill="0B3C61"/>
          </w:tcPr>
          <w:p>
            <w:pPr>
              <w:jc w:val="center"/>
              <w:ind w:right="48"/>
              <w:spacing w:after="0"/>
              <w:rPr>
                <w:sz w:val="20"/>
                <w:szCs w:val="20"/>
                <w:color w:val="auto"/>
              </w:rPr>
            </w:pPr>
            <w:r>
              <w:rPr>
                <w:rFonts w:ascii="Arial" w:cs="Arial" w:eastAsia="Arial" w:hAnsi="Arial"/>
                <w:sz w:val="14"/>
                <w:szCs w:val="14"/>
                <w:color w:val="FFFFFF"/>
              </w:rPr>
              <w:t>last FY</w:t>
            </w:r>
          </w:p>
        </w:tc>
        <w:tc>
          <w:tcPr>
            <w:tcW w:w="148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in last FY</w:t>
            </w:r>
          </w:p>
        </w:tc>
        <w:tc>
          <w:tcPr>
            <w:tcW w:w="136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distributions</w:t>
            </w:r>
          </w:p>
        </w:tc>
        <w:tc>
          <w:tcPr>
            <w:tcW w:w="1740" w:type="dxa"/>
            <w:vAlign w:val="bottom"/>
            <w:shd w:val="clear" w:color="auto" w:fill="0B3C61"/>
          </w:tcPr>
          <w:p>
            <w:pPr>
              <w:jc w:val="center"/>
              <w:ind w:right="108"/>
              <w:spacing w:after="0"/>
              <w:rPr>
                <w:sz w:val="20"/>
                <w:szCs w:val="20"/>
                <w:color w:val="auto"/>
              </w:rPr>
            </w:pPr>
            <w:r>
              <w:rPr>
                <w:rFonts w:ascii="Arial" w:cs="Arial" w:eastAsia="Arial" w:hAnsi="Arial"/>
                <w:sz w:val="14"/>
                <w:szCs w:val="14"/>
                <w:color w:val="FFFFFF"/>
              </w:rPr>
              <w:t>FYE</w:t>
            </w:r>
          </w:p>
        </w:tc>
      </w:tr>
      <w:tr>
        <w:trPr>
          <w:trHeight w:val="270"/>
        </w:trPr>
        <w:tc>
          <w:tcPr>
            <w:tcW w:w="1900" w:type="dxa"/>
            <w:vAlign w:val="bottom"/>
            <w:shd w:val="clear" w:color="auto" w:fill="0B3C61"/>
          </w:tcPr>
          <w:p>
            <w:pPr>
              <w:ind w:left="220"/>
              <w:spacing w:after="0"/>
              <w:rPr>
                <w:sz w:val="20"/>
                <w:szCs w:val="20"/>
                <w:color w:val="auto"/>
              </w:rPr>
            </w:pPr>
            <w:r>
              <w:rPr>
                <w:rFonts w:ascii="Arial" w:cs="Arial" w:eastAsia="Arial" w:hAnsi="Arial"/>
                <w:sz w:val="14"/>
                <w:szCs w:val="14"/>
                <w:color w:val="FFFFFF"/>
              </w:rPr>
              <w:t>Name</w:t>
            </w:r>
          </w:p>
        </w:tc>
        <w:tc>
          <w:tcPr>
            <w:tcW w:w="1500" w:type="dxa"/>
            <w:vAlign w:val="bottom"/>
            <w:shd w:val="clear" w:color="auto" w:fill="0B3C61"/>
          </w:tcPr>
          <w:p>
            <w:pPr>
              <w:jc w:val="center"/>
              <w:ind w:left="148"/>
              <w:spacing w:after="0"/>
              <w:rPr>
                <w:sz w:val="20"/>
                <w:szCs w:val="20"/>
                <w:color w:val="auto"/>
              </w:rPr>
            </w:pPr>
            <w:r>
              <w:rPr>
                <w:rFonts w:ascii="Arial" w:cs="Arial" w:eastAsia="Arial" w:hAnsi="Arial"/>
                <w:sz w:val="14"/>
                <w:szCs w:val="14"/>
                <w:color w:val="FFFFFF"/>
                <w:w w:val="93"/>
              </w:rPr>
              <w:t>($)</w:t>
            </w:r>
          </w:p>
        </w:tc>
        <w:tc>
          <w:tcPr>
            <w:tcW w:w="1420" w:type="dxa"/>
            <w:vAlign w:val="bottom"/>
            <w:shd w:val="clear" w:color="auto" w:fill="0B3C61"/>
          </w:tcPr>
          <w:p>
            <w:pPr>
              <w:jc w:val="center"/>
              <w:ind w:right="8"/>
              <w:spacing w:after="0"/>
              <w:rPr>
                <w:sz w:val="20"/>
                <w:szCs w:val="20"/>
                <w:color w:val="auto"/>
              </w:rPr>
            </w:pPr>
            <w:r>
              <w:rPr>
                <w:rFonts w:ascii="Arial" w:cs="Arial" w:eastAsia="Arial" w:hAnsi="Arial"/>
                <w:sz w:val="14"/>
                <w:szCs w:val="14"/>
                <w:color w:val="FFFFFF"/>
                <w:w w:val="94"/>
              </w:rPr>
              <w:t>($)</w:t>
            </w:r>
            <w:r>
              <w:rPr>
                <w:rFonts w:ascii="Arial" w:cs="Arial" w:eastAsia="Arial" w:hAnsi="Arial"/>
                <w:sz w:val="23"/>
                <w:szCs w:val="23"/>
                <w:color w:val="FFFFFF"/>
                <w:w w:val="94"/>
                <w:vertAlign w:val="superscript"/>
              </w:rPr>
              <w:t>(1)</w:t>
            </w:r>
          </w:p>
        </w:tc>
        <w:tc>
          <w:tcPr>
            <w:tcW w:w="1480" w:type="dxa"/>
            <w:vAlign w:val="bottom"/>
            <w:shd w:val="clear" w:color="auto" w:fill="0B3C61"/>
          </w:tcPr>
          <w:p>
            <w:pPr>
              <w:jc w:val="center"/>
              <w:spacing w:after="0"/>
              <w:rPr>
                <w:sz w:val="20"/>
                <w:szCs w:val="20"/>
                <w:color w:val="auto"/>
              </w:rPr>
            </w:pPr>
            <w:r>
              <w:rPr>
                <w:rFonts w:ascii="Arial" w:cs="Arial" w:eastAsia="Arial" w:hAnsi="Arial"/>
                <w:sz w:val="14"/>
                <w:szCs w:val="14"/>
                <w:color w:val="FFFFFF"/>
                <w:w w:val="89"/>
              </w:rPr>
              <w:t>($)</w:t>
            </w:r>
            <w:r>
              <w:rPr>
                <w:rFonts w:ascii="Arial" w:cs="Arial" w:eastAsia="Arial" w:hAnsi="Arial"/>
                <w:sz w:val="23"/>
                <w:szCs w:val="23"/>
                <w:color w:val="FFFFFF"/>
                <w:w w:val="89"/>
                <w:vertAlign w:val="superscript"/>
              </w:rPr>
              <w:t>(2)</w:t>
            </w:r>
          </w:p>
        </w:tc>
        <w:tc>
          <w:tcPr>
            <w:tcW w:w="1360" w:type="dxa"/>
            <w:vAlign w:val="bottom"/>
            <w:shd w:val="clear" w:color="auto" w:fill="0B3C61"/>
          </w:tcPr>
          <w:p>
            <w:pPr>
              <w:jc w:val="center"/>
              <w:spacing w:after="0"/>
              <w:rPr>
                <w:sz w:val="20"/>
                <w:szCs w:val="20"/>
                <w:color w:val="auto"/>
              </w:rPr>
            </w:pPr>
            <w:r>
              <w:rPr>
                <w:rFonts w:ascii="Arial" w:cs="Arial" w:eastAsia="Arial" w:hAnsi="Arial"/>
                <w:sz w:val="14"/>
                <w:szCs w:val="14"/>
                <w:color w:val="FFFFFF"/>
                <w:w w:val="93"/>
              </w:rPr>
              <w:t>($)</w:t>
            </w:r>
          </w:p>
        </w:tc>
        <w:tc>
          <w:tcPr>
            <w:tcW w:w="1740" w:type="dxa"/>
            <w:vAlign w:val="bottom"/>
            <w:shd w:val="clear" w:color="auto" w:fill="0B3C61"/>
          </w:tcPr>
          <w:p>
            <w:pPr>
              <w:jc w:val="center"/>
              <w:ind w:right="88"/>
              <w:spacing w:after="0"/>
              <w:rPr>
                <w:sz w:val="20"/>
                <w:szCs w:val="20"/>
                <w:color w:val="auto"/>
              </w:rPr>
            </w:pPr>
            <w:r>
              <w:rPr>
                <w:rFonts w:ascii="Arial" w:cs="Arial" w:eastAsia="Arial" w:hAnsi="Arial"/>
                <w:sz w:val="14"/>
                <w:szCs w:val="14"/>
                <w:color w:val="FFFFFF"/>
              </w:rPr>
              <w:t>($)</w:t>
            </w:r>
          </w:p>
        </w:tc>
      </w:tr>
      <w:tr>
        <w:trPr>
          <w:trHeight w:val="256"/>
        </w:trPr>
        <w:tc>
          <w:tcPr>
            <w:tcW w:w="1900" w:type="dxa"/>
            <w:vAlign w:val="bottom"/>
          </w:tcPr>
          <w:p>
            <w:pPr>
              <w:ind w:left="220"/>
              <w:spacing w:after="0"/>
              <w:rPr>
                <w:sz w:val="20"/>
                <w:szCs w:val="20"/>
                <w:color w:val="auto"/>
              </w:rPr>
            </w:pPr>
            <w:r>
              <w:rPr>
                <w:rFonts w:ascii="Arial" w:cs="Arial" w:eastAsia="Arial" w:hAnsi="Arial"/>
                <w:sz w:val="14"/>
                <w:szCs w:val="14"/>
                <w:b w:val="1"/>
                <w:bCs w:val="1"/>
                <w:color w:val="54565B"/>
              </w:rPr>
              <w:t>Carl H. Lindner III</w:t>
            </w:r>
          </w:p>
        </w:tc>
        <w:tc>
          <w:tcPr>
            <w:tcW w:w="1500" w:type="dxa"/>
            <w:vAlign w:val="bottom"/>
          </w:tcPr>
          <w:p>
            <w:pPr>
              <w:jc w:val="center"/>
              <w:ind w:left="88"/>
              <w:spacing w:after="0"/>
              <w:rPr>
                <w:sz w:val="20"/>
                <w:szCs w:val="20"/>
                <w:color w:val="auto"/>
              </w:rPr>
            </w:pPr>
            <w:r>
              <w:rPr>
                <w:rFonts w:ascii="Arial" w:cs="Arial" w:eastAsia="Arial" w:hAnsi="Arial"/>
                <w:sz w:val="14"/>
                <w:szCs w:val="14"/>
                <w:color w:val="54565B"/>
                <w:w w:val="99"/>
              </w:rPr>
              <w:t>—</w:t>
            </w:r>
          </w:p>
        </w:tc>
        <w:tc>
          <w:tcPr>
            <w:tcW w:w="1420" w:type="dxa"/>
            <w:vAlign w:val="bottom"/>
          </w:tcPr>
          <w:p>
            <w:pPr>
              <w:jc w:val="right"/>
              <w:ind w:right="548"/>
              <w:spacing w:after="0"/>
              <w:rPr>
                <w:sz w:val="20"/>
                <w:szCs w:val="20"/>
                <w:color w:val="auto"/>
              </w:rPr>
            </w:pPr>
            <w:r>
              <w:rPr>
                <w:rFonts w:ascii="Arial" w:cs="Arial" w:eastAsia="Arial" w:hAnsi="Arial"/>
                <w:sz w:val="14"/>
                <w:szCs w:val="14"/>
                <w:color w:val="54565B"/>
              </w:rPr>
              <w:t>32,750</w:t>
            </w:r>
          </w:p>
        </w:tc>
        <w:tc>
          <w:tcPr>
            <w:tcW w:w="1480" w:type="dxa"/>
            <w:vAlign w:val="bottom"/>
          </w:tcPr>
          <w:p>
            <w:pPr>
              <w:jc w:val="right"/>
              <w:ind w:right="408"/>
              <w:spacing w:after="0"/>
              <w:rPr>
                <w:sz w:val="20"/>
                <w:szCs w:val="20"/>
                <w:color w:val="auto"/>
              </w:rPr>
            </w:pPr>
            <w:r>
              <w:rPr>
                <w:rFonts w:ascii="Arial" w:cs="Arial" w:eastAsia="Arial" w:hAnsi="Arial"/>
                <w:sz w:val="14"/>
                <w:szCs w:val="14"/>
                <w:color w:val="54565B"/>
              </w:rPr>
              <w:t>1,612,263</w:t>
            </w:r>
          </w:p>
        </w:tc>
        <w:tc>
          <w:tcPr>
            <w:tcW w:w="1360" w:type="dxa"/>
            <w:vAlign w:val="bottom"/>
          </w:tcPr>
          <w:p>
            <w:pPr>
              <w:jc w:val="center"/>
              <w:spacing w:after="0"/>
              <w:rPr>
                <w:sz w:val="20"/>
                <w:szCs w:val="20"/>
                <w:color w:val="auto"/>
              </w:rPr>
            </w:pPr>
            <w:r>
              <w:rPr>
                <w:rFonts w:ascii="Arial" w:cs="Arial" w:eastAsia="Arial" w:hAnsi="Arial"/>
                <w:sz w:val="14"/>
                <w:szCs w:val="14"/>
                <w:color w:val="54565B"/>
                <w:w w:val="99"/>
              </w:rPr>
              <w:t>—</w:t>
            </w:r>
          </w:p>
        </w:tc>
        <w:tc>
          <w:tcPr>
            <w:tcW w:w="1740" w:type="dxa"/>
            <w:vAlign w:val="bottom"/>
          </w:tcPr>
          <w:p>
            <w:pPr>
              <w:jc w:val="center"/>
              <w:ind w:right="148"/>
              <w:spacing w:after="0"/>
              <w:rPr>
                <w:sz w:val="20"/>
                <w:szCs w:val="20"/>
                <w:color w:val="auto"/>
              </w:rPr>
            </w:pPr>
            <w:r>
              <w:rPr>
                <w:rFonts w:ascii="Arial" w:cs="Arial" w:eastAsia="Arial" w:hAnsi="Arial"/>
                <w:sz w:val="14"/>
                <w:szCs w:val="14"/>
                <w:color w:val="54565B"/>
              </w:rPr>
              <w:t>9,343,817</w:t>
            </w:r>
          </w:p>
        </w:tc>
      </w:tr>
      <w:tr>
        <w:trPr>
          <w:trHeight w:val="189"/>
        </w:trPr>
        <w:tc>
          <w:tcPr>
            <w:tcW w:w="1900" w:type="dxa"/>
            <w:vAlign w:val="bottom"/>
            <w:shd w:val="clear" w:color="auto" w:fill="EAF7FA"/>
          </w:tcPr>
          <w:p>
            <w:pPr>
              <w:ind w:left="220"/>
              <w:spacing w:after="0"/>
              <w:rPr>
                <w:sz w:val="20"/>
                <w:szCs w:val="20"/>
                <w:color w:val="auto"/>
              </w:rPr>
            </w:pPr>
            <w:r>
              <w:rPr>
                <w:rFonts w:ascii="Arial" w:cs="Arial" w:eastAsia="Arial" w:hAnsi="Arial"/>
                <w:sz w:val="14"/>
                <w:szCs w:val="14"/>
                <w:b w:val="1"/>
                <w:bCs w:val="1"/>
                <w:color w:val="54565B"/>
              </w:rPr>
              <w:t>S. Craig Lindner</w:t>
            </w:r>
          </w:p>
        </w:tc>
        <w:tc>
          <w:tcPr>
            <w:tcW w:w="1500" w:type="dxa"/>
            <w:vAlign w:val="bottom"/>
            <w:shd w:val="clear" w:color="auto" w:fill="EAF7FA"/>
          </w:tcPr>
          <w:p>
            <w:pPr>
              <w:jc w:val="center"/>
              <w:ind w:left="88"/>
              <w:spacing w:after="0"/>
              <w:rPr>
                <w:sz w:val="20"/>
                <w:szCs w:val="20"/>
                <w:color w:val="auto"/>
              </w:rPr>
            </w:pPr>
            <w:r>
              <w:rPr>
                <w:rFonts w:ascii="Arial" w:cs="Arial" w:eastAsia="Arial" w:hAnsi="Arial"/>
                <w:sz w:val="14"/>
                <w:szCs w:val="14"/>
                <w:color w:val="54565B"/>
                <w:w w:val="99"/>
              </w:rPr>
              <w:t>—</w:t>
            </w:r>
          </w:p>
        </w:tc>
        <w:tc>
          <w:tcPr>
            <w:tcW w:w="1420" w:type="dxa"/>
            <w:vAlign w:val="bottom"/>
            <w:shd w:val="clear" w:color="auto" w:fill="EAF7FA"/>
          </w:tcPr>
          <w:p>
            <w:pPr>
              <w:jc w:val="right"/>
              <w:ind w:right="548"/>
              <w:spacing w:after="0"/>
              <w:rPr>
                <w:sz w:val="20"/>
                <w:szCs w:val="20"/>
                <w:color w:val="auto"/>
              </w:rPr>
            </w:pPr>
            <w:r>
              <w:rPr>
                <w:rFonts w:ascii="Arial" w:cs="Arial" w:eastAsia="Arial" w:hAnsi="Arial"/>
                <w:sz w:val="14"/>
                <w:szCs w:val="14"/>
                <w:color w:val="54565B"/>
              </w:rPr>
              <w:t>32,750</w:t>
            </w:r>
          </w:p>
        </w:tc>
        <w:tc>
          <w:tcPr>
            <w:tcW w:w="1480" w:type="dxa"/>
            <w:vAlign w:val="bottom"/>
            <w:shd w:val="clear" w:color="auto" w:fill="EAF7FA"/>
          </w:tcPr>
          <w:p>
            <w:pPr>
              <w:jc w:val="right"/>
              <w:ind w:right="408"/>
              <w:spacing w:after="0"/>
              <w:rPr>
                <w:sz w:val="20"/>
                <w:szCs w:val="20"/>
                <w:color w:val="auto"/>
              </w:rPr>
            </w:pPr>
            <w:r>
              <w:rPr>
                <w:rFonts w:ascii="Arial" w:cs="Arial" w:eastAsia="Arial" w:hAnsi="Arial"/>
                <w:sz w:val="14"/>
                <w:szCs w:val="14"/>
                <w:color w:val="54565B"/>
              </w:rPr>
              <w:t>1,224,286</w:t>
            </w:r>
          </w:p>
        </w:tc>
        <w:tc>
          <w:tcPr>
            <w:tcW w:w="1360" w:type="dxa"/>
            <w:vAlign w:val="bottom"/>
            <w:shd w:val="clear" w:color="auto" w:fill="EAF7FA"/>
          </w:tcPr>
          <w:p>
            <w:pPr>
              <w:jc w:val="center"/>
              <w:spacing w:after="0"/>
              <w:rPr>
                <w:sz w:val="20"/>
                <w:szCs w:val="20"/>
                <w:color w:val="auto"/>
              </w:rPr>
            </w:pPr>
            <w:r>
              <w:rPr>
                <w:rFonts w:ascii="Arial" w:cs="Arial" w:eastAsia="Arial" w:hAnsi="Arial"/>
                <w:sz w:val="14"/>
                <w:szCs w:val="14"/>
                <w:color w:val="54565B"/>
                <w:w w:val="99"/>
              </w:rPr>
              <w:t>—</w:t>
            </w:r>
          </w:p>
        </w:tc>
        <w:tc>
          <w:tcPr>
            <w:tcW w:w="1740" w:type="dxa"/>
            <w:vAlign w:val="bottom"/>
            <w:shd w:val="clear" w:color="auto" w:fill="EAF7FA"/>
          </w:tcPr>
          <w:p>
            <w:pPr>
              <w:jc w:val="center"/>
              <w:ind w:right="148"/>
              <w:spacing w:after="0"/>
              <w:rPr>
                <w:sz w:val="20"/>
                <w:szCs w:val="20"/>
                <w:color w:val="auto"/>
              </w:rPr>
            </w:pPr>
            <w:r>
              <w:rPr>
                <w:rFonts w:ascii="Arial" w:cs="Arial" w:eastAsia="Arial" w:hAnsi="Arial"/>
                <w:sz w:val="14"/>
                <w:szCs w:val="14"/>
                <w:color w:val="54565B"/>
              </w:rPr>
              <w:t>9,701,137</w:t>
            </w:r>
          </w:p>
        </w:tc>
      </w:tr>
      <w:tr>
        <w:trPr>
          <w:trHeight w:val="189"/>
        </w:trPr>
        <w:tc>
          <w:tcPr>
            <w:tcW w:w="1900" w:type="dxa"/>
            <w:vAlign w:val="bottom"/>
          </w:tcPr>
          <w:p>
            <w:pPr>
              <w:ind w:left="220"/>
              <w:spacing w:after="0"/>
              <w:rPr>
                <w:sz w:val="20"/>
                <w:szCs w:val="20"/>
                <w:color w:val="auto"/>
              </w:rPr>
            </w:pPr>
            <w:r>
              <w:rPr>
                <w:rFonts w:ascii="Arial" w:cs="Arial" w:eastAsia="Arial" w:hAnsi="Arial"/>
                <w:sz w:val="14"/>
                <w:szCs w:val="14"/>
                <w:b w:val="1"/>
                <w:bCs w:val="1"/>
                <w:color w:val="54565B"/>
              </w:rPr>
              <w:t>John B. Berding</w:t>
            </w:r>
          </w:p>
        </w:tc>
        <w:tc>
          <w:tcPr>
            <w:tcW w:w="1500" w:type="dxa"/>
            <w:vAlign w:val="bottom"/>
          </w:tcPr>
          <w:p>
            <w:pPr>
              <w:jc w:val="center"/>
              <w:ind w:left="88"/>
              <w:spacing w:after="0"/>
              <w:rPr>
                <w:sz w:val="20"/>
                <w:szCs w:val="20"/>
                <w:color w:val="auto"/>
              </w:rPr>
            </w:pPr>
            <w:r>
              <w:rPr>
                <w:rFonts w:ascii="Arial" w:cs="Arial" w:eastAsia="Arial" w:hAnsi="Arial"/>
                <w:sz w:val="14"/>
                <w:szCs w:val="14"/>
                <w:color w:val="54565B"/>
                <w:w w:val="99"/>
              </w:rPr>
              <w:t>—</w:t>
            </w:r>
          </w:p>
        </w:tc>
        <w:tc>
          <w:tcPr>
            <w:tcW w:w="1420" w:type="dxa"/>
            <w:vAlign w:val="bottom"/>
          </w:tcPr>
          <w:p>
            <w:pPr>
              <w:jc w:val="right"/>
              <w:ind w:right="548"/>
              <w:spacing w:after="0"/>
              <w:rPr>
                <w:sz w:val="20"/>
                <w:szCs w:val="20"/>
                <w:color w:val="auto"/>
              </w:rPr>
            </w:pPr>
            <w:r>
              <w:rPr>
                <w:rFonts w:ascii="Arial" w:cs="Arial" w:eastAsia="Arial" w:hAnsi="Arial"/>
                <w:sz w:val="14"/>
                <w:szCs w:val="14"/>
                <w:color w:val="54565B"/>
              </w:rPr>
              <w:t>32,750</w:t>
            </w:r>
          </w:p>
        </w:tc>
        <w:tc>
          <w:tcPr>
            <w:tcW w:w="1480" w:type="dxa"/>
            <w:vAlign w:val="bottom"/>
          </w:tcPr>
          <w:p>
            <w:pPr>
              <w:jc w:val="right"/>
              <w:ind w:right="428"/>
              <w:spacing w:after="0"/>
              <w:rPr>
                <w:sz w:val="20"/>
                <w:szCs w:val="20"/>
                <w:color w:val="auto"/>
              </w:rPr>
            </w:pPr>
            <w:r>
              <w:rPr>
                <w:rFonts w:ascii="Arial" w:cs="Arial" w:eastAsia="Arial" w:hAnsi="Arial"/>
                <w:sz w:val="14"/>
                <w:szCs w:val="14"/>
                <w:color w:val="54565B"/>
              </w:rPr>
              <w:t>438,900</w:t>
            </w:r>
          </w:p>
        </w:tc>
        <w:tc>
          <w:tcPr>
            <w:tcW w:w="1360" w:type="dxa"/>
            <w:vAlign w:val="bottom"/>
          </w:tcPr>
          <w:p>
            <w:pPr>
              <w:jc w:val="center"/>
              <w:spacing w:after="0"/>
              <w:rPr>
                <w:sz w:val="20"/>
                <w:szCs w:val="20"/>
                <w:color w:val="auto"/>
              </w:rPr>
            </w:pPr>
            <w:r>
              <w:rPr>
                <w:rFonts w:ascii="Arial" w:cs="Arial" w:eastAsia="Arial" w:hAnsi="Arial"/>
                <w:sz w:val="14"/>
                <w:szCs w:val="14"/>
                <w:color w:val="54565B"/>
                <w:w w:val="99"/>
              </w:rPr>
              <w:t>—</w:t>
            </w:r>
          </w:p>
        </w:tc>
        <w:tc>
          <w:tcPr>
            <w:tcW w:w="1740" w:type="dxa"/>
            <w:vAlign w:val="bottom"/>
          </w:tcPr>
          <w:p>
            <w:pPr>
              <w:jc w:val="right"/>
              <w:ind w:right="608"/>
              <w:spacing w:after="0"/>
              <w:rPr>
                <w:sz w:val="20"/>
                <w:szCs w:val="20"/>
                <w:color w:val="auto"/>
              </w:rPr>
            </w:pPr>
            <w:r>
              <w:rPr>
                <w:rFonts w:ascii="Arial" w:cs="Arial" w:eastAsia="Arial" w:hAnsi="Arial"/>
                <w:sz w:val="14"/>
                <w:szCs w:val="14"/>
                <w:color w:val="54565B"/>
              </w:rPr>
              <w:t>4,277,110</w:t>
            </w:r>
          </w:p>
        </w:tc>
      </w:tr>
      <w:tr>
        <w:trPr>
          <w:trHeight w:val="189"/>
        </w:trPr>
        <w:tc>
          <w:tcPr>
            <w:tcW w:w="1900" w:type="dxa"/>
            <w:vAlign w:val="bottom"/>
            <w:shd w:val="clear" w:color="auto" w:fill="EAF7FA"/>
          </w:tcPr>
          <w:p>
            <w:pPr>
              <w:ind w:left="220"/>
              <w:spacing w:after="0"/>
              <w:rPr>
                <w:sz w:val="20"/>
                <w:szCs w:val="20"/>
                <w:color w:val="auto"/>
              </w:rPr>
            </w:pPr>
            <w:r>
              <w:rPr>
                <w:rFonts w:ascii="Arial" w:cs="Arial" w:eastAsia="Arial" w:hAnsi="Arial"/>
                <w:sz w:val="14"/>
                <w:szCs w:val="14"/>
                <w:b w:val="1"/>
                <w:bCs w:val="1"/>
                <w:color w:val="54565B"/>
              </w:rPr>
              <w:t>Brian S. Hertzman</w:t>
            </w:r>
          </w:p>
        </w:tc>
        <w:tc>
          <w:tcPr>
            <w:tcW w:w="1500" w:type="dxa"/>
            <w:vAlign w:val="bottom"/>
            <w:shd w:val="clear" w:color="auto" w:fill="EAF7FA"/>
          </w:tcPr>
          <w:p>
            <w:pPr>
              <w:jc w:val="center"/>
              <w:ind w:left="88"/>
              <w:spacing w:after="0"/>
              <w:rPr>
                <w:sz w:val="20"/>
                <w:szCs w:val="20"/>
                <w:color w:val="auto"/>
              </w:rPr>
            </w:pPr>
            <w:r>
              <w:rPr>
                <w:rFonts w:ascii="Arial" w:cs="Arial" w:eastAsia="Arial" w:hAnsi="Arial"/>
                <w:sz w:val="14"/>
                <w:szCs w:val="14"/>
                <w:color w:val="54565B"/>
                <w:w w:val="99"/>
              </w:rPr>
              <w:t>—</w:t>
            </w:r>
          </w:p>
        </w:tc>
        <w:tc>
          <w:tcPr>
            <w:tcW w:w="1420" w:type="dxa"/>
            <w:vAlign w:val="bottom"/>
            <w:shd w:val="clear" w:color="auto" w:fill="EAF7FA"/>
          </w:tcPr>
          <w:p>
            <w:pPr>
              <w:jc w:val="right"/>
              <w:ind w:right="548"/>
              <w:spacing w:after="0"/>
              <w:rPr>
                <w:sz w:val="20"/>
                <w:szCs w:val="20"/>
                <w:color w:val="auto"/>
              </w:rPr>
            </w:pPr>
            <w:r>
              <w:rPr>
                <w:rFonts w:ascii="Arial" w:cs="Arial" w:eastAsia="Arial" w:hAnsi="Arial"/>
                <w:sz w:val="14"/>
                <w:szCs w:val="14"/>
                <w:color w:val="54565B"/>
              </w:rPr>
              <w:t>21,850</w:t>
            </w:r>
          </w:p>
        </w:tc>
        <w:tc>
          <w:tcPr>
            <w:tcW w:w="1480" w:type="dxa"/>
            <w:vAlign w:val="bottom"/>
            <w:shd w:val="clear" w:color="auto" w:fill="EAF7FA"/>
          </w:tcPr>
          <w:p>
            <w:pPr>
              <w:jc w:val="right"/>
              <w:ind w:right="428"/>
              <w:spacing w:after="0"/>
              <w:rPr>
                <w:sz w:val="20"/>
                <w:szCs w:val="20"/>
                <w:color w:val="auto"/>
              </w:rPr>
            </w:pPr>
            <w:r>
              <w:rPr>
                <w:rFonts w:ascii="Arial" w:cs="Arial" w:eastAsia="Arial" w:hAnsi="Arial"/>
                <w:sz w:val="14"/>
                <w:szCs w:val="14"/>
                <w:color w:val="54565B"/>
              </w:rPr>
              <w:t>35,590</w:t>
            </w:r>
          </w:p>
        </w:tc>
        <w:tc>
          <w:tcPr>
            <w:tcW w:w="1360" w:type="dxa"/>
            <w:vAlign w:val="bottom"/>
            <w:shd w:val="clear" w:color="auto" w:fill="EAF7FA"/>
          </w:tcPr>
          <w:p>
            <w:pPr>
              <w:jc w:val="center"/>
              <w:spacing w:after="0"/>
              <w:rPr>
                <w:sz w:val="20"/>
                <w:szCs w:val="20"/>
                <w:color w:val="auto"/>
              </w:rPr>
            </w:pPr>
            <w:r>
              <w:rPr>
                <w:rFonts w:ascii="Arial" w:cs="Arial" w:eastAsia="Arial" w:hAnsi="Arial"/>
                <w:sz w:val="14"/>
                <w:szCs w:val="14"/>
                <w:color w:val="54565B"/>
                <w:w w:val="99"/>
              </w:rPr>
              <w:t>—</w:t>
            </w:r>
          </w:p>
        </w:tc>
        <w:tc>
          <w:tcPr>
            <w:tcW w:w="1740" w:type="dxa"/>
            <w:vAlign w:val="bottom"/>
            <w:shd w:val="clear" w:color="auto" w:fill="EAF7FA"/>
          </w:tcPr>
          <w:p>
            <w:pPr>
              <w:jc w:val="right"/>
              <w:ind w:right="608"/>
              <w:spacing w:after="0"/>
              <w:rPr>
                <w:sz w:val="20"/>
                <w:szCs w:val="20"/>
                <w:color w:val="auto"/>
              </w:rPr>
            </w:pPr>
            <w:r>
              <w:rPr>
                <w:rFonts w:ascii="Arial" w:cs="Arial" w:eastAsia="Arial" w:hAnsi="Arial"/>
                <w:sz w:val="14"/>
                <w:szCs w:val="14"/>
                <w:color w:val="54565B"/>
              </w:rPr>
              <w:t>248,631</w:t>
            </w:r>
          </w:p>
        </w:tc>
      </w:tr>
      <w:tr>
        <w:trPr>
          <w:trHeight w:val="189"/>
        </w:trPr>
        <w:tc>
          <w:tcPr>
            <w:tcW w:w="1900" w:type="dxa"/>
            <w:vAlign w:val="bottom"/>
          </w:tcPr>
          <w:p>
            <w:pPr>
              <w:ind w:left="220"/>
              <w:spacing w:after="0"/>
              <w:rPr>
                <w:sz w:val="20"/>
                <w:szCs w:val="20"/>
                <w:color w:val="auto"/>
              </w:rPr>
            </w:pPr>
            <w:r>
              <w:rPr>
                <w:rFonts w:ascii="Arial" w:cs="Arial" w:eastAsia="Arial" w:hAnsi="Arial"/>
                <w:sz w:val="14"/>
                <w:szCs w:val="14"/>
                <w:b w:val="1"/>
                <w:bCs w:val="1"/>
                <w:color w:val="54565B"/>
              </w:rPr>
              <w:t>David L. Thompson</w:t>
            </w:r>
          </w:p>
        </w:tc>
        <w:tc>
          <w:tcPr>
            <w:tcW w:w="1500" w:type="dxa"/>
            <w:vAlign w:val="bottom"/>
          </w:tcPr>
          <w:p>
            <w:pPr>
              <w:jc w:val="center"/>
              <w:ind w:left="88"/>
              <w:spacing w:after="0"/>
              <w:rPr>
                <w:sz w:val="20"/>
                <w:szCs w:val="20"/>
                <w:color w:val="auto"/>
              </w:rPr>
            </w:pPr>
            <w:r>
              <w:rPr>
                <w:rFonts w:ascii="Arial" w:cs="Arial" w:eastAsia="Arial" w:hAnsi="Arial"/>
                <w:sz w:val="14"/>
                <w:szCs w:val="14"/>
                <w:color w:val="54565B"/>
                <w:w w:val="99"/>
              </w:rPr>
              <w:t>—</w:t>
            </w:r>
          </w:p>
        </w:tc>
        <w:tc>
          <w:tcPr>
            <w:tcW w:w="1420" w:type="dxa"/>
            <w:vAlign w:val="bottom"/>
          </w:tcPr>
          <w:p>
            <w:pPr>
              <w:jc w:val="right"/>
              <w:ind w:right="548"/>
              <w:spacing w:after="0"/>
              <w:rPr>
                <w:sz w:val="20"/>
                <w:szCs w:val="20"/>
                <w:color w:val="auto"/>
              </w:rPr>
            </w:pPr>
            <w:r>
              <w:rPr>
                <w:rFonts w:ascii="Arial" w:cs="Arial" w:eastAsia="Arial" w:hAnsi="Arial"/>
                <w:sz w:val="14"/>
                <w:szCs w:val="14"/>
                <w:color w:val="54565B"/>
              </w:rPr>
              <w:t>32,750</w:t>
            </w:r>
          </w:p>
        </w:tc>
        <w:tc>
          <w:tcPr>
            <w:tcW w:w="1480" w:type="dxa"/>
            <w:vAlign w:val="bottom"/>
          </w:tcPr>
          <w:p>
            <w:pPr>
              <w:jc w:val="right"/>
              <w:ind w:right="428"/>
              <w:spacing w:after="0"/>
              <w:rPr>
                <w:sz w:val="20"/>
                <w:szCs w:val="20"/>
                <w:color w:val="auto"/>
              </w:rPr>
            </w:pPr>
            <w:r>
              <w:rPr>
                <w:rFonts w:ascii="Arial" w:cs="Arial" w:eastAsia="Arial" w:hAnsi="Arial"/>
                <w:sz w:val="14"/>
                <w:szCs w:val="14"/>
                <w:color w:val="54565B"/>
              </w:rPr>
              <w:t>51,648</w:t>
            </w:r>
          </w:p>
        </w:tc>
        <w:tc>
          <w:tcPr>
            <w:tcW w:w="1360" w:type="dxa"/>
            <w:vAlign w:val="bottom"/>
          </w:tcPr>
          <w:p>
            <w:pPr>
              <w:jc w:val="center"/>
              <w:spacing w:after="0"/>
              <w:rPr>
                <w:sz w:val="20"/>
                <w:szCs w:val="20"/>
                <w:color w:val="auto"/>
              </w:rPr>
            </w:pPr>
            <w:r>
              <w:rPr>
                <w:rFonts w:ascii="Arial" w:cs="Arial" w:eastAsia="Arial" w:hAnsi="Arial"/>
                <w:sz w:val="14"/>
                <w:szCs w:val="14"/>
                <w:color w:val="54565B"/>
                <w:w w:val="99"/>
              </w:rPr>
              <w:t>—</w:t>
            </w:r>
          </w:p>
        </w:tc>
        <w:tc>
          <w:tcPr>
            <w:tcW w:w="1740" w:type="dxa"/>
            <w:vAlign w:val="bottom"/>
          </w:tcPr>
          <w:p>
            <w:pPr>
              <w:jc w:val="right"/>
              <w:ind w:right="608"/>
              <w:spacing w:after="0"/>
              <w:rPr>
                <w:sz w:val="20"/>
                <w:szCs w:val="20"/>
                <w:color w:val="auto"/>
              </w:rPr>
            </w:pPr>
            <w:r>
              <w:rPr>
                <w:rFonts w:ascii="Arial" w:cs="Arial" w:eastAsia="Arial" w:hAnsi="Arial"/>
                <w:sz w:val="14"/>
                <w:szCs w:val="14"/>
                <w:color w:val="54565B"/>
              </w:rPr>
              <w:t>318,024</w:t>
            </w:r>
          </w:p>
        </w:tc>
      </w:tr>
      <w:tr>
        <w:trPr>
          <w:trHeight w:val="209"/>
        </w:trPr>
        <w:tc>
          <w:tcPr>
            <w:tcW w:w="1900" w:type="dxa"/>
            <w:vAlign w:val="bottom"/>
            <w:tcBorders>
              <w:bottom w:val="single" w:sz="8" w:color="EAF7FA"/>
            </w:tcBorders>
            <w:shd w:val="clear" w:color="auto" w:fill="EAF7FA"/>
          </w:tcPr>
          <w:p>
            <w:pPr>
              <w:ind w:left="220"/>
              <w:spacing w:after="0"/>
              <w:rPr>
                <w:sz w:val="20"/>
                <w:szCs w:val="20"/>
                <w:color w:val="auto"/>
              </w:rPr>
            </w:pPr>
            <w:r>
              <w:rPr>
                <w:rFonts w:ascii="Arial" w:cs="Arial" w:eastAsia="Arial" w:hAnsi="Arial"/>
                <w:sz w:val="14"/>
                <w:szCs w:val="14"/>
                <w:b w:val="1"/>
                <w:bCs w:val="1"/>
                <w:color w:val="54565B"/>
              </w:rPr>
              <w:t>Mark A. Weiss</w:t>
            </w:r>
          </w:p>
        </w:tc>
        <w:tc>
          <w:tcPr>
            <w:tcW w:w="1500" w:type="dxa"/>
            <w:vAlign w:val="bottom"/>
            <w:tcBorders>
              <w:bottom w:val="single" w:sz="8" w:color="EAF7FA"/>
            </w:tcBorders>
            <w:shd w:val="clear" w:color="auto" w:fill="EAF7FA"/>
          </w:tcPr>
          <w:p>
            <w:pPr>
              <w:jc w:val="center"/>
              <w:ind w:left="88"/>
              <w:spacing w:after="0"/>
              <w:rPr>
                <w:sz w:val="20"/>
                <w:szCs w:val="20"/>
                <w:color w:val="auto"/>
              </w:rPr>
            </w:pPr>
            <w:r>
              <w:rPr>
                <w:rFonts w:ascii="Arial" w:cs="Arial" w:eastAsia="Arial" w:hAnsi="Arial"/>
                <w:sz w:val="14"/>
                <w:szCs w:val="14"/>
                <w:color w:val="54565B"/>
                <w:w w:val="99"/>
              </w:rPr>
              <w:t>—</w:t>
            </w:r>
          </w:p>
        </w:tc>
        <w:tc>
          <w:tcPr>
            <w:tcW w:w="1420" w:type="dxa"/>
            <w:vAlign w:val="bottom"/>
            <w:tcBorders>
              <w:bottom w:val="single" w:sz="8" w:color="EAF7FA"/>
            </w:tcBorders>
            <w:shd w:val="clear" w:color="auto" w:fill="EAF7FA"/>
          </w:tcPr>
          <w:p>
            <w:pPr>
              <w:jc w:val="right"/>
              <w:ind w:right="548"/>
              <w:spacing w:after="0"/>
              <w:rPr>
                <w:sz w:val="20"/>
                <w:szCs w:val="20"/>
                <w:color w:val="auto"/>
              </w:rPr>
            </w:pPr>
            <w:r>
              <w:rPr>
                <w:rFonts w:ascii="Arial" w:cs="Arial" w:eastAsia="Arial" w:hAnsi="Arial"/>
                <w:sz w:val="14"/>
                <w:szCs w:val="14"/>
                <w:color w:val="54565B"/>
              </w:rPr>
              <w:t>21,879</w:t>
            </w:r>
          </w:p>
        </w:tc>
        <w:tc>
          <w:tcPr>
            <w:tcW w:w="1480" w:type="dxa"/>
            <w:vAlign w:val="bottom"/>
            <w:tcBorders>
              <w:bottom w:val="single" w:sz="8" w:color="EAF7FA"/>
            </w:tcBorders>
            <w:shd w:val="clear" w:color="auto" w:fill="EAF7FA"/>
          </w:tcPr>
          <w:p>
            <w:pPr>
              <w:jc w:val="right"/>
              <w:ind w:right="428"/>
              <w:spacing w:after="0"/>
              <w:rPr>
                <w:sz w:val="20"/>
                <w:szCs w:val="20"/>
                <w:color w:val="auto"/>
              </w:rPr>
            </w:pPr>
            <w:r>
              <w:rPr>
                <w:rFonts w:ascii="Arial" w:cs="Arial" w:eastAsia="Arial" w:hAnsi="Arial"/>
                <w:sz w:val="14"/>
                <w:szCs w:val="14"/>
                <w:color w:val="54565B"/>
              </w:rPr>
              <w:t>47,145</w:t>
            </w:r>
          </w:p>
        </w:tc>
        <w:tc>
          <w:tcPr>
            <w:tcW w:w="1360" w:type="dxa"/>
            <w:vAlign w:val="bottom"/>
            <w:tcBorders>
              <w:bottom w:val="single" w:sz="8" w:color="EAF7FA"/>
            </w:tcBorders>
            <w:shd w:val="clear" w:color="auto" w:fill="EAF7FA"/>
          </w:tcPr>
          <w:p>
            <w:pPr>
              <w:jc w:val="center"/>
              <w:spacing w:after="0"/>
              <w:rPr>
                <w:sz w:val="20"/>
                <w:szCs w:val="20"/>
                <w:color w:val="auto"/>
              </w:rPr>
            </w:pPr>
            <w:r>
              <w:rPr>
                <w:rFonts w:ascii="Arial" w:cs="Arial" w:eastAsia="Arial" w:hAnsi="Arial"/>
                <w:sz w:val="14"/>
                <w:szCs w:val="14"/>
                <w:color w:val="54565B"/>
                <w:w w:val="99"/>
              </w:rPr>
              <w:t>—</w:t>
            </w:r>
          </w:p>
        </w:tc>
        <w:tc>
          <w:tcPr>
            <w:tcW w:w="1740" w:type="dxa"/>
            <w:vAlign w:val="bottom"/>
            <w:tcBorders>
              <w:bottom w:val="single" w:sz="8" w:color="EAF7FA"/>
            </w:tcBorders>
            <w:shd w:val="clear" w:color="auto" w:fill="EAF7FA"/>
          </w:tcPr>
          <w:p>
            <w:pPr>
              <w:jc w:val="right"/>
              <w:ind w:right="608"/>
              <w:spacing w:after="0"/>
              <w:rPr>
                <w:sz w:val="20"/>
                <w:szCs w:val="20"/>
                <w:color w:val="auto"/>
              </w:rPr>
            </w:pPr>
            <w:r>
              <w:rPr>
                <w:rFonts w:ascii="Arial" w:cs="Arial" w:eastAsia="Arial" w:hAnsi="Arial"/>
                <w:sz w:val="14"/>
                <w:szCs w:val="14"/>
                <w:color w:val="54565B"/>
              </w:rPr>
              <w:t>​ 316,279</w:t>
            </w:r>
          </w:p>
        </w:tc>
      </w:tr>
      <w:tr>
        <w:trPr>
          <w:trHeight w:val="20"/>
        </w:trPr>
        <w:tc>
          <w:tcPr>
            <w:tcW w:w="1900" w:type="dxa"/>
            <w:vAlign w:val="bottom"/>
            <w:shd w:val="clear" w:color="auto" w:fill="0B3C61"/>
          </w:tcPr>
          <w:p>
            <w:pPr>
              <w:spacing w:after="0" w:line="20" w:lineRule="exact"/>
              <w:rPr>
                <w:sz w:val="1"/>
                <w:szCs w:val="1"/>
                <w:color w:val="auto"/>
              </w:rPr>
            </w:pPr>
          </w:p>
        </w:tc>
        <w:tc>
          <w:tcPr>
            <w:tcW w:w="1500" w:type="dxa"/>
            <w:vAlign w:val="bottom"/>
            <w:shd w:val="clear" w:color="auto" w:fill="0B3C61"/>
          </w:tcPr>
          <w:p>
            <w:pPr>
              <w:spacing w:after="0" w:line="20" w:lineRule="exact"/>
              <w:rPr>
                <w:sz w:val="1"/>
                <w:szCs w:val="1"/>
                <w:color w:val="auto"/>
              </w:rPr>
            </w:pPr>
          </w:p>
        </w:tc>
        <w:tc>
          <w:tcPr>
            <w:tcW w:w="1420" w:type="dxa"/>
            <w:vAlign w:val="bottom"/>
            <w:shd w:val="clear" w:color="auto" w:fill="0B3C61"/>
          </w:tcPr>
          <w:p>
            <w:pPr>
              <w:spacing w:after="0" w:line="20" w:lineRule="exact"/>
              <w:rPr>
                <w:sz w:val="1"/>
                <w:szCs w:val="1"/>
                <w:color w:val="auto"/>
              </w:rPr>
            </w:pPr>
          </w:p>
        </w:tc>
        <w:tc>
          <w:tcPr>
            <w:tcW w:w="1480" w:type="dxa"/>
            <w:vAlign w:val="bottom"/>
            <w:shd w:val="clear" w:color="auto" w:fill="0B3C61"/>
          </w:tcPr>
          <w:p>
            <w:pPr>
              <w:spacing w:after="0" w:line="20" w:lineRule="exact"/>
              <w:rPr>
                <w:sz w:val="1"/>
                <w:szCs w:val="1"/>
                <w:color w:val="auto"/>
              </w:rPr>
            </w:pPr>
          </w:p>
        </w:tc>
        <w:tc>
          <w:tcPr>
            <w:tcW w:w="1360" w:type="dxa"/>
            <w:vAlign w:val="bottom"/>
            <w:shd w:val="clear" w:color="auto" w:fill="0B3C61"/>
          </w:tcPr>
          <w:p>
            <w:pPr>
              <w:spacing w:after="0" w:line="20" w:lineRule="exact"/>
              <w:rPr>
                <w:sz w:val="1"/>
                <w:szCs w:val="1"/>
                <w:color w:val="auto"/>
              </w:rPr>
            </w:pPr>
          </w:p>
        </w:tc>
        <w:tc>
          <w:tcPr>
            <w:tcW w:w="1740" w:type="dxa"/>
            <w:vAlign w:val="bottom"/>
            <w:shd w:val="clear" w:color="auto" w:fill="0B3C61"/>
          </w:tcPr>
          <w:p>
            <w:pPr>
              <w:spacing w:after="0" w:line="20" w:lineRule="exact"/>
              <w:rPr>
                <w:sz w:val="1"/>
                <w:szCs w:val="1"/>
                <w:color w:val="auto"/>
              </w:rPr>
            </w:pPr>
          </w:p>
        </w:tc>
      </w:tr>
    </w:tbl>
    <w:p>
      <w:pPr>
        <w:spacing w:after="0" w:line="144" w:lineRule="exact"/>
        <w:rPr>
          <w:sz w:val="20"/>
          <w:szCs w:val="20"/>
          <w:color w:val="auto"/>
        </w:rPr>
      </w:pPr>
    </w:p>
    <w:p>
      <w:pPr>
        <w:ind w:left="440" w:right="160" w:hanging="272"/>
        <w:spacing w:after="0" w:line="243" w:lineRule="auto"/>
        <w:tabs>
          <w:tab w:leader="none" w:pos="440" w:val="left"/>
        </w:tabs>
        <w:numPr>
          <w:ilvl w:val="0"/>
          <w:numId w:val="26"/>
        </w:numPr>
        <w:rPr>
          <w:rFonts w:ascii="Arial" w:cs="Arial" w:eastAsia="Arial" w:hAnsi="Arial"/>
          <w:sz w:val="13"/>
          <w:szCs w:val="13"/>
          <w:color w:val="54565B"/>
        </w:rPr>
      </w:pPr>
      <w:r>
        <w:rPr>
          <w:rFonts w:ascii="Arial" w:cs="Arial" w:eastAsia="Arial" w:hAnsi="Arial"/>
          <w:sz w:val="13"/>
          <w:szCs w:val="13"/>
          <w:color w:val="54565B"/>
        </w:rPr>
        <w:t xml:space="preserve">Represents Company contributions credited to participants’ Auxiliary RASP accounts for 2025 which are included in the supplemental All Other Compensation table on page </w:t>
      </w:r>
      <w:r>
        <w:rPr>
          <w:rFonts w:ascii="Arial" w:cs="Arial" w:eastAsia="Arial" w:hAnsi="Arial"/>
          <w:sz w:val="13"/>
          <w:szCs w:val="13"/>
          <w:u w:val="single" w:color="auto"/>
          <w:color w:val="0000EE"/>
        </w:rPr>
        <w:t>55</w:t>
      </w:r>
      <w:r>
        <w:rPr>
          <w:rFonts w:ascii="Arial" w:cs="Arial" w:eastAsia="Arial" w:hAnsi="Arial"/>
          <w:sz w:val="13"/>
          <w:szCs w:val="13"/>
          <w:color w:val="54565B"/>
        </w:rPr>
        <w:t>.</w:t>
      </w:r>
    </w:p>
    <w:p>
      <w:pPr>
        <w:spacing w:after="0" w:line="21" w:lineRule="exact"/>
        <w:rPr>
          <w:rFonts w:ascii="Arial" w:cs="Arial" w:eastAsia="Arial" w:hAnsi="Arial"/>
          <w:sz w:val="13"/>
          <w:szCs w:val="13"/>
          <w:color w:val="54565B"/>
        </w:rPr>
      </w:pPr>
    </w:p>
    <w:p>
      <w:pPr>
        <w:ind w:left="440" w:hanging="272"/>
        <w:spacing w:after="0"/>
        <w:tabs>
          <w:tab w:leader="none" w:pos="440" w:val="left"/>
        </w:tabs>
        <w:numPr>
          <w:ilvl w:val="0"/>
          <w:numId w:val="26"/>
        </w:numPr>
        <w:rPr>
          <w:rFonts w:ascii="Arial" w:cs="Arial" w:eastAsia="Arial" w:hAnsi="Arial"/>
          <w:sz w:val="13"/>
          <w:szCs w:val="13"/>
          <w:color w:val="54565B"/>
        </w:rPr>
      </w:pPr>
      <w:r>
        <w:rPr>
          <w:rFonts w:ascii="Arial" w:cs="Arial" w:eastAsia="Arial" w:hAnsi="Arial"/>
          <w:sz w:val="13"/>
          <w:szCs w:val="13"/>
          <w:color w:val="54565B"/>
        </w:rPr>
        <w:t>Earnings are calculated by reference to actual earnings or losses of mutual funds and securities, including Company common shares, held by the plans.</w:t>
      </w: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58 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0B3C61"/>
        </w:rPr>
        <w:t>COMPENSATION COMMITTEE REPORT</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54565B"/>
        </w:rPr>
        <w:t>The Compensation Committee has reviewed and discussed the Compensation Discussion and Analysis required by Item 402(b) of Regulation S-K with management. Based on these reviews and discussions, the Compensation Committee recommended to the Board of Directors that the Compensation Discussion and Analysis be included in the Company’s proxy statement on Schedule 14A.</w:t>
      </w:r>
    </w:p>
    <w:p>
      <w:pPr>
        <w:spacing w:after="0" w:line="259" w:lineRule="exact"/>
        <w:rPr>
          <w:sz w:val="20"/>
          <w:szCs w:val="20"/>
          <w:color w:val="auto"/>
        </w:rPr>
      </w:pPr>
    </w:p>
    <w:p>
      <w:pPr>
        <w:ind w:left="1240"/>
        <w:spacing w:after="0"/>
        <w:tabs>
          <w:tab w:leader="none" w:pos="5340" w:val="left"/>
        </w:tabs>
        <w:rPr>
          <w:sz w:val="20"/>
          <w:szCs w:val="20"/>
          <w:color w:val="auto"/>
        </w:rPr>
      </w:pPr>
      <w:r>
        <w:rPr>
          <w:rFonts w:ascii="Arial" w:cs="Arial" w:eastAsia="Arial" w:hAnsi="Arial"/>
          <w:sz w:val="16"/>
          <w:szCs w:val="16"/>
          <w:color w:val="54565B"/>
        </w:rPr>
        <w:t>Members of the Compensation Committee:</w:t>
      </w:r>
      <w:r>
        <w:rPr>
          <w:sz w:val="20"/>
          <w:szCs w:val="20"/>
          <w:color w:val="auto"/>
        </w:rPr>
        <w:tab/>
      </w:r>
      <w:r>
        <w:rPr>
          <w:rFonts w:ascii="Arial" w:cs="Arial" w:eastAsia="Arial" w:hAnsi="Arial"/>
          <w:sz w:val="16"/>
          <w:szCs w:val="16"/>
          <w:color w:val="54565B"/>
        </w:rPr>
        <w:t>Mary Beth Martin, Chair</w:t>
      </w:r>
    </w:p>
    <w:p>
      <w:pPr>
        <w:spacing w:after="0" w:line="59" w:lineRule="exact"/>
        <w:rPr>
          <w:sz w:val="20"/>
          <w:szCs w:val="20"/>
          <w:color w:val="auto"/>
        </w:rPr>
      </w:pPr>
    </w:p>
    <w:p>
      <w:pPr>
        <w:ind w:left="5360"/>
        <w:spacing w:after="0"/>
        <w:rPr>
          <w:sz w:val="20"/>
          <w:szCs w:val="20"/>
          <w:color w:val="auto"/>
        </w:rPr>
      </w:pPr>
      <w:r>
        <w:rPr>
          <w:rFonts w:ascii="Arial" w:cs="Arial" w:eastAsia="Arial" w:hAnsi="Arial"/>
          <w:sz w:val="16"/>
          <w:szCs w:val="16"/>
          <w:color w:val="54565B"/>
        </w:rPr>
        <w:t>Amy Y. Murray</w:t>
      </w:r>
    </w:p>
    <w:p>
      <w:pPr>
        <w:spacing w:after="0" w:line="59" w:lineRule="exact"/>
        <w:rPr>
          <w:sz w:val="20"/>
          <w:szCs w:val="20"/>
          <w:color w:val="auto"/>
        </w:rPr>
      </w:pPr>
    </w:p>
    <w:p>
      <w:pPr>
        <w:ind w:left="5360"/>
        <w:spacing w:after="0"/>
        <w:rPr>
          <w:sz w:val="20"/>
          <w:szCs w:val="20"/>
          <w:color w:val="auto"/>
        </w:rPr>
      </w:pPr>
      <w:r>
        <w:rPr>
          <w:rFonts w:ascii="Arial" w:cs="Arial" w:eastAsia="Arial" w:hAnsi="Arial"/>
          <w:sz w:val="16"/>
          <w:szCs w:val="16"/>
          <w:color w:val="54565B"/>
        </w:rPr>
        <w:t>William W. Verity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0B3C61"/>
        </w:rPr>
        <w:t>DIRECTOR COMPENSATION AND STOCK OWNERSHIP GUIDELINES</w:t>
      </w:r>
    </w:p>
    <w:p>
      <w:pPr>
        <w:spacing w:after="0" w:line="97" w:lineRule="exact"/>
        <w:rPr>
          <w:sz w:val="20"/>
          <w:szCs w:val="20"/>
          <w:color w:val="auto"/>
        </w:rPr>
      </w:pPr>
    </w:p>
    <w:p>
      <w:pPr>
        <w:jc w:val="both"/>
        <w:ind w:right="60"/>
        <w:spacing w:after="0" w:line="256" w:lineRule="auto"/>
        <w:rPr>
          <w:sz w:val="20"/>
          <w:szCs w:val="20"/>
          <w:color w:val="auto"/>
        </w:rPr>
      </w:pPr>
      <w:r>
        <w:rPr>
          <w:rFonts w:ascii="Arial" w:cs="Arial" w:eastAsia="Arial" w:hAnsi="Arial"/>
          <w:sz w:val="16"/>
          <w:szCs w:val="16"/>
          <w:color w:val="54565B"/>
        </w:rPr>
        <w:t>The Corporate Governance Committee reviews the structure and philosophy of our non-employee director compensation program annually during the second quarter. In performing its annual review, the Corporate Governance Committee utilizes the same group of peer companies used by the Compensation Committee in assessing compensation for NEOs to evaluate the competitiveness of non-employee director compensation. In addition to peer group information, the Corporate Governance Committee also evaluates overall market data, trends and leading practices in non-employee director compensation for large public companies.</w:t>
      </w:r>
    </w:p>
    <w:p>
      <w:pPr>
        <w:spacing w:after="0" w:line="4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54565B"/>
        </w:rPr>
        <w:t>In the second quarter of 2025, the Corporate Governance Committee conducted its annual review. The Committee’s extensive evaluation included, among other items, a review of the workloads of the Board and its Committees relative to director compensation, director compensation levels at AFG’s Compensation Peer Group companies and other large public companies, and director compensation trends and practices generally. As a result of this process, the Committee determined to recommend a modest 3% increase to the annual Board member restricted stock award. In addition, the Committee recommended increasing each of the Audit Committee Chair and Audit Committee (non-Chair) member retainer by $5,000, which would bring each retainer closer to the median of the AFG’s Compensation Peer Group companies.</w:t>
      </w:r>
    </w:p>
    <w:p>
      <w:pPr>
        <w:spacing w:after="0" w:line="60"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54565B"/>
        </w:rPr>
        <w:t>After consideration and evaluation of these Corporate Governance Committee recommendations, the Board approved the limited proposed changes to the non-employee director compensation program. Accordingly, the Board increased:</w:t>
      </w:r>
    </w:p>
    <w:p>
      <w:pPr>
        <w:spacing w:after="0" w:line="48" w:lineRule="exact"/>
        <w:rPr>
          <w:sz w:val="20"/>
          <w:szCs w:val="20"/>
          <w:color w:val="auto"/>
        </w:rPr>
      </w:pPr>
    </w:p>
    <w:p>
      <w:pPr>
        <w:ind w:left="360" w:hanging="174"/>
        <w:spacing w:after="0"/>
        <w:tabs>
          <w:tab w:leader="none" w:pos="360" w:val="left"/>
        </w:tabs>
        <w:numPr>
          <w:ilvl w:val="0"/>
          <w:numId w:val="27"/>
        </w:numPr>
        <w:rPr>
          <w:rFonts w:ascii="Arial" w:cs="Arial" w:eastAsia="Arial" w:hAnsi="Arial"/>
          <w:sz w:val="16"/>
          <w:szCs w:val="16"/>
          <w:color w:val="54565B"/>
        </w:rPr>
      </w:pPr>
      <w:r>
        <w:rPr>
          <w:rFonts w:ascii="Arial" w:cs="Arial" w:eastAsia="Arial" w:hAnsi="Arial"/>
          <w:sz w:val="16"/>
          <w:szCs w:val="16"/>
          <w:color w:val="54565B"/>
        </w:rPr>
        <w:t>The annual director restricted stock award by $5,000, to $170,000;</w:t>
      </w:r>
    </w:p>
    <w:p>
      <w:pPr>
        <w:spacing w:after="0" w:line="21" w:lineRule="exact"/>
        <w:rPr>
          <w:rFonts w:ascii="Arial" w:cs="Arial" w:eastAsia="Arial" w:hAnsi="Arial"/>
          <w:sz w:val="16"/>
          <w:szCs w:val="16"/>
          <w:color w:val="54565B"/>
        </w:rPr>
      </w:pPr>
    </w:p>
    <w:p>
      <w:pPr>
        <w:ind w:left="360" w:hanging="174"/>
        <w:spacing w:after="0"/>
        <w:tabs>
          <w:tab w:leader="none" w:pos="360" w:val="left"/>
        </w:tabs>
        <w:numPr>
          <w:ilvl w:val="0"/>
          <w:numId w:val="27"/>
        </w:numPr>
        <w:rPr>
          <w:rFonts w:ascii="Arial" w:cs="Arial" w:eastAsia="Arial" w:hAnsi="Arial"/>
          <w:sz w:val="16"/>
          <w:szCs w:val="16"/>
          <w:color w:val="54565B"/>
        </w:rPr>
      </w:pPr>
      <w:r>
        <w:rPr>
          <w:rFonts w:ascii="Arial" w:cs="Arial" w:eastAsia="Arial" w:hAnsi="Arial"/>
          <w:sz w:val="16"/>
          <w:szCs w:val="16"/>
          <w:color w:val="54565B"/>
        </w:rPr>
        <w:t>The Audit Committee Chair retainer by $5,000, to $20,000; and</w:t>
      </w:r>
    </w:p>
    <w:p>
      <w:pPr>
        <w:spacing w:after="0" w:line="5" w:lineRule="exact"/>
        <w:rPr>
          <w:rFonts w:ascii="Arial" w:cs="Arial" w:eastAsia="Arial" w:hAnsi="Arial"/>
          <w:sz w:val="16"/>
          <w:szCs w:val="16"/>
          <w:color w:val="54565B"/>
        </w:rPr>
      </w:pPr>
    </w:p>
    <w:p>
      <w:pPr>
        <w:ind w:left="360" w:hanging="174"/>
        <w:spacing w:after="0"/>
        <w:tabs>
          <w:tab w:leader="none" w:pos="360" w:val="left"/>
        </w:tabs>
        <w:numPr>
          <w:ilvl w:val="0"/>
          <w:numId w:val="27"/>
        </w:numPr>
        <w:rPr>
          <w:rFonts w:ascii="Arial" w:cs="Arial" w:eastAsia="Arial" w:hAnsi="Arial"/>
          <w:sz w:val="16"/>
          <w:szCs w:val="16"/>
          <w:color w:val="54565B"/>
        </w:rPr>
      </w:pPr>
      <w:r>
        <w:rPr>
          <w:rFonts w:ascii="Arial" w:cs="Arial" w:eastAsia="Arial" w:hAnsi="Arial"/>
          <w:sz w:val="16"/>
          <w:szCs w:val="16"/>
          <w:color w:val="54565B"/>
        </w:rPr>
        <w:t>The Audit Committee (non-Chair) member retainer by $5,000, to $15,000.</w:t>
      </w:r>
    </w:p>
    <w:p>
      <w:pPr>
        <w:spacing w:after="0" w:line="84"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54565B"/>
        </w:rPr>
        <w:t xml:space="preserve">These changes are reflected in the “2025 Director Compensation Schedule” below. Also, for the amounts actually paid to each non-employee director in 2025, please see the “2025 Director Compensation” table on page </w:t>
      </w:r>
      <w:r>
        <w:rPr>
          <w:rFonts w:ascii="Arial" w:cs="Arial" w:eastAsia="Arial" w:hAnsi="Arial"/>
          <w:sz w:val="16"/>
          <w:szCs w:val="16"/>
          <w:u w:val="single" w:color="auto"/>
          <w:color w:val="0000EE"/>
        </w:rPr>
        <w:t>60</w:t>
      </w:r>
      <w:r>
        <w:rPr>
          <w:rFonts w:ascii="Arial" w:cs="Arial" w:eastAsia="Arial" w:hAnsi="Arial"/>
          <w:sz w:val="16"/>
          <w:szCs w:val="16"/>
          <w:color w:val="54565B"/>
        </w:rPr>
        <w:t>.</w:t>
      </w:r>
    </w:p>
    <w:p>
      <w:pPr>
        <w:spacing w:after="0" w:line="21" w:lineRule="exact"/>
        <w:rPr>
          <w:sz w:val="20"/>
          <w:szCs w:val="20"/>
          <w:color w:val="auto"/>
        </w:rPr>
      </w:pPr>
    </w:p>
    <w:p>
      <w:pPr>
        <w:spacing w:after="0" w:line="266" w:lineRule="auto"/>
        <w:rPr>
          <w:sz w:val="20"/>
          <w:szCs w:val="20"/>
          <w:color w:val="auto"/>
        </w:rPr>
      </w:pPr>
      <w:r>
        <w:rPr>
          <w:rFonts w:ascii="Arial" w:cs="Arial" w:eastAsia="Arial" w:hAnsi="Arial"/>
          <w:sz w:val="16"/>
          <w:szCs w:val="16"/>
          <w:color w:val="54565B"/>
        </w:rPr>
        <w:t>The Board has established a share ownership target for non-employee directors with the objective that all own at least three times the annual Board retainer (i.e., currently $435,000) within five years after the later of receiving his or her first annual restricted stock award or the implementation of any increase in the share ownership target.</w:t>
      </w:r>
    </w:p>
    <w:p>
      <w:pPr>
        <w:spacing w:after="0" w:line="275" w:lineRule="exact"/>
        <w:rPr>
          <w:sz w:val="20"/>
          <w:szCs w:val="20"/>
          <w:color w:val="auto"/>
        </w:rPr>
      </w:pPr>
    </w:p>
    <w:p>
      <w:pPr>
        <w:ind w:left="6360"/>
        <w:spacing w:after="0"/>
        <w:rPr>
          <w:sz w:val="20"/>
          <w:szCs w:val="20"/>
          <w:color w:val="auto"/>
        </w:rPr>
      </w:pPr>
      <w:r>
        <w:rPr>
          <w:rFonts w:ascii="Arial" w:cs="Arial" w:eastAsia="Arial" w:hAnsi="Arial"/>
          <w:sz w:val="12"/>
          <w:szCs w:val="12"/>
          <w:color w:val="0B3C61"/>
        </w:rPr>
        <w:t xml:space="preserve">2026 Proxy Statement | American Financial Group   </w:t>
      </w:r>
      <w:r>
        <w:rPr>
          <w:rFonts w:ascii="Arial" w:cs="Arial" w:eastAsia="Arial" w:hAnsi="Arial"/>
          <w:sz w:val="12"/>
          <w:szCs w:val="12"/>
          <w:b w:val="1"/>
          <w:bCs w:val="1"/>
          <w:color w:val="EA1D2D"/>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163830</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54565B"/>
        </w:rPr>
        <w:t>The table below shows the fees in effect for and the amounts to be paid to each non-employee director upon the implementation of the aforementioned changes to the director compensation program that became effective on July 1, 2025.</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2025 Director Compensation Schedule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6320" w:type="dxa"/>
            <w:vAlign w:val="bottom"/>
            <w:shd w:val="clear" w:color="auto" w:fill="0B3C61"/>
          </w:tcPr>
          <w:p>
            <w:pPr>
              <w:ind w:left="240"/>
              <w:spacing w:after="0"/>
              <w:rPr>
                <w:sz w:val="20"/>
                <w:szCs w:val="20"/>
                <w:color w:val="auto"/>
              </w:rPr>
            </w:pPr>
            <w:r>
              <w:rPr>
                <w:rFonts w:ascii="Arial" w:cs="Arial" w:eastAsia="Arial" w:hAnsi="Arial"/>
                <w:sz w:val="14"/>
                <w:szCs w:val="14"/>
                <w:color w:val="FFFFFF"/>
              </w:rPr>
              <w:t>Compensation Element</w:t>
            </w:r>
          </w:p>
        </w:tc>
        <w:tc>
          <w:tcPr>
            <w:tcW w:w="3080" w:type="dxa"/>
            <w:vAlign w:val="bottom"/>
            <w:shd w:val="clear" w:color="auto" w:fill="0B3C61"/>
          </w:tcPr>
          <w:p>
            <w:pPr>
              <w:jc w:val="right"/>
              <w:ind w:right="88"/>
              <w:spacing w:after="0"/>
              <w:rPr>
                <w:sz w:val="20"/>
                <w:szCs w:val="20"/>
                <w:color w:val="auto"/>
              </w:rPr>
            </w:pPr>
            <w:r>
              <w:rPr>
                <w:rFonts w:ascii="Arial" w:cs="Arial" w:eastAsia="Arial" w:hAnsi="Arial"/>
                <w:sz w:val="14"/>
                <w:szCs w:val="14"/>
                <w:color w:val="FFFFFF"/>
              </w:rPr>
              <w:t>($)</w:t>
            </w:r>
            <w:r>
              <w:rPr>
                <w:rFonts w:ascii="Arial" w:cs="Arial" w:eastAsia="Arial" w:hAnsi="Arial"/>
                <w:sz w:val="23"/>
                <w:szCs w:val="23"/>
                <w:color w:val="FFFFFF"/>
                <w:vertAlign w:val="superscript"/>
              </w:rPr>
              <w:t>(1)</w:t>
            </w:r>
          </w:p>
        </w:tc>
      </w:tr>
      <w:tr>
        <w:trPr>
          <w:trHeight w:val="262"/>
        </w:trPr>
        <w:tc>
          <w:tcPr>
            <w:tcW w:w="6320" w:type="dxa"/>
            <w:vAlign w:val="bottom"/>
          </w:tcPr>
          <w:p>
            <w:pPr>
              <w:ind w:left="240"/>
              <w:spacing w:after="0"/>
              <w:rPr>
                <w:sz w:val="20"/>
                <w:szCs w:val="20"/>
                <w:color w:val="auto"/>
              </w:rPr>
            </w:pPr>
            <w:r>
              <w:rPr>
                <w:rFonts w:ascii="Arial" w:cs="Arial" w:eastAsia="Arial" w:hAnsi="Arial"/>
                <w:sz w:val="14"/>
                <w:szCs w:val="14"/>
                <w:color w:val="54565B"/>
              </w:rPr>
              <w:t>Board Member Annual Retainer</w:t>
            </w:r>
          </w:p>
        </w:tc>
        <w:tc>
          <w:tcPr>
            <w:tcW w:w="3080" w:type="dxa"/>
            <w:vAlign w:val="bottom"/>
          </w:tcPr>
          <w:p>
            <w:pPr>
              <w:jc w:val="right"/>
              <w:ind w:right="88"/>
              <w:spacing w:after="0"/>
              <w:rPr>
                <w:sz w:val="20"/>
                <w:szCs w:val="20"/>
                <w:color w:val="auto"/>
              </w:rPr>
            </w:pPr>
            <w:r>
              <w:rPr>
                <w:rFonts w:ascii="Arial" w:cs="Arial" w:eastAsia="Arial" w:hAnsi="Arial"/>
                <w:sz w:val="14"/>
                <w:szCs w:val="14"/>
                <w:color w:val="54565B"/>
              </w:rPr>
              <w:t>145,000</w:t>
            </w:r>
          </w:p>
        </w:tc>
      </w:tr>
      <w:tr>
        <w:trPr>
          <w:trHeight w:val="35"/>
        </w:trPr>
        <w:tc>
          <w:tcPr>
            <w:tcW w:w="6320" w:type="dxa"/>
            <w:vAlign w:val="bottom"/>
          </w:tcPr>
          <w:p>
            <w:pPr>
              <w:spacing w:after="0"/>
              <w:rPr>
                <w:sz w:val="3"/>
                <w:szCs w:val="3"/>
                <w:color w:val="auto"/>
              </w:rPr>
            </w:pPr>
          </w:p>
        </w:tc>
        <w:tc>
          <w:tcPr>
            <w:tcW w:w="3080" w:type="dxa"/>
            <w:vAlign w:val="bottom"/>
          </w:tcPr>
          <w:p>
            <w:pPr>
              <w:spacing w:after="0"/>
              <w:rPr>
                <w:sz w:val="3"/>
                <w:szCs w:val="3"/>
                <w:color w:val="auto"/>
              </w:rPr>
            </w:pPr>
          </w:p>
        </w:tc>
      </w:tr>
      <w:tr>
        <w:trPr>
          <w:trHeight w:val="236"/>
        </w:trPr>
        <w:tc>
          <w:tcPr>
            <w:tcW w:w="632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color w:val="54565B"/>
              </w:rPr>
              <w:t>Lead Independent Director Retainer</w:t>
            </w:r>
          </w:p>
        </w:tc>
        <w:tc>
          <w:tcPr>
            <w:tcW w:w="3080" w:type="dxa"/>
            <w:vAlign w:val="bottom"/>
            <w:tcBorders>
              <w:bottom w:val="single" w:sz="8" w:color="EAF7FA"/>
            </w:tcBorders>
            <w:shd w:val="clear" w:color="auto" w:fill="EAF7FA"/>
          </w:tcPr>
          <w:p>
            <w:pPr>
              <w:jc w:val="right"/>
              <w:ind w:right="108"/>
              <w:spacing w:after="0"/>
              <w:rPr>
                <w:sz w:val="20"/>
                <w:szCs w:val="20"/>
                <w:color w:val="auto"/>
              </w:rPr>
            </w:pPr>
            <w:r>
              <w:rPr>
                <w:rFonts w:ascii="Arial" w:cs="Arial" w:eastAsia="Arial" w:hAnsi="Arial"/>
                <w:sz w:val="14"/>
                <w:szCs w:val="14"/>
                <w:color w:val="54565B"/>
              </w:rPr>
              <w:t>30,000</w:t>
            </w:r>
          </w:p>
        </w:tc>
      </w:tr>
      <w:tr>
        <w:trPr>
          <w:trHeight w:val="222"/>
        </w:trPr>
        <w:tc>
          <w:tcPr>
            <w:tcW w:w="6320" w:type="dxa"/>
            <w:vAlign w:val="bottom"/>
          </w:tcPr>
          <w:p>
            <w:pPr>
              <w:ind w:left="240"/>
              <w:spacing w:after="0"/>
              <w:rPr>
                <w:sz w:val="20"/>
                <w:szCs w:val="20"/>
                <w:color w:val="auto"/>
              </w:rPr>
            </w:pPr>
            <w:r>
              <w:rPr>
                <w:rFonts w:ascii="Arial" w:cs="Arial" w:eastAsia="Arial" w:hAnsi="Arial"/>
                <w:sz w:val="14"/>
                <w:szCs w:val="14"/>
                <w:color w:val="54565B"/>
              </w:rPr>
              <w:t>Audit Committee Chair Annual Retainer</w:t>
            </w:r>
          </w:p>
        </w:tc>
        <w:tc>
          <w:tcPr>
            <w:tcW w:w="3080" w:type="dxa"/>
            <w:vAlign w:val="bottom"/>
          </w:tcPr>
          <w:p>
            <w:pPr>
              <w:jc w:val="right"/>
              <w:ind w:right="108"/>
              <w:spacing w:after="0"/>
              <w:rPr>
                <w:sz w:val="20"/>
                <w:szCs w:val="20"/>
                <w:color w:val="auto"/>
              </w:rPr>
            </w:pPr>
            <w:r>
              <w:rPr>
                <w:rFonts w:ascii="Arial" w:cs="Arial" w:eastAsia="Arial" w:hAnsi="Arial"/>
                <w:sz w:val="14"/>
                <w:szCs w:val="14"/>
                <w:color w:val="54565B"/>
              </w:rPr>
              <w:t>20,000</w:t>
            </w:r>
          </w:p>
        </w:tc>
      </w:tr>
      <w:tr>
        <w:trPr>
          <w:trHeight w:val="35"/>
        </w:trPr>
        <w:tc>
          <w:tcPr>
            <w:tcW w:w="6320" w:type="dxa"/>
            <w:vAlign w:val="bottom"/>
          </w:tcPr>
          <w:p>
            <w:pPr>
              <w:spacing w:after="0"/>
              <w:rPr>
                <w:sz w:val="3"/>
                <w:szCs w:val="3"/>
                <w:color w:val="auto"/>
              </w:rPr>
            </w:pPr>
          </w:p>
        </w:tc>
        <w:tc>
          <w:tcPr>
            <w:tcW w:w="3080" w:type="dxa"/>
            <w:vAlign w:val="bottom"/>
          </w:tcPr>
          <w:p>
            <w:pPr>
              <w:spacing w:after="0"/>
              <w:rPr>
                <w:sz w:val="3"/>
                <w:szCs w:val="3"/>
                <w:color w:val="auto"/>
              </w:rPr>
            </w:pPr>
          </w:p>
        </w:tc>
      </w:tr>
      <w:tr>
        <w:trPr>
          <w:trHeight w:val="237"/>
        </w:trPr>
        <w:tc>
          <w:tcPr>
            <w:tcW w:w="632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color w:val="54565B"/>
              </w:rPr>
              <w:t>Compensation Committee Chair Annual Retainer</w:t>
            </w:r>
          </w:p>
        </w:tc>
        <w:tc>
          <w:tcPr>
            <w:tcW w:w="3080" w:type="dxa"/>
            <w:vAlign w:val="bottom"/>
            <w:tcBorders>
              <w:bottom w:val="single" w:sz="8" w:color="EAF7FA"/>
            </w:tcBorders>
            <w:shd w:val="clear" w:color="auto" w:fill="EAF7FA"/>
          </w:tcPr>
          <w:p>
            <w:pPr>
              <w:jc w:val="right"/>
              <w:ind w:right="108"/>
              <w:spacing w:after="0"/>
              <w:rPr>
                <w:sz w:val="20"/>
                <w:szCs w:val="20"/>
                <w:color w:val="auto"/>
              </w:rPr>
            </w:pPr>
            <w:r>
              <w:rPr>
                <w:rFonts w:ascii="Arial" w:cs="Arial" w:eastAsia="Arial" w:hAnsi="Arial"/>
                <w:sz w:val="14"/>
                <w:szCs w:val="14"/>
                <w:color w:val="54565B"/>
              </w:rPr>
              <w:t>5,000</w:t>
            </w:r>
          </w:p>
        </w:tc>
      </w:tr>
      <w:tr>
        <w:trPr>
          <w:trHeight w:val="222"/>
        </w:trPr>
        <w:tc>
          <w:tcPr>
            <w:tcW w:w="6320" w:type="dxa"/>
            <w:vAlign w:val="bottom"/>
          </w:tcPr>
          <w:p>
            <w:pPr>
              <w:ind w:left="240"/>
              <w:spacing w:after="0"/>
              <w:rPr>
                <w:sz w:val="20"/>
                <w:szCs w:val="20"/>
                <w:color w:val="auto"/>
              </w:rPr>
            </w:pPr>
            <w:r>
              <w:rPr>
                <w:rFonts w:ascii="Arial" w:cs="Arial" w:eastAsia="Arial" w:hAnsi="Arial"/>
                <w:sz w:val="14"/>
                <w:szCs w:val="14"/>
                <w:color w:val="54565B"/>
              </w:rPr>
              <w:t>Corporate Governance Committee Chair Annual Retainer</w:t>
            </w:r>
          </w:p>
        </w:tc>
        <w:tc>
          <w:tcPr>
            <w:tcW w:w="3080" w:type="dxa"/>
            <w:vAlign w:val="bottom"/>
          </w:tcPr>
          <w:p>
            <w:pPr>
              <w:jc w:val="right"/>
              <w:ind w:right="108"/>
              <w:spacing w:after="0"/>
              <w:rPr>
                <w:sz w:val="20"/>
                <w:szCs w:val="20"/>
                <w:color w:val="auto"/>
              </w:rPr>
            </w:pPr>
            <w:r>
              <w:rPr>
                <w:rFonts w:ascii="Arial" w:cs="Arial" w:eastAsia="Arial" w:hAnsi="Arial"/>
                <w:sz w:val="14"/>
                <w:szCs w:val="14"/>
                <w:color w:val="54565B"/>
              </w:rPr>
              <w:t>5,000</w:t>
            </w:r>
          </w:p>
        </w:tc>
      </w:tr>
      <w:tr>
        <w:trPr>
          <w:trHeight w:val="35"/>
        </w:trPr>
        <w:tc>
          <w:tcPr>
            <w:tcW w:w="6320" w:type="dxa"/>
            <w:vAlign w:val="bottom"/>
          </w:tcPr>
          <w:p>
            <w:pPr>
              <w:spacing w:after="0"/>
              <w:rPr>
                <w:sz w:val="3"/>
                <w:szCs w:val="3"/>
                <w:color w:val="auto"/>
              </w:rPr>
            </w:pPr>
          </w:p>
        </w:tc>
        <w:tc>
          <w:tcPr>
            <w:tcW w:w="3080" w:type="dxa"/>
            <w:vAlign w:val="bottom"/>
          </w:tcPr>
          <w:p>
            <w:pPr>
              <w:spacing w:after="0"/>
              <w:rPr>
                <w:sz w:val="3"/>
                <w:szCs w:val="3"/>
                <w:color w:val="auto"/>
              </w:rPr>
            </w:pPr>
          </w:p>
        </w:tc>
      </w:tr>
      <w:tr>
        <w:trPr>
          <w:trHeight w:val="237"/>
        </w:trPr>
        <w:tc>
          <w:tcPr>
            <w:tcW w:w="632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color w:val="54565B"/>
              </w:rPr>
              <w:t>Audit Committee Non-Chair Member Annual Retainer</w:t>
            </w:r>
          </w:p>
        </w:tc>
        <w:tc>
          <w:tcPr>
            <w:tcW w:w="3080" w:type="dxa"/>
            <w:vAlign w:val="bottom"/>
            <w:tcBorders>
              <w:bottom w:val="single" w:sz="8" w:color="EAF7FA"/>
            </w:tcBorders>
            <w:shd w:val="clear" w:color="auto" w:fill="EAF7FA"/>
          </w:tcPr>
          <w:p>
            <w:pPr>
              <w:jc w:val="right"/>
              <w:ind w:right="108"/>
              <w:spacing w:after="0"/>
              <w:rPr>
                <w:sz w:val="20"/>
                <w:szCs w:val="20"/>
                <w:color w:val="auto"/>
              </w:rPr>
            </w:pPr>
            <w:r>
              <w:rPr>
                <w:rFonts w:ascii="Arial" w:cs="Arial" w:eastAsia="Arial" w:hAnsi="Arial"/>
                <w:sz w:val="14"/>
                <w:szCs w:val="14"/>
                <w:color w:val="54565B"/>
              </w:rPr>
              <w:t>15,000</w:t>
            </w:r>
          </w:p>
        </w:tc>
      </w:tr>
      <w:tr>
        <w:trPr>
          <w:trHeight w:val="221"/>
        </w:trPr>
        <w:tc>
          <w:tcPr>
            <w:tcW w:w="6320" w:type="dxa"/>
            <w:vAlign w:val="bottom"/>
          </w:tcPr>
          <w:p>
            <w:pPr>
              <w:ind w:left="240"/>
              <w:spacing w:after="0"/>
              <w:rPr>
                <w:sz w:val="20"/>
                <w:szCs w:val="20"/>
                <w:color w:val="auto"/>
              </w:rPr>
            </w:pPr>
            <w:r>
              <w:rPr>
                <w:rFonts w:ascii="Arial" w:cs="Arial" w:eastAsia="Arial" w:hAnsi="Arial"/>
                <w:sz w:val="14"/>
                <w:szCs w:val="14"/>
                <w:color w:val="54565B"/>
              </w:rPr>
              <w:t>Attendance Fee per Day for Offsite Meetings</w:t>
            </w:r>
          </w:p>
        </w:tc>
        <w:tc>
          <w:tcPr>
            <w:tcW w:w="3080" w:type="dxa"/>
            <w:vAlign w:val="bottom"/>
          </w:tcPr>
          <w:p>
            <w:pPr>
              <w:jc w:val="right"/>
              <w:ind w:right="108"/>
              <w:spacing w:after="0"/>
              <w:rPr>
                <w:sz w:val="20"/>
                <w:szCs w:val="20"/>
                <w:color w:val="auto"/>
              </w:rPr>
            </w:pPr>
            <w:r>
              <w:rPr>
                <w:rFonts w:ascii="Arial" w:cs="Arial" w:eastAsia="Arial" w:hAnsi="Arial"/>
                <w:sz w:val="14"/>
                <w:szCs w:val="14"/>
                <w:color w:val="54565B"/>
              </w:rPr>
              <w:t>2,000</w:t>
            </w:r>
          </w:p>
        </w:tc>
      </w:tr>
      <w:tr>
        <w:trPr>
          <w:trHeight w:val="35"/>
        </w:trPr>
        <w:tc>
          <w:tcPr>
            <w:tcW w:w="6320" w:type="dxa"/>
            <w:vAlign w:val="bottom"/>
          </w:tcPr>
          <w:p>
            <w:pPr>
              <w:spacing w:after="0"/>
              <w:rPr>
                <w:sz w:val="3"/>
                <w:szCs w:val="3"/>
                <w:color w:val="auto"/>
              </w:rPr>
            </w:pPr>
          </w:p>
        </w:tc>
        <w:tc>
          <w:tcPr>
            <w:tcW w:w="3080" w:type="dxa"/>
            <w:vAlign w:val="bottom"/>
          </w:tcPr>
          <w:p>
            <w:pPr>
              <w:spacing w:after="0"/>
              <w:rPr>
                <w:sz w:val="3"/>
                <w:szCs w:val="3"/>
                <w:color w:val="auto"/>
              </w:rPr>
            </w:pPr>
          </w:p>
        </w:tc>
      </w:tr>
      <w:tr>
        <w:trPr>
          <w:trHeight w:val="237"/>
        </w:trPr>
        <w:tc>
          <w:tcPr>
            <w:tcW w:w="632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color w:val="54565B"/>
              </w:rPr>
              <w:t>Annual Restricted Stock Award</w:t>
            </w:r>
          </w:p>
        </w:tc>
        <w:tc>
          <w:tcPr>
            <w:tcW w:w="3080" w:type="dxa"/>
            <w:vAlign w:val="bottom"/>
            <w:tcBorders>
              <w:bottom w:val="single" w:sz="8" w:color="EAF7FA"/>
            </w:tcBorders>
            <w:shd w:val="clear" w:color="auto" w:fill="EAF7FA"/>
          </w:tcPr>
          <w:p>
            <w:pPr>
              <w:jc w:val="right"/>
              <w:ind w:right="88"/>
              <w:spacing w:after="0"/>
              <w:rPr>
                <w:sz w:val="20"/>
                <w:szCs w:val="20"/>
                <w:color w:val="auto"/>
              </w:rPr>
            </w:pPr>
            <w:r>
              <w:rPr>
                <w:rFonts w:ascii="Arial" w:cs="Arial" w:eastAsia="Arial" w:hAnsi="Arial"/>
                <w:sz w:val="14"/>
                <w:szCs w:val="14"/>
                <w:color w:val="54565B"/>
              </w:rPr>
              <w:t>170,000</w:t>
            </w:r>
          </w:p>
        </w:tc>
      </w:tr>
      <w:tr>
        <w:trPr>
          <w:trHeight w:val="20"/>
        </w:trPr>
        <w:tc>
          <w:tcPr>
            <w:tcW w:w="6320" w:type="dxa"/>
            <w:vAlign w:val="bottom"/>
            <w:shd w:val="clear" w:color="auto" w:fill="0B3C61"/>
          </w:tcPr>
          <w:p>
            <w:pPr>
              <w:spacing w:after="0" w:line="20" w:lineRule="exact"/>
              <w:rPr>
                <w:sz w:val="1"/>
                <w:szCs w:val="1"/>
                <w:color w:val="auto"/>
              </w:rPr>
            </w:pPr>
          </w:p>
        </w:tc>
        <w:tc>
          <w:tcPr>
            <w:tcW w:w="3080" w:type="dxa"/>
            <w:vAlign w:val="bottom"/>
            <w:shd w:val="clear" w:color="auto" w:fill="0B3C61"/>
          </w:tcPr>
          <w:p>
            <w:pPr>
              <w:spacing w:after="0" w:line="20" w:lineRule="exact"/>
              <w:rPr>
                <w:sz w:val="1"/>
                <w:szCs w:val="1"/>
                <w:color w:val="auto"/>
              </w:rPr>
            </w:pPr>
          </w:p>
        </w:tc>
      </w:tr>
    </w:tbl>
    <w:p>
      <w:pPr>
        <w:spacing w:after="0" w:line="144" w:lineRule="exact"/>
        <w:rPr>
          <w:sz w:val="20"/>
          <w:szCs w:val="20"/>
          <w:color w:val="auto"/>
        </w:rPr>
      </w:pPr>
    </w:p>
    <w:p>
      <w:pPr>
        <w:ind w:left="440" w:right="140" w:hanging="272"/>
        <w:spacing w:after="0" w:line="243" w:lineRule="auto"/>
        <w:tabs>
          <w:tab w:leader="none" w:pos="440" w:val="left"/>
        </w:tabs>
        <w:numPr>
          <w:ilvl w:val="0"/>
          <w:numId w:val="28"/>
        </w:numPr>
        <w:rPr>
          <w:rFonts w:ascii="Arial" w:cs="Arial" w:eastAsia="Arial" w:hAnsi="Arial"/>
          <w:sz w:val="13"/>
          <w:szCs w:val="13"/>
          <w:color w:val="54565B"/>
        </w:rPr>
      </w:pPr>
      <w:r>
        <w:rPr>
          <w:rFonts w:ascii="Arial" w:cs="Arial" w:eastAsia="Arial" w:hAnsi="Arial"/>
          <w:sz w:val="13"/>
          <w:szCs w:val="13"/>
          <w:color w:val="54565B"/>
        </w:rPr>
        <w:t>The Company reimburses non-employee directors for travel and lodging expenses incurred in connection with meeting attendance. The Audit Committee chair does not receive a member retainer in addition to the chair retainer.</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54565B"/>
        </w:rPr>
        <w:t>The table below shows the fees actually paid to each non-employee director in 2025.</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2025 Director Compensation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620" w:type="dxa"/>
            <w:vAlign w:val="bottom"/>
            <w:shd w:val="clear" w:color="auto" w:fill="0B3C61"/>
          </w:tcPr>
          <w:p>
            <w:pPr>
              <w:spacing w:after="0"/>
              <w:rPr>
                <w:sz w:val="22"/>
                <w:szCs w:val="22"/>
                <w:color w:val="auto"/>
              </w:rPr>
            </w:pPr>
          </w:p>
        </w:tc>
        <w:tc>
          <w:tcPr>
            <w:tcW w:w="3140" w:type="dxa"/>
            <w:vAlign w:val="bottom"/>
            <w:shd w:val="clear" w:color="auto" w:fill="0B3C61"/>
          </w:tcPr>
          <w:p>
            <w:pPr>
              <w:jc w:val="center"/>
              <w:ind w:left="1608"/>
              <w:spacing w:after="0"/>
              <w:rPr>
                <w:sz w:val="20"/>
                <w:szCs w:val="20"/>
                <w:color w:val="auto"/>
              </w:rPr>
            </w:pPr>
            <w:r>
              <w:rPr>
                <w:rFonts w:ascii="Arial" w:cs="Arial" w:eastAsia="Arial" w:hAnsi="Arial"/>
                <w:sz w:val="14"/>
                <w:szCs w:val="14"/>
                <w:color w:val="FFFFFF"/>
              </w:rPr>
              <w:t>Fees Earned</w:t>
            </w:r>
          </w:p>
        </w:tc>
        <w:tc>
          <w:tcPr>
            <w:tcW w:w="1240" w:type="dxa"/>
            <w:vAlign w:val="bottom"/>
            <w:vMerge w:val="restart"/>
            <w:shd w:val="clear" w:color="auto" w:fill="0B3C61"/>
          </w:tcPr>
          <w:p>
            <w:pPr>
              <w:jc w:val="center"/>
              <w:ind w:right="28"/>
              <w:spacing w:after="0"/>
              <w:rPr>
                <w:sz w:val="20"/>
                <w:szCs w:val="20"/>
                <w:color w:val="auto"/>
              </w:rPr>
            </w:pPr>
            <w:r>
              <w:rPr>
                <w:rFonts w:ascii="Arial" w:cs="Arial" w:eastAsia="Arial" w:hAnsi="Arial"/>
                <w:sz w:val="14"/>
                <w:szCs w:val="14"/>
                <w:color w:val="FFFFFF"/>
                <w:w w:val="96"/>
              </w:rPr>
              <w:t>Stock</w:t>
            </w:r>
          </w:p>
        </w:tc>
        <w:tc>
          <w:tcPr>
            <w:tcW w:w="1400" w:type="dxa"/>
            <w:vAlign w:val="bottom"/>
            <w:shd w:val="clear" w:color="auto" w:fill="0B3C61"/>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3620" w:type="dxa"/>
            <w:vAlign w:val="bottom"/>
            <w:shd w:val="clear" w:color="auto" w:fill="0B3C61"/>
          </w:tcPr>
          <w:p>
            <w:pPr>
              <w:spacing w:after="0"/>
              <w:rPr>
                <w:sz w:val="12"/>
                <w:szCs w:val="12"/>
                <w:color w:val="auto"/>
              </w:rPr>
            </w:pPr>
          </w:p>
        </w:tc>
        <w:tc>
          <w:tcPr>
            <w:tcW w:w="3140" w:type="dxa"/>
            <w:vAlign w:val="bottom"/>
            <w:shd w:val="clear" w:color="auto" w:fill="0B3C61"/>
          </w:tcPr>
          <w:p>
            <w:pPr>
              <w:jc w:val="center"/>
              <w:ind w:left="1628"/>
              <w:spacing w:after="0" w:line="145" w:lineRule="exact"/>
              <w:rPr>
                <w:sz w:val="20"/>
                <w:szCs w:val="20"/>
                <w:color w:val="auto"/>
              </w:rPr>
            </w:pPr>
            <w:r>
              <w:rPr>
                <w:rFonts w:ascii="Arial" w:cs="Arial" w:eastAsia="Arial" w:hAnsi="Arial"/>
                <w:sz w:val="14"/>
                <w:szCs w:val="14"/>
                <w:color w:val="FFFFFF"/>
              </w:rPr>
              <w:t>or Paid in</w:t>
            </w:r>
          </w:p>
        </w:tc>
        <w:tc>
          <w:tcPr>
            <w:tcW w:w="1240" w:type="dxa"/>
            <w:vAlign w:val="bottom"/>
            <w:vMerge w:val="continue"/>
            <w:shd w:val="clear" w:color="auto" w:fill="0B3C61"/>
          </w:tcPr>
          <w:p>
            <w:pPr>
              <w:spacing w:after="0"/>
              <w:rPr>
                <w:sz w:val="12"/>
                <w:szCs w:val="12"/>
                <w:color w:val="auto"/>
              </w:rPr>
            </w:pPr>
          </w:p>
        </w:tc>
        <w:tc>
          <w:tcPr>
            <w:tcW w:w="1400" w:type="dxa"/>
            <w:vAlign w:val="bottom"/>
            <w:shd w:val="clear" w:color="auto" w:fill="0B3C61"/>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20" w:type="dxa"/>
            <w:vAlign w:val="bottom"/>
            <w:shd w:val="clear" w:color="auto" w:fill="0B3C61"/>
          </w:tcPr>
          <w:p>
            <w:pPr>
              <w:spacing w:after="0"/>
              <w:rPr>
                <w:sz w:val="14"/>
                <w:szCs w:val="14"/>
                <w:color w:val="auto"/>
              </w:rPr>
            </w:pPr>
          </w:p>
        </w:tc>
        <w:tc>
          <w:tcPr>
            <w:tcW w:w="3140" w:type="dxa"/>
            <w:vAlign w:val="bottom"/>
            <w:shd w:val="clear" w:color="auto" w:fill="0B3C61"/>
          </w:tcPr>
          <w:p>
            <w:pPr>
              <w:jc w:val="center"/>
              <w:ind w:left="1608"/>
              <w:spacing w:after="0"/>
              <w:rPr>
                <w:sz w:val="20"/>
                <w:szCs w:val="20"/>
                <w:color w:val="auto"/>
              </w:rPr>
            </w:pPr>
            <w:r>
              <w:rPr>
                <w:rFonts w:ascii="Arial" w:cs="Arial" w:eastAsia="Arial" w:hAnsi="Arial"/>
                <w:sz w:val="14"/>
                <w:szCs w:val="14"/>
                <w:color w:val="FFFFFF"/>
              </w:rPr>
              <w:t>Cash</w:t>
            </w:r>
          </w:p>
        </w:tc>
        <w:tc>
          <w:tcPr>
            <w:tcW w:w="1240" w:type="dxa"/>
            <w:vAlign w:val="bottom"/>
            <w:shd w:val="clear" w:color="auto" w:fill="0B3C61"/>
          </w:tcPr>
          <w:p>
            <w:pPr>
              <w:jc w:val="center"/>
              <w:ind w:right="28"/>
              <w:spacing w:after="0"/>
              <w:rPr>
                <w:sz w:val="20"/>
                <w:szCs w:val="20"/>
                <w:color w:val="auto"/>
              </w:rPr>
            </w:pPr>
            <w:r>
              <w:rPr>
                <w:rFonts w:ascii="Arial" w:cs="Arial" w:eastAsia="Arial" w:hAnsi="Arial"/>
                <w:sz w:val="14"/>
                <w:szCs w:val="14"/>
                <w:color w:val="FFFFFF"/>
              </w:rPr>
              <w:t>Award</w:t>
            </w:r>
          </w:p>
        </w:tc>
        <w:tc>
          <w:tcPr>
            <w:tcW w:w="1400" w:type="dxa"/>
            <w:vAlign w:val="bottom"/>
            <w:shd w:val="clear" w:color="auto" w:fill="0B3C61"/>
          </w:tcPr>
          <w:p>
            <w:pPr>
              <w:ind w:left="480"/>
              <w:spacing w:after="0"/>
              <w:rPr>
                <w:sz w:val="20"/>
                <w:szCs w:val="20"/>
                <w:color w:val="auto"/>
              </w:rPr>
            </w:pPr>
            <w:r>
              <w:rPr>
                <w:rFonts w:ascii="Arial" w:cs="Arial" w:eastAsia="Arial" w:hAnsi="Arial"/>
                <w:sz w:val="14"/>
                <w:szCs w:val="14"/>
                <w:color w:val="FFFFFF"/>
              </w:rPr>
              <w:t>Total</w:t>
            </w:r>
          </w:p>
        </w:tc>
        <w:tc>
          <w:tcPr>
            <w:tcW w:w="0" w:type="dxa"/>
            <w:vAlign w:val="bottom"/>
          </w:tcPr>
          <w:p>
            <w:pPr>
              <w:spacing w:after="0"/>
              <w:rPr>
                <w:sz w:val="1"/>
                <w:szCs w:val="1"/>
                <w:color w:val="auto"/>
              </w:rPr>
            </w:pPr>
          </w:p>
        </w:tc>
      </w:tr>
      <w:tr>
        <w:trPr>
          <w:trHeight w:val="270"/>
        </w:trPr>
        <w:tc>
          <w:tcPr>
            <w:tcW w:w="3620" w:type="dxa"/>
            <w:vAlign w:val="bottom"/>
            <w:shd w:val="clear" w:color="auto" w:fill="0B3C61"/>
          </w:tcPr>
          <w:p>
            <w:pPr>
              <w:ind w:left="240"/>
              <w:spacing w:after="0"/>
              <w:rPr>
                <w:sz w:val="20"/>
                <w:szCs w:val="20"/>
                <w:color w:val="auto"/>
              </w:rPr>
            </w:pPr>
            <w:r>
              <w:rPr>
                <w:rFonts w:ascii="Arial" w:cs="Arial" w:eastAsia="Arial" w:hAnsi="Arial"/>
                <w:sz w:val="14"/>
                <w:szCs w:val="14"/>
                <w:color w:val="FFFFFF"/>
              </w:rPr>
              <w:t>Name</w:t>
            </w:r>
          </w:p>
        </w:tc>
        <w:tc>
          <w:tcPr>
            <w:tcW w:w="3140" w:type="dxa"/>
            <w:vAlign w:val="bottom"/>
            <w:shd w:val="clear" w:color="auto" w:fill="0B3C61"/>
          </w:tcPr>
          <w:p>
            <w:pPr>
              <w:jc w:val="center"/>
              <w:ind w:left="1648"/>
              <w:spacing w:after="0"/>
              <w:rPr>
                <w:sz w:val="20"/>
                <w:szCs w:val="20"/>
                <w:color w:val="auto"/>
              </w:rPr>
            </w:pPr>
            <w:r>
              <w:rPr>
                <w:rFonts w:ascii="Arial" w:cs="Arial" w:eastAsia="Arial" w:hAnsi="Arial"/>
                <w:sz w:val="14"/>
                <w:szCs w:val="14"/>
                <w:color w:val="FFFFFF"/>
              </w:rPr>
              <w:t>($)</w:t>
            </w:r>
          </w:p>
        </w:tc>
        <w:tc>
          <w:tcPr>
            <w:tcW w:w="1240" w:type="dxa"/>
            <w:vAlign w:val="bottom"/>
            <w:shd w:val="clear" w:color="auto" w:fill="0B3C61"/>
          </w:tcPr>
          <w:p>
            <w:pPr>
              <w:jc w:val="center"/>
              <w:spacing w:after="0"/>
              <w:rPr>
                <w:sz w:val="20"/>
                <w:szCs w:val="20"/>
                <w:color w:val="auto"/>
              </w:rPr>
            </w:pPr>
            <w:r>
              <w:rPr>
                <w:rFonts w:ascii="Arial" w:cs="Arial" w:eastAsia="Arial" w:hAnsi="Arial"/>
                <w:sz w:val="14"/>
                <w:szCs w:val="14"/>
                <w:color w:val="FFFFFF"/>
                <w:w w:val="94"/>
              </w:rPr>
              <w:t>($)</w:t>
            </w:r>
            <w:r>
              <w:rPr>
                <w:rFonts w:ascii="Arial" w:cs="Arial" w:eastAsia="Arial" w:hAnsi="Arial"/>
                <w:sz w:val="23"/>
                <w:szCs w:val="23"/>
                <w:color w:val="FFFFFF"/>
                <w:w w:val="94"/>
                <w:vertAlign w:val="superscript"/>
              </w:rPr>
              <w:t>(1)</w:t>
            </w:r>
          </w:p>
        </w:tc>
        <w:tc>
          <w:tcPr>
            <w:tcW w:w="1400" w:type="dxa"/>
            <w:vAlign w:val="bottom"/>
            <w:shd w:val="clear" w:color="auto" w:fill="0B3C61"/>
          </w:tcPr>
          <w:p>
            <w:pPr>
              <w:jc w:val="center"/>
              <w:ind w:right="28"/>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68"/>
        </w:trPr>
        <w:tc>
          <w:tcPr>
            <w:tcW w:w="3620" w:type="dxa"/>
            <w:vAlign w:val="bottom"/>
          </w:tcPr>
          <w:p>
            <w:pPr>
              <w:ind w:left="240"/>
              <w:spacing w:after="0"/>
              <w:rPr>
                <w:sz w:val="20"/>
                <w:szCs w:val="20"/>
                <w:color w:val="auto"/>
              </w:rPr>
            </w:pPr>
            <w:r>
              <w:rPr>
                <w:rFonts w:ascii="Arial" w:cs="Arial" w:eastAsia="Arial" w:hAnsi="Arial"/>
                <w:sz w:val="14"/>
                <w:szCs w:val="14"/>
                <w:b w:val="1"/>
                <w:bCs w:val="1"/>
                <w:color w:val="54565B"/>
              </w:rPr>
              <w:t>Gregory G. Joseph</w:t>
            </w:r>
          </w:p>
        </w:tc>
        <w:tc>
          <w:tcPr>
            <w:tcW w:w="3140" w:type="dxa"/>
            <w:vAlign w:val="bottom"/>
          </w:tcPr>
          <w:p>
            <w:pPr>
              <w:jc w:val="center"/>
              <w:ind w:left="1668"/>
              <w:spacing w:after="0"/>
              <w:rPr>
                <w:sz w:val="20"/>
                <w:szCs w:val="20"/>
                <w:color w:val="auto"/>
              </w:rPr>
            </w:pPr>
            <w:r>
              <w:rPr>
                <w:rFonts w:ascii="Arial" w:cs="Arial" w:eastAsia="Arial" w:hAnsi="Arial"/>
                <w:sz w:val="14"/>
                <w:szCs w:val="14"/>
                <w:color w:val="54565B"/>
              </w:rPr>
              <w:t>198,500</w:t>
            </w:r>
          </w:p>
        </w:tc>
        <w:tc>
          <w:tcPr>
            <w:tcW w:w="1240" w:type="dxa"/>
            <w:vAlign w:val="bottom"/>
          </w:tcPr>
          <w:p>
            <w:pPr>
              <w:jc w:val="center"/>
              <w:ind w:right="8"/>
              <w:spacing w:after="0"/>
              <w:rPr>
                <w:sz w:val="20"/>
                <w:szCs w:val="20"/>
                <w:color w:val="auto"/>
              </w:rPr>
            </w:pPr>
            <w:r>
              <w:rPr>
                <w:rFonts w:ascii="Arial" w:cs="Arial" w:eastAsia="Arial" w:hAnsi="Arial"/>
                <w:sz w:val="14"/>
                <w:szCs w:val="14"/>
                <w:color w:val="54565B"/>
              </w:rPr>
              <w:t>170,000</w:t>
            </w:r>
          </w:p>
        </w:tc>
        <w:tc>
          <w:tcPr>
            <w:tcW w:w="1400" w:type="dxa"/>
            <w:vAlign w:val="bottom"/>
          </w:tcPr>
          <w:p>
            <w:pPr>
              <w:jc w:val="center"/>
              <w:ind w:right="48"/>
              <w:spacing w:after="0"/>
              <w:rPr>
                <w:sz w:val="20"/>
                <w:szCs w:val="20"/>
                <w:color w:val="auto"/>
              </w:rPr>
            </w:pPr>
            <w:r>
              <w:rPr>
                <w:rFonts w:ascii="Arial" w:cs="Arial" w:eastAsia="Arial" w:hAnsi="Arial"/>
                <w:sz w:val="14"/>
                <w:szCs w:val="14"/>
                <w:color w:val="54565B"/>
              </w:rPr>
              <w:t>368,500</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b w:val="1"/>
                <w:bCs w:val="1"/>
                <w:color w:val="54565B"/>
              </w:rPr>
              <w:t>Mary Beth Martin</w:t>
            </w:r>
          </w:p>
        </w:tc>
        <w:tc>
          <w:tcPr>
            <w:tcW w:w="3140" w:type="dxa"/>
            <w:vAlign w:val="bottom"/>
            <w:tcBorders>
              <w:bottom w:val="single" w:sz="8" w:color="EAF7FA"/>
            </w:tcBorders>
            <w:shd w:val="clear" w:color="auto" w:fill="EAF7FA"/>
          </w:tcPr>
          <w:p>
            <w:pPr>
              <w:jc w:val="center"/>
              <w:ind w:left="1668"/>
              <w:spacing w:after="0"/>
              <w:rPr>
                <w:sz w:val="20"/>
                <w:szCs w:val="20"/>
                <w:color w:val="auto"/>
              </w:rPr>
            </w:pPr>
            <w:r>
              <w:rPr>
                <w:rFonts w:ascii="Arial" w:cs="Arial" w:eastAsia="Arial" w:hAnsi="Arial"/>
                <w:sz w:val="14"/>
                <w:szCs w:val="14"/>
                <w:color w:val="54565B"/>
              </w:rPr>
              <w:t>158,000</w:t>
            </w:r>
          </w:p>
        </w:tc>
        <w:tc>
          <w:tcPr>
            <w:tcW w:w="1240" w:type="dxa"/>
            <w:vAlign w:val="bottom"/>
            <w:tcBorders>
              <w:bottom w:val="single" w:sz="8" w:color="EAF7FA"/>
            </w:tcBorders>
            <w:shd w:val="clear" w:color="auto" w:fill="EAF7FA"/>
          </w:tcPr>
          <w:p>
            <w:pPr>
              <w:jc w:val="center"/>
              <w:ind w:right="8"/>
              <w:spacing w:after="0"/>
              <w:rPr>
                <w:sz w:val="20"/>
                <w:szCs w:val="20"/>
                <w:color w:val="auto"/>
              </w:rPr>
            </w:pPr>
            <w:r>
              <w:rPr>
                <w:rFonts w:ascii="Arial" w:cs="Arial" w:eastAsia="Arial" w:hAnsi="Arial"/>
                <w:sz w:val="14"/>
                <w:szCs w:val="14"/>
                <w:color w:val="54565B"/>
              </w:rPr>
              <w:t>170,000</w:t>
            </w:r>
          </w:p>
        </w:tc>
        <w:tc>
          <w:tcPr>
            <w:tcW w:w="1400" w:type="dxa"/>
            <w:vAlign w:val="bottom"/>
            <w:tcBorders>
              <w:bottom w:val="single" w:sz="8" w:color="EAF7FA"/>
            </w:tcBorders>
            <w:shd w:val="clear" w:color="auto" w:fill="EAF7FA"/>
          </w:tcPr>
          <w:p>
            <w:pPr>
              <w:jc w:val="center"/>
              <w:ind w:right="48"/>
              <w:spacing w:after="0"/>
              <w:rPr>
                <w:sz w:val="20"/>
                <w:szCs w:val="20"/>
                <w:color w:val="auto"/>
              </w:rPr>
            </w:pPr>
            <w:r>
              <w:rPr>
                <w:rFonts w:ascii="Arial" w:cs="Arial" w:eastAsia="Arial" w:hAnsi="Arial"/>
                <w:sz w:val="14"/>
                <w:szCs w:val="14"/>
                <w:color w:val="54565B"/>
              </w:rPr>
              <w:t>328,000</w:t>
            </w:r>
          </w:p>
        </w:tc>
        <w:tc>
          <w:tcPr>
            <w:tcW w:w="0" w:type="dxa"/>
            <w:vAlign w:val="bottom"/>
          </w:tcPr>
          <w:p>
            <w:pPr>
              <w:spacing w:after="0"/>
              <w:rPr>
                <w:sz w:val="1"/>
                <w:szCs w:val="1"/>
                <w:color w:val="auto"/>
              </w:rPr>
            </w:pPr>
          </w:p>
        </w:tc>
      </w:tr>
      <w:tr>
        <w:trPr>
          <w:trHeight w:val="228"/>
        </w:trPr>
        <w:tc>
          <w:tcPr>
            <w:tcW w:w="3620" w:type="dxa"/>
            <w:vAlign w:val="bottom"/>
          </w:tcPr>
          <w:p>
            <w:pPr>
              <w:ind w:left="240"/>
              <w:spacing w:after="0"/>
              <w:rPr>
                <w:sz w:val="20"/>
                <w:szCs w:val="20"/>
                <w:color w:val="auto"/>
              </w:rPr>
            </w:pPr>
            <w:r>
              <w:rPr>
                <w:rFonts w:ascii="Arial" w:cs="Arial" w:eastAsia="Arial" w:hAnsi="Arial"/>
                <w:sz w:val="14"/>
                <w:szCs w:val="14"/>
                <w:b w:val="1"/>
                <w:bCs w:val="1"/>
                <w:color w:val="54565B"/>
              </w:rPr>
              <w:t>Amy Y. Murray</w:t>
            </w:r>
          </w:p>
        </w:tc>
        <w:tc>
          <w:tcPr>
            <w:tcW w:w="3140" w:type="dxa"/>
            <w:vAlign w:val="bottom"/>
          </w:tcPr>
          <w:p>
            <w:pPr>
              <w:jc w:val="center"/>
              <w:ind w:left="1668"/>
              <w:spacing w:after="0"/>
              <w:rPr>
                <w:sz w:val="20"/>
                <w:szCs w:val="20"/>
                <w:color w:val="auto"/>
              </w:rPr>
            </w:pPr>
            <w:r>
              <w:rPr>
                <w:rFonts w:ascii="Arial" w:cs="Arial" w:eastAsia="Arial" w:hAnsi="Arial"/>
                <w:sz w:val="14"/>
                <w:szCs w:val="14"/>
                <w:color w:val="54565B"/>
              </w:rPr>
              <w:t>165,500</w:t>
            </w:r>
          </w:p>
        </w:tc>
        <w:tc>
          <w:tcPr>
            <w:tcW w:w="1240" w:type="dxa"/>
            <w:vAlign w:val="bottom"/>
          </w:tcPr>
          <w:p>
            <w:pPr>
              <w:jc w:val="center"/>
              <w:ind w:right="8"/>
              <w:spacing w:after="0"/>
              <w:rPr>
                <w:sz w:val="20"/>
                <w:szCs w:val="20"/>
                <w:color w:val="auto"/>
              </w:rPr>
            </w:pPr>
            <w:r>
              <w:rPr>
                <w:rFonts w:ascii="Arial" w:cs="Arial" w:eastAsia="Arial" w:hAnsi="Arial"/>
                <w:sz w:val="14"/>
                <w:szCs w:val="14"/>
                <w:color w:val="54565B"/>
              </w:rPr>
              <w:t>170,000</w:t>
            </w:r>
          </w:p>
        </w:tc>
        <w:tc>
          <w:tcPr>
            <w:tcW w:w="1400" w:type="dxa"/>
            <w:vAlign w:val="bottom"/>
          </w:tcPr>
          <w:p>
            <w:pPr>
              <w:jc w:val="center"/>
              <w:ind w:right="48"/>
              <w:spacing w:after="0"/>
              <w:rPr>
                <w:sz w:val="20"/>
                <w:szCs w:val="20"/>
                <w:color w:val="auto"/>
              </w:rPr>
            </w:pPr>
            <w:r>
              <w:rPr>
                <w:rFonts w:ascii="Arial" w:cs="Arial" w:eastAsia="Arial" w:hAnsi="Arial"/>
                <w:sz w:val="14"/>
                <w:szCs w:val="14"/>
                <w:color w:val="54565B"/>
              </w:rPr>
              <w:t>335,500</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b w:val="1"/>
                <w:bCs w:val="1"/>
                <w:color w:val="54565B"/>
              </w:rPr>
              <w:t>Roger K. Newport</w:t>
            </w:r>
          </w:p>
        </w:tc>
        <w:tc>
          <w:tcPr>
            <w:tcW w:w="3140" w:type="dxa"/>
            <w:vAlign w:val="bottom"/>
            <w:tcBorders>
              <w:bottom w:val="single" w:sz="8" w:color="EAF7FA"/>
            </w:tcBorders>
            <w:shd w:val="clear" w:color="auto" w:fill="EAF7FA"/>
          </w:tcPr>
          <w:p>
            <w:pPr>
              <w:jc w:val="center"/>
              <w:ind w:left="1668"/>
              <w:spacing w:after="0"/>
              <w:rPr>
                <w:sz w:val="20"/>
                <w:szCs w:val="20"/>
                <w:color w:val="auto"/>
              </w:rPr>
            </w:pPr>
            <w:r>
              <w:rPr>
                <w:rFonts w:ascii="Arial" w:cs="Arial" w:eastAsia="Arial" w:hAnsi="Arial"/>
                <w:sz w:val="14"/>
                <w:szCs w:val="14"/>
                <w:color w:val="54565B"/>
              </w:rPr>
              <w:t>165,500</w:t>
            </w:r>
          </w:p>
        </w:tc>
        <w:tc>
          <w:tcPr>
            <w:tcW w:w="1240" w:type="dxa"/>
            <w:vAlign w:val="bottom"/>
            <w:tcBorders>
              <w:bottom w:val="single" w:sz="8" w:color="EAF7FA"/>
            </w:tcBorders>
            <w:shd w:val="clear" w:color="auto" w:fill="EAF7FA"/>
          </w:tcPr>
          <w:p>
            <w:pPr>
              <w:jc w:val="center"/>
              <w:ind w:right="8"/>
              <w:spacing w:after="0"/>
              <w:rPr>
                <w:sz w:val="20"/>
                <w:szCs w:val="20"/>
                <w:color w:val="auto"/>
              </w:rPr>
            </w:pPr>
            <w:r>
              <w:rPr>
                <w:rFonts w:ascii="Arial" w:cs="Arial" w:eastAsia="Arial" w:hAnsi="Arial"/>
                <w:sz w:val="14"/>
                <w:szCs w:val="14"/>
                <w:color w:val="54565B"/>
              </w:rPr>
              <w:t>170,000</w:t>
            </w:r>
          </w:p>
        </w:tc>
        <w:tc>
          <w:tcPr>
            <w:tcW w:w="1400" w:type="dxa"/>
            <w:vAlign w:val="bottom"/>
            <w:tcBorders>
              <w:bottom w:val="single" w:sz="8" w:color="EAF7FA"/>
            </w:tcBorders>
            <w:shd w:val="clear" w:color="auto" w:fill="EAF7FA"/>
          </w:tcPr>
          <w:p>
            <w:pPr>
              <w:jc w:val="center"/>
              <w:ind w:right="48"/>
              <w:spacing w:after="0"/>
              <w:rPr>
                <w:sz w:val="20"/>
                <w:szCs w:val="20"/>
                <w:color w:val="auto"/>
              </w:rPr>
            </w:pPr>
            <w:r>
              <w:rPr>
                <w:rFonts w:ascii="Arial" w:cs="Arial" w:eastAsia="Arial" w:hAnsi="Arial"/>
                <w:sz w:val="14"/>
                <w:szCs w:val="14"/>
                <w:color w:val="54565B"/>
              </w:rPr>
              <w:t>335,500</w:t>
            </w:r>
          </w:p>
        </w:tc>
        <w:tc>
          <w:tcPr>
            <w:tcW w:w="0" w:type="dxa"/>
            <w:vAlign w:val="bottom"/>
          </w:tcPr>
          <w:p>
            <w:pPr>
              <w:spacing w:after="0"/>
              <w:rPr>
                <w:sz w:val="1"/>
                <w:szCs w:val="1"/>
                <w:color w:val="auto"/>
              </w:rPr>
            </w:pPr>
          </w:p>
        </w:tc>
      </w:tr>
      <w:tr>
        <w:trPr>
          <w:trHeight w:val="228"/>
        </w:trPr>
        <w:tc>
          <w:tcPr>
            <w:tcW w:w="3620" w:type="dxa"/>
            <w:vAlign w:val="bottom"/>
          </w:tcPr>
          <w:p>
            <w:pPr>
              <w:ind w:left="240"/>
              <w:spacing w:after="0"/>
              <w:rPr>
                <w:sz w:val="20"/>
                <w:szCs w:val="20"/>
                <w:color w:val="auto"/>
              </w:rPr>
            </w:pPr>
            <w:r>
              <w:rPr>
                <w:rFonts w:ascii="Arial" w:cs="Arial" w:eastAsia="Arial" w:hAnsi="Arial"/>
                <w:sz w:val="14"/>
                <w:szCs w:val="14"/>
                <w:b w:val="1"/>
                <w:bCs w:val="1"/>
                <w:color w:val="54565B"/>
              </w:rPr>
              <w:t>Evans N. Nwankwo</w:t>
            </w:r>
          </w:p>
        </w:tc>
        <w:tc>
          <w:tcPr>
            <w:tcW w:w="3140" w:type="dxa"/>
            <w:vAlign w:val="bottom"/>
          </w:tcPr>
          <w:p>
            <w:pPr>
              <w:jc w:val="center"/>
              <w:ind w:left="1668"/>
              <w:spacing w:after="0"/>
              <w:rPr>
                <w:sz w:val="20"/>
                <w:szCs w:val="20"/>
                <w:color w:val="auto"/>
              </w:rPr>
            </w:pPr>
            <w:r>
              <w:rPr>
                <w:rFonts w:ascii="Arial" w:cs="Arial" w:eastAsia="Arial" w:hAnsi="Arial"/>
                <w:sz w:val="14"/>
                <w:szCs w:val="14"/>
                <w:color w:val="54565B"/>
              </w:rPr>
              <w:t>153,000</w:t>
            </w:r>
          </w:p>
        </w:tc>
        <w:tc>
          <w:tcPr>
            <w:tcW w:w="1240" w:type="dxa"/>
            <w:vAlign w:val="bottom"/>
          </w:tcPr>
          <w:p>
            <w:pPr>
              <w:jc w:val="center"/>
              <w:ind w:right="8"/>
              <w:spacing w:after="0"/>
              <w:rPr>
                <w:sz w:val="20"/>
                <w:szCs w:val="20"/>
                <w:color w:val="auto"/>
              </w:rPr>
            </w:pPr>
            <w:r>
              <w:rPr>
                <w:rFonts w:ascii="Arial" w:cs="Arial" w:eastAsia="Arial" w:hAnsi="Arial"/>
                <w:sz w:val="14"/>
                <w:szCs w:val="14"/>
                <w:color w:val="54565B"/>
              </w:rPr>
              <w:t>170,000</w:t>
            </w:r>
          </w:p>
        </w:tc>
        <w:tc>
          <w:tcPr>
            <w:tcW w:w="1400" w:type="dxa"/>
            <w:vAlign w:val="bottom"/>
          </w:tcPr>
          <w:p>
            <w:pPr>
              <w:jc w:val="center"/>
              <w:ind w:right="48"/>
              <w:spacing w:after="0"/>
              <w:rPr>
                <w:sz w:val="20"/>
                <w:szCs w:val="20"/>
                <w:color w:val="auto"/>
              </w:rPr>
            </w:pPr>
            <w:r>
              <w:rPr>
                <w:rFonts w:ascii="Arial" w:cs="Arial" w:eastAsia="Arial" w:hAnsi="Arial"/>
                <w:sz w:val="14"/>
                <w:szCs w:val="14"/>
                <w:color w:val="54565B"/>
              </w:rPr>
              <w:t>323,000</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tcBorders>
              <w:bottom w:val="single" w:sz="8" w:color="EAF7FA"/>
            </w:tcBorders>
            <w:shd w:val="clear" w:color="auto" w:fill="EAF7FA"/>
          </w:tcPr>
          <w:p>
            <w:pPr>
              <w:ind w:left="240"/>
              <w:spacing w:after="0"/>
              <w:rPr>
                <w:sz w:val="20"/>
                <w:szCs w:val="20"/>
                <w:color w:val="auto"/>
              </w:rPr>
            </w:pPr>
            <w:r>
              <w:rPr>
                <w:rFonts w:ascii="Arial" w:cs="Arial" w:eastAsia="Arial" w:hAnsi="Arial"/>
                <w:sz w:val="14"/>
                <w:szCs w:val="14"/>
                <w:b w:val="1"/>
                <w:bCs w:val="1"/>
                <w:color w:val="54565B"/>
              </w:rPr>
              <w:t>William W. Verity</w:t>
            </w:r>
          </w:p>
        </w:tc>
        <w:tc>
          <w:tcPr>
            <w:tcW w:w="3140" w:type="dxa"/>
            <w:vAlign w:val="bottom"/>
            <w:tcBorders>
              <w:bottom w:val="single" w:sz="8" w:color="EAF7FA"/>
            </w:tcBorders>
            <w:shd w:val="clear" w:color="auto" w:fill="EAF7FA"/>
          </w:tcPr>
          <w:p>
            <w:pPr>
              <w:jc w:val="center"/>
              <w:ind w:left="1668"/>
              <w:spacing w:after="0"/>
              <w:rPr>
                <w:sz w:val="20"/>
                <w:szCs w:val="20"/>
                <w:color w:val="auto"/>
              </w:rPr>
            </w:pPr>
            <w:r>
              <w:rPr>
                <w:rFonts w:ascii="Arial" w:cs="Arial" w:eastAsia="Arial" w:hAnsi="Arial"/>
                <w:sz w:val="14"/>
                <w:szCs w:val="14"/>
                <w:color w:val="54565B"/>
              </w:rPr>
              <w:t>158,000</w:t>
            </w:r>
          </w:p>
        </w:tc>
        <w:tc>
          <w:tcPr>
            <w:tcW w:w="1240" w:type="dxa"/>
            <w:vAlign w:val="bottom"/>
            <w:tcBorders>
              <w:bottom w:val="single" w:sz="8" w:color="EAF7FA"/>
            </w:tcBorders>
            <w:shd w:val="clear" w:color="auto" w:fill="EAF7FA"/>
          </w:tcPr>
          <w:p>
            <w:pPr>
              <w:jc w:val="center"/>
              <w:ind w:right="8"/>
              <w:spacing w:after="0"/>
              <w:rPr>
                <w:sz w:val="20"/>
                <w:szCs w:val="20"/>
                <w:color w:val="auto"/>
              </w:rPr>
            </w:pPr>
            <w:r>
              <w:rPr>
                <w:rFonts w:ascii="Arial" w:cs="Arial" w:eastAsia="Arial" w:hAnsi="Arial"/>
                <w:sz w:val="14"/>
                <w:szCs w:val="14"/>
                <w:color w:val="54565B"/>
              </w:rPr>
              <w:t>170,000</w:t>
            </w:r>
          </w:p>
        </w:tc>
        <w:tc>
          <w:tcPr>
            <w:tcW w:w="1400" w:type="dxa"/>
            <w:vAlign w:val="bottom"/>
            <w:tcBorders>
              <w:bottom w:val="single" w:sz="8" w:color="EAF7FA"/>
            </w:tcBorders>
            <w:shd w:val="clear" w:color="auto" w:fill="EAF7FA"/>
          </w:tcPr>
          <w:p>
            <w:pPr>
              <w:jc w:val="center"/>
              <w:ind w:right="48"/>
              <w:spacing w:after="0"/>
              <w:rPr>
                <w:sz w:val="20"/>
                <w:szCs w:val="20"/>
                <w:color w:val="auto"/>
              </w:rPr>
            </w:pPr>
            <w:r>
              <w:rPr>
                <w:rFonts w:ascii="Arial" w:cs="Arial" w:eastAsia="Arial" w:hAnsi="Arial"/>
                <w:sz w:val="14"/>
                <w:szCs w:val="14"/>
                <w:color w:val="54565B"/>
              </w:rPr>
              <w:t>328,000</w:t>
            </w:r>
          </w:p>
        </w:tc>
        <w:tc>
          <w:tcPr>
            <w:tcW w:w="0" w:type="dxa"/>
            <w:vAlign w:val="bottom"/>
          </w:tcPr>
          <w:p>
            <w:pPr>
              <w:spacing w:after="0"/>
              <w:rPr>
                <w:sz w:val="1"/>
                <w:szCs w:val="1"/>
                <w:color w:val="auto"/>
              </w:rPr>
            </w:pPr>
          </w:p>
        </w:tc>
      </w:tr>
      <w:tr>
        <w:trPr>
          <w:trHeight w:val="228"/>
        </w:trPr>
        <w:tc>
          <w:tcPr>
            <w:tcW w:w="3620" w:type="dxa"/>
            <w:vAlign w:val="bottom"/>
          </w:tcPr>
          <w:p>
            <w:pPr>
              <w:ind w:left="240"/>
              <w:spacing w:after="0"/>
              <w:rPr>
                <w:sz w:val="20"/>
                <w:szCs w:val="20"/>
                <w:color w:val="auto"/>
              </w:rPr>
            </w:pPr>
            <w:r>
              <w:rPr>
                <w:rFonts w:ascii="Arial" w:cs="Arial" w:eastAsia="Arial" w:hAnsi="Arial"/>
                <w:sz w:val="14"/>
                <w:szCs w:val="14"/>
                <w:b w:val="1"/>
                <w:bCs w:val="1"/>
                <w:color w:val="54565B"/>
              </w:rPr>
              <w:t>John I. Von Lehman</w:t>
            </w:r>
          </w:p>
        </w:tc>
        <w:tc>
          <w:tcPr>
            <w:tcW w:w="3140" w:type="dxa"/>
            <w:vAlign w:val="bottom"/>
          </w:tcPr>
          <w:p>
            <w:pPr>
              <w:jc w:val="center"/>
              <w:ind w:left="1668"/>
              <w:spacing w:after="0"/>
              <w:rPr>
                <w:sz w:val="20"/>
                <w:szCs w:val="20"/>
                <w:color w:val="auto"/>
              </w:rPr>
            </w:pPr>
            <w:r>
              <w:rPr>
                <w:rFonts w:ascii="Arial" w:cs="Arial" w:eastAsia="Arial" w:hAnsi="Arial"/>
                <w:sz w:val="14"/>
                <w:szCs w:val="14"/>
                <w:color w:val="54565B"/>
              </w:rPr>
              <w:t>157,500</w:t>
            </w:r>
          </w:p>
        </w:tc>
        <w:tc>
          <w:tcPr>
            <w:tcW w:w="1240" w:type="dxa"/>
            <w:vAlign w:val="bottom"/>
          </w:tcPr>
          <w:p>
            <w:pPr>
              <w:jc w:val="center"/>
              <w:ind w:right="8"/>
              <w:spacing w:after="0"/>
              <w:rPr>
                <w:sz w:val="20"/>
                <w:szCs w:val="20"/>
                <w:color w:val="auto"/>
              </w:rPr>
            </w:pPr>
            <w:r>
              <w:rPr>
                <w:rFonts w:ascii="Arial" w:cs="Arial" w:eastAsia="Arial" w:hAnsi="Arial"/>
                <w:sz w:val="14"/>
                <w:szCs w:val="14"/>
                <w:color w:val="54565B"/>
              </w:rPr>
              <w:t>170,000</w:t>
            </w:r>
          </w:p>
        </w:tc>
        <w:tc>
          <w:tcPr>
            <w:tcW w:w="1400" w:type="dxa"/>
            <w:vAlign w:val="bottom"/>
          </w:tcPr>
          <w:p>
            <w:pPr>
              <w:jc w:val="center"/>
              <w:ind w:right="48"/>
              <w:spacing w:after="0"/>
              <w:rPr>
                <w:sz w:val="20"/>
                <w:szCs w:val="20"/>
                <w:color w:val="auto"/>
              </w:rPr>
            </w:pPr>
            <w:r>
              <w:rPr>
                <w:rFonts w:ascii="Arial" w:cs="Arial" w:eastAsia="Arial" w:hAnsi="Arial"/>
                <w:sz w:val="14"/>
                <w:szCs w:val="14"/>
                <w:color w:val="54565B"/>
              </w:rPr>
              <w:t>327,500</w:t>
            </w:r>
          </w:p>
        </w:tc>
        <w:tc>
          <w:tcPr>
            <w:tcW w:w="0" w:type="dxa"/>
            <w:vAlign w:val="bottom"/>
          </w:tcPr>
          <w:p>
            <w:pPr>
              <w:spacing w:after="0"/>
              <w:rPr>
                <w:sz w:val="1"/>
                <w:szCs w:val="1"/>
                <w:color w:val="auto"/>
              </w:rPr>
            </w:pPr>
          </w:p>
        </w:tc>
      </w:tr>
      <w:tr>
        <w:trPr>
          <w:trHeight w:val="29"/>
        </w:trPr>
        <w:tc>
          <w:tcPr>
            <w:tcW w:w="3620" w:type="dxa"/>
            <w:vAlign w:val="bottom"/>
            <w:tcBorders>
              <w:bottom w:val="single" w:sz="8" w:color="0B3C61"/>
            </w:tcBorders>
          </w:tcPr>
          <w:p>
            <w:pPr>
              <w:spacing w:after="0"/>
              <w:rPr>
                <w:sz w:val="2"/>
                <w:szCs w:val="2"/>
                <w:color w:val="auto"/>
              </w:rPr>
            </w:pPr>
          </w:p>
        </w:tc>
        <w:tc>
          <w:tcPr>
            <w:tcW w:w="3140" w:type="dxa"/>
            <w:vAlign w:val="bottom"/>
            <w:tcBorders>
              <w:bottom w:val="single" w:sz="8" w:color="0B3C61"/>
            </w:tcBorders>
          </w:tcPr>
          <w:p>
            <w:pPr>
              <w:spacing w:after="0"/>
              <w:rPr>
                <w:sz w:val="2"/>
                <w:szCs w:val="2"/>
                <w:color w:val="auto"/>
              </w:rPr>
            </w:pPr>
          </w:p>
        </w:tc>
        <w:tc>
          <w:tcPr>
            <w:tcW w:w="1240" w:type="dxa"/>
            <w:vAlign w:val="bottom"/>
            <w:tcBorders>
              <w:bottom w:val="single" w:sz="8" w:color="0B3C61"/>
            </w:tcBorders>
          </w:tcPr>
          <w:p>
            <w:pPr>
              <w:spacing w:after="0"/>
              <w:rPr>
                <w:sz w:val="2"/>
                <w:szCs w:val="2"/>
                <w:color w:val="auto"/>
              </w:rPr>
            </w:pPr>
          </w:p>
        </w:tc>
        <w:tc>
          <w:tcPr>
            <w:tcW w:w="1400" w:type="dxa"/>
            <w:vAlign w:val="bottom"/>
            <w:tcBorders>
              <w:bottom w:val="single" w:sz="8" w:color="0B3C61"/>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40" w:right="220" w:hanging="272"/>
        <w:spacing w:after="0" w:line="233" w:lineRule="auto"/>
        <w:tabs>
          <w:tab w:leader="none" w:pos="440" w:val="left"/>
        </w:tabs>
        <w:numPr>
          <w:ilvl w:val="0"/>
          <w:numId w:val="29"/>
        </w:numPr>
        <w:rPr>
          <w:rFonts w:ascii="Arial" w:cs="Arial" w:eastAsia="Arial" w:hAnsi="Arial"/>
          <w:sz w:val="13"/>
          <w:szCs w:val="13"/>
          <w:color w:val="54565B"/>
        </w:rPr>
      </w:pPr>
      <w:r>
        <w:rPr>
          <w:rFonts w:ascii="Arial" w:cs="Arial" w:eastAsia="Arial" w:hAnsi="Arial"/>
          <w:sz w:val="13"/>
          <w:szCs w:val="13"/>
          <w:color w:val="54565B"/>
        </w:rPr>
        <w:t xml:space="preserve">Calculated as the compensation cost for financial statement reporting purposes with respect to the annual stock grant under the Non-Employee Director Compensation Plan. See “Security Ownership of Certain Beneficial Owners and Management” on page </w:t>
      </w:r>
      <w:r>
        <w:rPr>
          <w:rFonts w:ascii="Arial" w:cs="Arial" w:eastAsia="Arial" w:hAnsi="Arial"/>
          <w:sz w:val="13"/>
          <w:szCs w:val="13"/>
          <w:u w:val="single" w:color="auto"/>
          <w:color w:val="0000EE"/>
        </w:rPr>
        <w:t>22</w:t>
      </w:r>
      <w:r>
        <w:rPr>
          <w:rFonts w:ascii="Arial" w:cs="Arial" w:eastAsia="Arial" w:hAnsi="Arial"/>
          <w:sz w:val="13"/>
          <w:szCs w:val="13"/>
          <w:color w:val="54565B"/>
        </w:rPr>
        <w:t xml:space="preserve"> for detail on beneficial ownership of AFG common shares by directors.</w:t>
      </w:r>
    </w:p>
    <w:p>
      <w:pPr>
        <w:spacing w:after="0" w:line="6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54565B"/>
        </w:rPr>
        <w:t>Mr. Lindner Jr. does not receive compensation for his role as a member of the Board. As an employee of the Company, for 2025 he received total compensation of approximately $1.71 million, comprised of an annual salary of $560,000, non-equity incentive compensation of $700,000, a stock award under the Company’s equity incentive plan valued at $450,027 (representing the dollar amount which will be expensed for financial statement reporting purposes), and certain perquisites commensurate with his position and tenure with the Company.</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0B3C61"/>
        </w:rPr>
        <w:t>RATIO OF CO-CEO TOTAL PAY TO “MEDIAN EMPLOYEE” TOTAL PAY</w:t>
      </w:r>
    </w:p>
    <w:p>
      <w:pPr>
        <w:spacing w:after="0" w:line="97"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54565B"/>
        </w:rPr>
        <w:t xml:space="preserve">Under rules adopted pursuant to the Dodd-Frank Wall Street Reform and Consumer Protection Act of 2010, the Company is providing the following information about the relationship of the annual total compensation of its employees and the annual total compensation of the Co-CEOs. The pay ratio included in this information is a reasonable estimate calculated in a manner consistent with SEC rules. This information should be read together with the “Compensation Discussion and Analysis” beginning on page </w:t>
      </w:r>
      <w:r>
        <w:rPr>
          <w:rFonts w:ascii="Arial" w:cs="Arial" w:eastAsia="Arial" w:hAnsi="Arial"/>
          <w:sz w:val="16"/>
          <w:szCs w:val="16"/>
          <w:u w:val="single" w:color="auto"/>
          <w:color w:val="0000EE"/>
        </w:rPr>
        <w:t>37</w:t>
      </w:r>
      <w:r>
        <w:rPr>
          <w:rFonts w:ascii="Arial" w:cs="Arial" w:eastAsia="Arial" w:hAnsi="Arial"/>
          <w:sz w:val="16"/>
          <w:szCs w:val="16"/>
          <w:color w:val="54565B"/>
        </w:rPr>
        <w:t>.</w:t>
      </w: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60 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54565B"/>
        </w:rPr>
        <w:t>AFG identified the “median employee” as of December 31, 2023. The median employee was a full-time, salaried employee located in the United States.</w:t>
      </w:r>
    </w:p>
    <w:p>
      <w:pPr>
        <w:spacing w:after="0" w:line="2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54565B"/>
        </w:rPr>
        <w:t>AFG’s employee base may differ from other companies in the insurance and financial service industry. In total, at December 31, 2023, AFG employed a total of 922 part-time seasonal insurance adjusters and other part-time employees (approximately 11% of all employees) which are included in the total employee numbers, but all earned less from the Company than the median employee in 2024. As a result, the ratio set forth below may not be correlative to the ratio for other companies comparable in size or industry because of differences in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54565B"/>
        </w:rPr>
        <w:t>AFG utilized the following methodology and the material assumptions, adjustments, and estimates:</w:t>
      </w:r>
    </w:p>
    <w:p>
      <w:pPr>
        <w:spacing w:after="0" w:line="21" w:lineRule="exact"/>
        <w:rPr>
          <w:sz w:val="20"/>
          <w:szCs w:val="20"/>
          <w:color w:val="auto"/>
        </w:rPr>
      </w:pPr>
    </w:p>
    <w:p>
      <w:pPr>
        <w:ind w:left="360" w:right="240" w:hanging="174"/>
        <w:spacing w:after="0" w:line="246" w:lineRule="auto"/>
        <w:tabs>
          <w:tab w:leader="none" w:pos="360" w:val="left"/>
        </w:tabs>
        <w:numPr>
          <w:ilvl w:val="0"/>
          <w:numId w:val="30"/>
        </w:numPr>
        <w:rPr>
          <w:rFonts w:ascii="Arial" w:cs="Arial" w:eastAsia="Arial" w:hAnsi="Arial"/>
          <w:sz w:val="16"/>
          <w:szCs w:val="16"/>
          <w:color w:val="54565B"/>
        </w:rPr>
      </w:pPr>
      <w:r>
        <w:rPr>
          <w:rFonts w:ascii="Arial" w:cs="Arial" w:eastAsia="Arial" w:hAnsi="Arial"/>
          <w:sz w:val="16"/>
          <w:szCs w:val="16"/>
          <w:color w:val="54565B"/>
        </w:rPr>
        <w:t>As of December 31, 2023, our total employee population consisted of 8,520 individuals working at our parent company and consolidated subsidiaries, with approximately 5.3% located in Mexico.</w:t>
      </w:r>
    </w:p>
    <w:p>
      <w:pPr>
        <w:ind w:left="360" w:right="100" w:hanging="174"/>
        <w:spacing w:after="0" w:line="246" w:lineRule="auto"/>
        <w:tabs>
          <w:tab w:leader="none" w:pos="360" w:val="left"/>
        </w:tabs>
        <w:numPr>
          <w:ilvl w:val="0"/>
          <w:numId w:val="30"/>
        </w:numPr>
        <w:rPr>
          <w:rFonts w:ascii="Arial" w:cs="Arial" w:eastAsia="Arial" w:hAnsi="Arial"/>
          <w:sz w:val="16"/>
          <w:szCs w:val="16"/>
          <w:color w:val="54565B"/>
        </w:rPr>
      </w:pPr>
      <w:r>
        <w:rPr>
          <w:rFonts w:ascii="Arial" w:cs="Arial" w:eastAsia="Arial" w:hAnsi="Arial"/>
          <w:sz w:val="16"/>
          <w:szCs w:val="16"/>
          <w:color w:val="54565B"/>
        </w:rPr>
        <w:t>SEC rules permit us to exclude up to 5% of our non-U.S. employees when identifying the median employee. AFG excluded employees in England (60 employees), Ireland (25 employees), Singapore (99 employees) and Canada, Spain and Denmark (total of 15 employees), which collectively represented less than 2.4% of AFG’s employees.</w:t>
      </w:r>
    </w:p>
    <w:p>
      <w:pPr>
        <w:spacing w:after="0" w:line="1" w:lineRule="exact"/>
        <w:rPr>
          <w:rFonts w:ascii="Arial" w:cs="Arial" w:eastAsia="Arial" w:hAnsi="Arial"/>
          <w:sz w:val="16"/>
          <w:szCs w:val="16"/>
          <w:color w:val="54565B"/>
        </w:rPr>
      </w:pPr>
    </w:p>
    <w:p>
      <w:pPr>
        <w:ind w:left="360" w:right="160" w:hanging="174"/>
        <w:spacing w:after="0" w:line="246" w:lineRule="auto"/>
        <w:tabs>
          <w:tab w:leader="none" w:pos="360" w:val="left"/>
        </w:tabs>
        <w:numPr>
          <w:ilvl w:val="0"/>
          <w:numId w:val="30"/>
        </w:numPr>
        <w:rPr>
          <w:rFonts w:ascii="Arial" w:cs="Arial" w:eastAsia="Arial" w:hAnsi="Arial"/>
          <w:sz w:val="16"/>
          <w:szCs w:val="16"/>
          <w:color w:val="54565B"/>
        </w:rPr>
      </w:pPr>
      <w:r>
        <w:rPr>
          <w:rFonts w:ascii="Arial" w:cs="Arial" w:eastAsia="Arial" w:hAnsi="Arial"/>
          <w:sz w:val="16"/>
          <w:szCs w:val="16"/>
          <w:color w:val="54565B"/>
        </w:rPr>
        <w:t>For the remaining employees, AFG compiled total 2023 wages, tips, and other compensation from 2023 year-end tax reporting data. For amounts paid in foreign currencies, AFG converted 2023 wages based on the conversion rate on the last business day of 2023.</w:t>
      </w:r>
    </w:p>
    <w:p>
      <w:pPr>
        <w:spacing w:after="0" w:line="1" w:lineRule="exact"/>
        <w:rPr>
          <w:rFonts w:ascii="Arial" w:cs="Arial" w:eastAsia="Arial" w:hAnsi="Arial"/>
          <w:sz w:val="16"/>
          <w:szCs w:val="16"/>
          <w:color w:val="54565B"/>
        </w:rPr>
      </w:pPr>
    </w:p>
    <w:p>
      <w:pPr>
        <w:ind w:left="360" w:right="160" w:hanging="174"/>
        <w:spacing w:after="0" w:line="246" w:lineRule="auto"/>
        <w:tabs>
          <w:tab w:leader="none" w:pos="360" w:val="left"/>
        </w:tabs>
        <w:numPr>
          <w:ilvl w:val="0"/>
          <w:numId w:val="30"/>
        </w:numPr>
        <w:rPr>
          <w:rFonts w:ascii="Arial" w:cs="Arial" w:eastAsia="Arial" w:hAnsi="Arial"/>
          <w:sz w:val="16"/>
          <w:szCs w:val="16"/>
          <w:color w:val="54565B"/>
        </w:rPr>
      </w:pPr>
      <w:r>
        <w:rPr>
          <w:rFonts w:ascii="Arial" w:cs="Arial" w:eastAsia="Arial" w:hAnsi="Arial"/>
          <w:sz w:val="16"/>
          <w:szCs w:val="16"/>
          <w:color w:val="54565B"/>
        </w:rPr>
        <w:t xml:space="preserve">AFG calculated the median employee’s 2025 total compensation using the same methodology as used to determine the Co-CEOs total compensation as set forth in the Summary Compensation Table on page </w:t>
      </w:r>
      <w:r>
        <w:rPr>
          <w:rFonts w:ascii="Arial" w:cs="Arial" w:eastAsia="Arial" w:hAnsi="Arial"/>
          <w:sz w:val="16"/>
          <w:szCs w:val="16"/>
          <w:u w:val="single" w:color="auto"/>
          <w:color w:val="0000EE"/>
        </w:rPr>
        <w:t>54</w:t>
      </w:r>
      <w:r>
        <w:rPr>
          <w:rFonts w:ascii="Arial" w:cs="Arial" w:eastAsia="Arial" w:hAnsi="Arial"/>
          <w:sz w:val="16"/>
          <w:szCs w:val="16"/>
          <w:color w:val="54565B"/>
        </w:rPr>
        <w:t xml:space="preserve"> of this proxy statement.</w:t>
      </w:r>
    </w:p>
    <w:p>
      <w:pPr>
        <w:ind w:left="360" w:hanging="174"/>
        <w:spacing w:after="0" w:line="265" w:lineRule="auto"/>
        <w:tabs>
          <w:tab w:leader="none" w:pos="360" w:val="left"/>
        </w:tabs>
        <w:numPr>
          <w:ilvl w:val="0"/>
          <w:numId w:val="30"/>
        </w:numPr>
        <w:rPr>
          <w:rFonts w:ascii="Arial" w:cs="Arial" w:eastAsia="Arial" w:hAnsi="Arial"/>
          <w:sz w:val="16"/>
          <w:szCs w:val="16"/>
          <w:color w:val="54565B"/>
        </w:rPr>
      </w:pPr>
      <w:r>
        <w:rPr>
          <w:rFonts w:ascii="Arial" w:cs="Arial" w:eastAsia="Arial" w:hAnsi="Arial"/>
          <w:sz w:val="16"/>
          <w:szCs w:val="16"/>
          <w:color w:val="54565B"/>
        </w:rPr>
        <w:t>With respect to the 2025 total compensation of each Co-CEO, the Company used the amount reported in the “Total” column of the Summary Compensation Table.</w:t>
      </w:r>
    </w:p>
    <w:p>
      <w:pPr>
        <w:spacing w:after="0" w:line="5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54565B"/>
        </w:rPr>
        <w:t>The 2025 total compensation for the median employee (other than the Co-CEOs) was $110,944, and the 2025 total compensation of each Co-CEO is set forth under “Total Compensation” in the Summary Compensation Table. Based on this information, the ratios of 2025 total compensation of each Co-CEO to the 2025 total compensation of the median employee were 100 to 1.</w:t>
      </w:r>
    </w:p>
    <w:p>
      <w:pPr>
        <w:spacing w:after="0" w:line="275" w:lineRule="exact"/>
        <w:rPr>
          <w:sz w:val="20"/>
          <w:szCs w:val="20"/>
          <w:color w:val="auto"/>
        </w:rPr>
      </w:pPr>
    </w:p>
    <w:p>
      <w:pPr>
        <w:ind w:left="6360"/>
        <w:spacing w:after="0"/>
        <w:rPr>
          <w:sz w:val="20"/>
          <w:szCs w:val="20"/>
          <w:color w:val="auto"/>
        </w:rPr>
      </w:pPr>
      <w:r>
        <w:rPr>
          <w:rFonts w:ascii="Arial" w:cs="Arial" w:eastAsia="Arial" w:hAnsi="Arial"/>
          <w:sz w:val="12"/>
          <w:szCs w:val="12"/>
          <w:color w:val="0B3C61"/>
        </w:rPr>
        <w:t xml:space="preserve">2026 Proxy Statement | American Financial Group   </w:t>
      </w:r>
      <w:r>
        <w:rPr>
          <w:rFonts w:ascii="Arial" w:cs="Arial" w:eastAsia="Arial" w:hAnsi="Arial"/>
          <w:sz w:val="12"/>
          <w:szCs w:val="12"/>
          <w:b w:val="1"/>
          <w:bCs w:val="1"/>
          <w:color w:val="EA1D2D"/>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154940</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0B3C61"/>
        </w:rPr>
        <w:t>PAY VERSUS PERFORMANCE</w:t>
      </w:r>
    </w:p>
    <w:p>
      <w:pPr>
        <w:spacing w:after="0" w:line="83"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54565B"/>
        </w:rPr>
        <w:t>The following table reports the compensation of our Principal Executive Officer (PEO), and the average compensation of our other Named Executive Officers (Other NEOs) as reported in the Summary Compensation Table for the past five fiscal years, as well as their “compensation actually paid” as calculated pursuant to SEC rules and certain performance measures required by such rules.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40" w:type="dxa"/>
            <w:vAlign w:val="bottom"/>
            <w:shd w:val="clear" w:color="auto" w:fill="0B3C61"/>
          </w:tcPr>
          <w:p>
            <w:pPr>
              <w:spacing w:after="0"/>
              <w:rPr>
                <w:sz w:val="22"/>
                <w:szCs w:val="22"/>
                <w:color w:val="auto"/>
              </w:rPr>
            </w:pPr>
          </w:p>
        </w:tc>
        <w:tc>
          <w:tcPr>
            <w:tcW w:w="1560" w:type="dxa"/>
            <w:vAlign w:val="bottom"/>
            <w:gridSpan w:val="2"/>
            <w:shd w:val="clear" w:color="auto" w:fill="0B3C61"/>
          </w:tcPr>
          <w:p>
            <w:pPr>
              <w:jc w:val="center"/>
              <w:spacing w:after="0"/>
              <w:rPr>
                <w:sz w:val="20"/>
                <w:szCs w:val="20"/>
                <w:color w:val="auto"/>
              </w:rPr>
            </w:pPr>
            <w:r>
              <w:rPr>
                <w:rFonts w:ascii="Arial" w:cs="Arial" w:eastAsia="Arial" w:hAnsi="Arial"/>
                <w:sz w:val="14"/>
                <w:szCs w:val="14"/>
                <w:color w:val="FFFFFF"/>
              </w:rPr>
              <w:t>Summary</w:t>
            </w:r>
          </w:p>
        </w:tc>
        <w:tc>
          <w:tcPr>
            <w:tcW w:w="840" w:type="dxa"/>
            <w:vAlign w:val="bottom"/>
            <w:shd w:val="clear" w:color="auto" w:fill="0B3C61"/>
          </w:tcPr>
          <w:p>
            <w:pPr>
              <w:spacing w:after="0"/>
              <w:rPr>
                <w:sz w:val="22"/>
                <w:szCs w:val="22"/>
                <w:color w:val="auto"/>
              </w:rPr>
            </w:pPr>
          </w:p>
        </w:tc>
        <w:tc>
          <w:tcPr>
            <w:tcW w:w="840" w:type="dxa"/>
            <w:vAlign w:val="bottom"/>
            <w:shd w:val="clear" w:color="auto" w:fill="0B3C61"/>
          </w:tcPr>
          <w:p>
            <w:pPr>
              <w:spacing w:after="0"/>
              <w:rPr>
                <w:sz w:val="22"/>
                <w:szCs w:val="22"/>
                <w:color w:val="auto"/>
              </w:rPr>
            </w:pPr>
          </w:p>
        </w:tc>
        <w:tc>
          <w:tcPr>
            <w:tcW w:w="1220" w:type="dxa"/>
            <w:vAlign w:val="bottom"/>
            <w:shd w:val="clear" w:color="auto" w:fill="0B3C61"/>
          </w:tcPr>
          <w:p>
            <w:pPr>
              <w:spacing w:after="0"/>
              <w:rPr>
                <w:sz w:val="22"/>
                <w:szCs w:val="22"/>
                <w:color w:val="auto"/>
              </w:rPr>
            </w:pPr>
          </w:p>
        </w:tc>
        <w:tc>
          <w:tcPr>
            <w:tcW w:w="1220" w:type="dxa"/>
            <w:vAlign w:val="bottom"/>
            <w:shd w:val="clear" w:color="auto" w:fill="0B3C61"/>
          </w:tcPr>
          <w:p>
            <w:pPr>
              <w:spacing w:after="0"/>
              <w:rPr>
                <w:sz w:val="22"/>
                <w:szCs w:val="22"/>
                <w:color w:val="auto"/>
              </w:rPr>
            </w:pPr>
          </w:p>
        </w:tc>
        <w:tc>
          <w:tcPr>
            <w:tcW w:w="460" w:type="dxa"/>
            <w:vAlign w:val="bottom"/>
            <w:shd w:val="clear" w:color="auto" w:fill="0B3C61"/>
          </w:tcPr>
          <w:p>
            <w:pPr>
              <w:spacing w:after="0"/>
              <w:rPr>
                <w:sz w:val="22"/>
                <w:szCs w:val="22"/>
                <w:color w:val="auto"/>
              </w:rPr>
            </w:pPr>
          </w:p>
        </w:tc>
        <w:tc>
          <w:tcPr>
            <w:tcW w:w="440" w:type="dxa"/>
            <w:vAlign w:val="bottom"/>
            <w:shd w:val="clear" w:color="auto" w:fill="0B3C61"/>
          </w:tcPr>
          <w:p>
            <w:pPr>
              <w:spacing w:after="0"/>
              <w:rPr>
                <w:sz w:val="22"/>
                <w:szCs w:val="22"/>
                <w:color w:val="auto"/>
              </w:rPr>
            </w:pPr>
          </w:p>
        </w:tc>
        <w:tc>
          <w:tcPr>
            <w:tcW w:w="480" w:type="dxa"/>
            <w:vAlign w:val="bottom"/>
            <w:shd w:val="clear" w:color="auto" w:fill="0B3C61"/>
          </w:tcPr>
          <w:p>
            <w:pPr>
              <w:spacing w:after="0"/>
              <w:rPr>
                <w:sz w:val="22"/>
                <w:szCs w:val="22"/>
                <w:color w:val="auto"/>
              </w:rPr>
            </w:pPr>
          </w:p>
        </w:tc>
        <w:tc>
          <w:tcPr>
            <w:tcW w:w="420" w:type="dxa"/>
            <w:vAlign w:val="bottom"/>
            <w:shd w:val="clear" w:color="auto" w:fill="0B3C61"/>
          </w:tcPr>
          <w:p>
            <w:pPr>
              <w:spacing w:after="0"/>
              <w:rPr>
                <w:sz w:val="22"/>
                <w:szCs w:val="22"/>
                <w:color w:val="auto"/>
              </w:rPr>
            </w:pPr>
          </w:p>
        </w:tc>
        <w:tc>
          <w:tcPr>
            <w:tcW w:w="780" w:type="dxa"/>
            <w:vAlign w:val="bottom"/>
            <w:shd w:val="clear" w:color="auto" w:fill="0B3C61"/>
          </w:tcPr>
          <w:p>
            <w:pPr>
              <w:spacing w:after="0"/>
              <w:rPr>
                <w:sz w:val="22"/>
                <w:szCs w:val="22"/>
                <w:color w:val="auto"/>
              </w:rPr>
            </w:pPr>
          </w:p>
        </w:tc>
        <w:tc>
          <w:tcPr>
            <w:tcW w:w="600" w:type="dxa"/>
            <w:vAlign w:val="bottom"/>
            <w:shd w:val="clear" w:color="auto" w:fill="0B3C61"/>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40" w:type="dxa"/>
            <w:vAlign w:val="bottom"/>
            <w:shd w:val="clear" w:color="auto" w:fill="0B3C61"/>
          </w:tcPr>
          <w:p>
            <w:pPr>
              <w:spacing w:after="0"/>
              <w:rPr>
                <w:sz w:val="14"/>
                <w:szCs w:val="14"/>
                <w:color w:val="auto"/>
              </w:rPr>
            </w:pPr>
          </w:p>
        </w:tc>
        <w:tc>
          <w:tcPr>
            <w:tcW w:w="1560" w:type="dxa"/>
            <w:vAlign w:val="bottom"/>
            <w:gridSpan w:val="2"/>
            <w:shd w:val="clear" w:color="auto" w:fill="0B3C61"/>
          </w:tcPr>
          <w:p>
            <w:pPr>
              <w:jc w:val="center"/>
              <w:spacing w:after="0"/>
              <w:rPr>
                <w:sz w:val="20"/>
                <w:szCs w:val="20"/>
                <w:color w:val="auto"/>
              </w:rPr>
            </w:pPr>
            <w:r>
              <w:rPr>
                <w:rFonts w:ascii="Arial" w:cs="Arial" w:eastAsia="Arial" w:hAnsi="Arial"/>
                <w:sz w:val="14"/>
                <w:szCs w:val="14"/>
                <w:color w:val="FFFFFF"/>
              </w:rPr>
              <w:t>Compensation Table</w:t>
            </w:r>
          </w:p>
        </w:tc>
        <w:tc>
          <w:tcPr>
            <w:tcW w:w="840" w:type="dxa"/>
            <w:vAlign w:val="bottom"/>
            <w:shd w:val="clear" w:color="auto" w:fill="0B3C61"/>
          </w:tcPr>
          <w:p>
            <w:pPr>
              <w:spacing w:after="0"/>
              <w:rPr>
                <w:sz w:val="14"/>
                <w:szCs w:val="14"/>
                <w:color w:val="auto"/>
              </w:rPr>
            </w:pPr>
          </w:p>
        </w:tc>
        <w:tc>
          <w:tcPr>
            <w:tcW w:w="840" w:type="dxa"/>
            <w:vAlign w:val="bottom"/>
            <w:shd w:val="clear" w:color="auto" w:fill="0B3C61"/>
          </w:tcPr>
          <w:p>
            <w:pPr>
              <w:spacing w:after="0"/>
              <w:rPr>
                <w:sz w:val="14"/>
                <w:szCs w:val="14"/>
                <w:color w:val="auto"/>
              </w:rPr>
            </w:pPr>
          </w:p>
        </w:tc>
        <w:tc>
          <w:tcPr>
            <w:tcW w:w="1220" w:type="dxa"/>
            <w:vAlign w:val="bottom"/>
            <w:shd w:val="clear" w:color="auto" w:fill="0B3C61"/>
          </w:tcPr>
          <w:p>
            <w:pPr>
              <w:spacing w:after="0"/>
              <w:rPr>
                <w:sz w:val="14"/>
                <w:szCs w:val="14"/>
                <w:color w:val="auto"/>
              </w:rPr>
            </w:pPr>
          </w:p>
        </w:tc>
        <w:tc>
          <w:tcPr>
            <w:tcW w:w="1220" w:type="dxa"/>
            <w:vAlign w:val="bottom"/>
            <w:shd w:val="clear" w:color="auto" w:fill="0B3C61"/>
          </w:tcPr>
          <w:p>
            <w:pPr>
              <w:spacing w:after="0"/>
              <w:rPr>
                <w:sz w:val="14"/>
                <w:szCs w:val="14"/>
                <w:color w:val="auto"/>
              </w:rPr>
            </w:pPr>
          </w:p>
        </w:tc>
        <w:tc>
          <w:tcPr>
            <w:tcW w:w="460" w:type="dxa"/>
            <w:vAlign w:val="bottom"/>
            <w:shd w:val="clear" w:color="auto" w:fill="0B3C61"/>
          </w:tcPr>
          <w:p>
            <w:pPr>
              <w:spacing w:after="0"/>
              <w:rPr>
                <w:sz w:val="14"/>
                <w:szCs w:val="14"/>
                <w:color w:val="auto"/>
              </w:rPr>
            </w:pPr>
          </w:p>
        </w:tc>
        <w:tc>
          <w:tcPr>
            <w:tcW w:w="440" w:type="dxa"/>
            <w:vAlign w:val="bottom"/>
            <w:shd w:val="clear" w:color="auto" w:fill="0B3C61"/>
          </w:tcPr>
          <w:p>
            <w:pPr>
              <w:spacing w:after="0"/>
              <w:rPr>
                <w:sz w:val="14"/>
                <w:szCs w:val="14"/>
                <w:color w:val="auto"/>
              </w:rPr>
            </w:pPr>
          </w:p>
        </w:tc>
        <w:tc>
          <w:tcPr>
            <w:tcW w:w="480" w:type="dxa"/>
            <w:vAlign w:val="bottom"/>
            <w:shd w:val="clear" w:color="auto" w:fill="0B3C61"/>
          </w:tcPr>
          <w:p>
            <w:pPr>
              <w:spacing w:after="0"/>
              <w:rPr>
                <w:sz w:val="14"/>
                <w:szCs w:val="14"/>
                <w:color w:val="auto"/>
              </w:rPr>
            </w:pPr>
          </w:p>
        </w:tc>
        <w:tc>
          <w:tcPr>
            <w:tcW w:w="420" w:type="dxa"/>
            <w:vAlign w:val="bottom"/>
            <w:shd w:val="clear" w:color="auto" w:fill="0B3C61"/>
          </w:tcPr>
          <w:p>
            <w:pPr>
              <w:spacing w:after="0"/>
              <w:rPr>
                <w:sz w:val="14"/>
                <w:szCs w:val="14"/>
                <w:color w:val="auto"/>
              </w:rPr>
            </w:pPr>
          </w:p>
        </w:tc>
        <w:tc>
          <w:tcPr>
            <w:tcW w:w="780" w:type="dxa"/>
            <w:vAlign w:val="bottom"/>
            <w:shd w:val="clear" w:color="auto" w:fill="0B3C61"/>
          </w:tcPr>
          <w:p>
            <w:pPr>
              <w:spacing w:after="0"/>
              <w:rPr>
                <w:sz w:val="14"/>
                <w:szCs w:val="14"/>
                <w:color w:val="auto"/>
              </w:rPr>
            </w:pPr>
          </w:p>
        </w:tc>
        <w:tc>
          <w:tcPr>
            <w:tcW w:w="600" w:type="dxa"/>
            <w:vAlign w:val="bottom"/>
            <w:shd w:val="clear" w:color="auto" w:fill="0B3C6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 w:type="dxa"/>
            <w:vAlign w:val="bottom"/>
            <w:shd w:val="clear" w:color="auto" w:fill="0B3C61"/>
          </w:tcPr>
          <w:p>
            <w:pPr>
              <w:spacing w:after="0"/>
              <w:rPr>
                <w:sz w:val="14"/>
                <w:szCs w:val="14"/>
                <w:color w:val="auto"/>
              </w:rPr>
            </w:pPr>
          </w:p>
        </w:tc>
        <w:tc>
          <w:tcPr>
            <w:tcW w:w="1560" w:type="dxa"/>
            <w:vAlign w:val="bottom"/>
            <w:gridSpan w:val="2"/>
            <w:shd w:val="clear" w:color="auto" w:fill="0B3C61"/>
          </w:tcPr>
          <w:p>
            <w:pPr>
              <w:jc w:val="center"/>
              <w:spacing w:after="0"/>
              <w:rPr>
                <w:sz w:val="20"/>
                <w:szCs w:val="20"/>
                <w:color w:val="auto"/>
              </w:rPr>
            </w:pPr>
            <w:r>
              <w:rPr>
                <w:rFonts w:ascii="Arial" w:cs="Arial" w:eastAsia="Arial" w:hAnsi="Arial"/>
                <w:sz w:val="14"/>
                <w:szCs w:val="14"/>
                <w:color w:val="FFFFFF"/>
              </w:rPr>
              <w:t>Total Compensation for</w:t>
            </w:r>
          </w:p>
        </w:tc>
        <w:tc>
          <w:tcPr>
            <w:tcW w:w="840" w:type="dxa"/>
            <w:vAlign w:val="bottom"/>
            <w:shd w:val="clear" w:color="auto" w:fill="0B3C61"/>
          </w:tcPr>
          <w:p>
            <w:pPr>
              <w:spacing w:after="0"/>
              <w:rPr>
                <w:sz w:val="14"/>
                <w:szCs w:val="14"/>
                <w:color w:val="auto"/>
              </w:rPr>
            </w:pPr>
          </w:p>
        </w:tc>
        <w:tc>
          <w:tcPr>
            <w:tcW w:w="840" w:type="dxa"/>
            <w:vAlign w:val="bottom"/>
            <w:shd w:val="clear" w:color="auto" w:fill="0B3C61"/>
          </w:tcPr>
          <w:p>
            <w:pPr>
              <w:spacing w:after="0"/>
              <w:rPr>
                <w:sz w:val="14"/>
                <w:szCs w:val="14"/>
                <w:color w:val="auto"/>
              </w:rPr>
            </w:pPr>
          </w:p>
        </w:tc>
        <w:tc>
          <w:tcPr>
            <w:tcW w:w="1220" w:type="dxa"/>
            <w:vAlign w:val="bottom"/>
            <w:shd w:val="clear" w:color="auto" w:fill="0B3C61"/>
          </w:tcPr>
          <w:p>
            <w:pPr>
              <w:spacing w:after="0"/>
              <w:rPr>
                <w:sz w:val="14"/>
                <w:szCs w:val="14"/>
                <w:color w:val="auto"/>
              </w:rPr>
            </w:pPr>
          </w:p>
        </w:tc>
        <w:tc>
          <w:tcPr>
            <w:tcW w:w="1220" w:type="dxa"/>
            <w:vAlign w:val="bottom"/>
            <w:shd w:val="clear" w:color="auto" w:fill="0B3C61"/>
          </w:tcPr>
          <w:p>
            <w:pPr>
              <w:spacing w:after="0"/>
              <w:rPr>
                <w:sz w:val="14"/>
                <w:szCs w:val="14"/>
                <w:color w:val="auto"/>
              </w:rPr>
            </w:pPr>
          </w:p>
        </w:tc>
        <w:tc>
          <w:tcPr>
            <w:tcW w:w="460" w:type="dxa"/>
            <w:vAlign w:val="bottom"/>
            <w:shd w:val="clear" w:color="auto" w:fill="0B3C61"/>
          </w:tcPr>
          <w:p>
            <w:pPr>
              <w:spacing w:after="0"/>
              <w:rPr>
                <w:sz w:val="14"/>
                <w:szCs w:val="14"/>
                <w:color w:val="auto"/>
              </w:rPr>
            </w:pPr>
          </w:p>
        </w:tc>
        <w:tc>
          <w:tcPr>
            <w:tcW w:w="440" w:type="dxa"/>
            <w:vAlign w:val="bottom"/>
            <w:shd w:val="clear" w:color="auto" w:fill="0B3C61"/>
          </w:tcPr>
          <w:p>
            <w:pPr>
              <w:spacing w:after="0"/>
              <w:rPr>
                <w:sz w:val="14"/>
                <w:szCs w:val="14"/>
                <w:color w:val="auto"/>
              </w:rPr>
            </w:pPr>
          </w:p>
        </w:tc>
        <w:tc>
          <w:tcPr>
            <w:tcW w:w="480" w:type="dxa"/>
            <w:vAlign w:val="bottom"/>
            <w:shd w:val="clear" w:color="auto" w:fill="0B3C61"/>
          </w:tcPr>
          <w:p>
            <w:pPr>
              <w:spacing w:after="0"/>
              <w:rPr>
                <w:sz w:val="14"/>
                <w:szCs w:val="14"/>
                <w:color w:val="auto"/>
              </w:rPr>
            </w:pPr>
          </w:p>
        </w:tc>
        <w:tc>
          <w:tcPr>
            <w:tcW w:w="420" w:type="dxa"/>
            <w:vAlign w:val="bottom"/>
            <w:shd w:val="clear" w:color="auto" w:fill="0B3C61"/>
          </w:tcPr>
          <w:p>
            <w:pPr>
              <w:spacing w:after="0"/>
              <w:rPr>
                <w:sz w:val="14"/>
                <w:szCs w:val="14"/>
                <w:color w:val="auto"/>
              </w:rPr>
            </w:pPr>
          </w:p>
        </w:tc>
        <w:tc>
          <w:tcPr>
            <w:tcW w:w="780" w:type="dxa"/>
            <w:vAlign w:val="bottom"/>
            <w:shd w:val="clear" w:color="auto" w:fill="0B3C61"/>
          </w:tcPr>
          <w:p>
            <w:pPr>
              <w:spacing w:after="0"/>
              <w:rPr>
                <w:sz w:val="14"/>
                <w:szCs w:val="14"/>
                <w:color w:val="auto"/>
              </w:rPr>
            </w:pPr>
          </w:p>
        </w:tc>
        <w:tc>
          <w:tcPr>
            <w:tcW w:w="600" w:type="dxa"/>
            <w:vAlign w:val="bottom"/>
            <w:shd w:val="clear" w:color="auto" w:fill="0B3C61"/>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 w:type="dxa"/>
            <w:vAlign w:val="bottom"/>
            <w:shd w:val="clear" w:color="auto" w:fill="0B3C61"/>
          </w:tcPr>
          <w:p>
            <w:pPr>
              <w:spacing w:after="0"/>
              <w:rPr>
                <w:sz w:val="14"/>
                <w:szCs w:val="14"/>
                <w:color w:val="auto"/>
              </w:rPr>
            </w:pPr>
          </w:p>
        </w:tc>
        <w:tc>
          <w:tcPr>
            <w:tcW w:w="1560" w:type="dxa"/>
            <w:vAlign w:val="bottom"/>
            <w:gridSpan w:val="2"/>
            <w:shd w:val="clear" w:color="auto" w:fill="0B3C61"/>
          </w:tcPr>
          <w:p>
            <w:pPr>
              <w:jc w:val="center"/>
              <w:spacing w:after="0"/>
              <w:rPr>
                <w:sz w:val="20"/>
                <w:szCs w:val="20"/>
                <w:color w:val="auto"/>
              </w:rPr>
            </w:pPr>
            <w:r>
              <w:rPr>
                <w:rFonts w:ascii="Arial" w:cs="Arial" w:eastAsia="Arial" w:hAnsi="Arial"/>
                <w:sz w:val="14"/>
                <w:szCs w:val="14"/>
                <w:color w:val="FFFFFF"/>
              </w:rPr>
              <w:t>PEO</w:t>
            </w:r>
          </w:p>
        </w:tc>
        <w:tc>
          <w:tcPr>
            <w:tcW w:w="1680" w:type="dxa"/>
            <w:vAlign w:val="bottom"/>
            <w:gridSpan w:val="2"/>
            <w:shd w:val="clear" w:color="auto" w:fill="0B3C61"/>
          </w:tcPr>
          <w:p>
            <w:pPr>
              <w:jc w:val="right"/>
              <w:ind w:right="8"/>
              <w:spacing w:after="0"/>
              <w:rPr>
                <w:sz w:val="20"/>
                <w:szCs w:val="20"/>
                <w:color w:val="auto"/>
              </w:rPr>
            </w:pPr>
            <w:r>
              <w:rPr>
                <w:rFonts w:ascii="Arial" w:cs="Arial" w:eastAsia="Arial" w:hAnsi="Arial"/>
                <w:sz w:val="14"/>
                <w:szCs w:val="14"/>
                <w:color w:val="FFFFFF"/>
              </w:rPr>
              <w:t>Compensation Actually</w:t>
            </w:r>
          </w:p>
        </w:tc>
        <w:tc>
          <w:tcPr>
            <w:tcW w:w="1220" w:type="dxa"/>
            <w:vAlign w:val="bottom"/>
            <w:shd w:val="clear" w:color="auto" w:fill="0B3C61"/>
          </w:tcPr>
          <w:p>
            <w:pPr>
              <w:spacing w:after="0"/>
              <w:rPr>
                <w:sz w:val="14"/>
                <w:szCs w:val="14"/>
                <w:color w:val="auto"/>
              </w:rPr>
            </w:pPr>
          </w:p>
        </w:tc>
        <w:tc>
          <w:tcPr>
            <w:tcW w:w="1220" w:type="dxa"/>
            <w:vAlign w:val="bottom"/>
            <w:shd w:val="clear" w:color="auto" w:fill="0B3C61"/>
          </w:tcPr>
          <w:p>
            <w:pPr>
              <w:spacing w:after="0"/>
              <w:rPr>
                <w:sz w:val="14"/>
                <w:szCs w:val="14"/>
                <w:color w:val="auto"/>
              </w:rPr>
            </w:pPr>
          </w:p>
        </w:tc>
        <w:tc>
          <w:tcPr>
            <w:tcW w:w="1800" w:type="dxa"/>
            <w:vAlign w:val="bottom"/>
            <w:gridSpan w:val="4"/>
            <w:shd w:val="clear" w:color="auto" w:fill="0B3C61"/>
          </w:tcPr>
          <w:p>
            <w:pPr>
              <w:jc w:val="center"/>
              <w:spacing w:after="0"/>
              <w:rPr>
                <w:sz w:val="20"/>
                <w:szCs w:val="20"/>
                <w:color w:val="auto"/>
              </w:rPr>
            </w:pPr>
            <w:r>
              <w:rPr>
                <w:rFonts w:ascii="Arial" w:cs="Arial" w:eastAsia="Arial" w:hAnsi="Arial"/>
                <w:sz w:val="14"/>
                <w:szCs w:val="14"/>
                <w:color w:val="FFFFFF"/>
              </w:rPr>
              <w:t>Value of Initial Fixed $100</w:t>
            </w:r>
          </w:p>
        </w:tc>
        <w:tc>
          <w:tcPr>
            <w:tcW w:w="780" w:type="dxa"/>
            <w:vAlign w:val="bottom"/>
            <w:shd w:val="clear" w:color="auto" w:fill="0B3C61"/>
          </w:tcPr>
          <w:p>
            <w:pPr>
              <w:spacing w:after="0"/>
              <w:rPr>
                <w:sz w:val="14"/>
                <w:szCs w:val="14"/>
                <w:color w:val="auto"/>
              </w:rPr>
            </w:pPr>
          </w:p>
        </w:tc>
        <w:tc>
          <w:tcPr>
            <w:tcW w:w="600" w:type="dxa"/>
            <w:vAlign w:val="bottom"/>
            <w:shd w:val="clear" w:color="auto" w:fill="0B3C61"/>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40" w:type="dxa"/>
            <w:vAlign w:val="bottom"/>
            <w:shd w:val="clear" w:color="auto" w:fill="0B3C61"/>
          </w:tcPr>
          <w:p>
            <w:pPr>
              <w:spacing w:after="0"/>
              <w:rPr>
                <w:sz w:val="23"/>
                <w:szCs w:val="23"/>
                <w:color w:val="auto"/>
              </w:rPr>
            </w:pPr>
          </w:p>
        </w:tc>
        <w:tc>
          <w:tcPr>
            <w:tcW w:w="1560" w:type="dxa"/>
            <w:vAlign w:val="bottom"/>
            <w:gridSpan w:val="2"/>
            <w:shd w:val="clear" w:color="auto" w:fill="0B3C61"/>
          </w:tcPr>
          <w:p>
            <w:pPr>
              <w:jc w:val="center"/>
              <w:spacing w:after="0"/>
              <w:rPr>
                <w:sz w:val="20"/>
                <w:szCs w:val="20"/>
                <w:color w:val="auto"/>
              </w:rPr>
            </w:pPr>
            <w:r>
              <w:rPr>
                <w:rFonts w:ascii="Arial" w:cs="Arial" w:eastAsia="Arial" w:hAnsi="Arial"/>
                <w:sz w:val="14"/>
                <w:szCs w:val="14"/>
                <w:color w:val="FFFFFF"/>
                <w:w w:val="89"/>
              </w:rPr>
              <w:t>($)</w:t>
            </w:r>
            <w:r>
              <w:rPr>
                <w:rFonts w:ascii="Arial" w:cs="Arial" w:eastAsia="Arial" w:hAnsi="Arial"/>
                <w:sz w:val="23"/>
                <w:szCs w:val="23"/>
                <w:color w:val="FFFFFF"/>
                <w:w w:val="89"/>
                <w:vertAlign w:val="superscript"/>
              </w:rPr>
              <w:t>(1)</w:t>
            </w:r>
          </w:p>
        </w:tc>
        <w:tc>
          <w:tcPr>
            <w:tcW w:w="1680" w:type="dxa"/>
            <w:vAlign w:val="bottom"/>
            <w:gridSpan w:val="2"/>
            <w:shd w:val="clear" w:color="auto" w:fill="0B3C61"/>
          </w:tcPr>
          <w:p>
            <w:pPr>
              <w:jc w:val="right"/>
              <w:ind w:right="168"/>
              <w:spacing w:after="0"/>
              <w:rPr>
                <w:sz w:val="20"/>
                <w:szCs w:val="20"/>
                <w:color w:val="auto"/>
              </w:rPr>
            </w:pPr>
            <w:r>
              <w:rPr>
                <w:rFonts w:ascii="Arial" w:cs="Arial" w:eastAsia="Arial" w:hAnsi="Arial"/>
                <w:sz w:val="14"/>
                <w:szCs w:val="14"/>
                <w:color w:val="FFFFFF"/>
              </w:rPr>
              <w:t>Paid to PEO ($)</w:t>
            </w:r>
            <w:r>
              <w:rPr>
                <w:rFonts w:ascii="Arial" w:cs="Arial" w:eastAsia="Arial" w:hAnsi="Arial"/>
                <w:sz w:val="23"/>
                <w:szCs w:val="23"/>
                <w:color w:val="FFFFFF"/>
                <w:vertAlign w:val="superscript"/>
              </w:rPr>
              <w:t>(2)</w:t>
            </w:r>
          </w:p>
        </w:tc>
        <w:tc>
          <w:tcPr>
            <w:tcW w:w="1220" w:type="dxa"/>
            <w:vAlign w:val="bottom"/>
            <w:vMerge w:val="restart"/>
            <w:shd w:val="clear" w:color="auto" w:fill="0B3C61"/>
          </w:tcPr>
          <w:p>
            <w:pPr>
              <w:jc w:val="center"/>
              <w:spacing w:after="0"/>
              <w:rPr>
                <w:sz w:val="20"/>
                <w:szCs w:val="20"/>
                <w:color w:val="auto"/>
              </w:rPr>
            </w:pPr>
            <w:r>
              <w:rPr>
                <w:rFonts w:ascii="Arial" w:cs="Arial" w:eastAsia="Arial" w:hAnsi="Arial"/>
                <w:sz w:val="14"/>
                <w:szCs w:val="14"/>
                <w:color w:val="FFFFFF"/>
              </w:rPr>
              <w:t>Average</w:t>
            </w:r>
          </w:p>
        </w:tc>
        <w:tc>
          <w:tcPr>
            <w:tcW w:w="1220" w:type="dxa"/>
            <w:vAlign w:val="bottom"/>
            <w:shd w:val="clear" w:color="auto" w:fill="0B3C61"/>
          </w:tcPr>
          <w:p>
            <w:pPr>
              <w:spacing w:after="0"/>
              <w:rPr>
                <w:sz w:val="23"/>
                <w:szCs w:val="23"/>
                <w:color w:val="auto"/>
              </w:rPr>
            </w:pPr>
          </w:p>
        </w:tc>
        <w:tc>
          <w:tcPr>
            <w:tcW w:w="1800" w:type="dxa"/>
            <w:vAlign w:val="bottom"/>
            <w:gridSpan w:val="4"/>
            <w:shd w:val="clear" w:color="auto" w:fill="0B3C61"/>
          </w:tcPr>
          <w:p>
            <w:pPr>
              <w:jc w:val="center"/>
              <w:spacing w:after="0"/>
              <w:rPr>
                <w:sz w:val="20"/>
                <w:szCs w:val="20"/>
                <w:color w:val="auto"/>
              </w:rPr>
            </w:pPr>
            <w:r>
              <w:rPr>
                <w:rFonts w:ascii="Arial" w:cs="Arial" w:eastAsia="Arial" w:hAnsi="Arial"/>
                <w:sz w:val="14"/>
                <w:szCs w:val="14"/>
                <w:color w:val="FFFFFF"/>
              </w:rPr>
              <w:t>Investment Based On:</w:t>
            </w:r>
          </w:p>
        </w:tc>
        <w:tc>
          <w:tcPr>
            <w:tcW w:w="780" w:type="dxa"/>
            <w:vAlign w:val="bottom"/>
            <w:shd w:val="clear" w:color="auto" w:fill="0B3C61"/>
          </w:tcPr>
          <w:p>
            <w:pPr>
              <w:spacing w:after="0"/>
              <w:rPr>
                <w:sz w:val="23"/>
                <w:szCs w:val="23"/>
                <w:color w:val="auto"/>
              </w:rPr>
            </w:pPr>
          </w:p>
        </w:tc>
        <w:tc>
          <w:tcPr>
            <w:tcW w:w="600" w:type="dxa"/>
            <w:vAlign w:val="bottom"/>
            <w:shd w:val="clear" w:color="auto" w:fill="0B3C61"/>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540" w:type="dxa"/>
            <w:vAlign w:val="bottom"/>
            <w:shd w:val="clear" w:color="auto" w:fill="0B3C61"/>
          </w:tcPr>
          <w:p>
            <w:pPr>
              <w:spacing w:after="0"/>
              <w:rPr>
                <w:sz w:val="5"/>
                <w:szCs w:val="5"/>
                <w:color w:val="auto"/>
              </w:rPr>
            </w:pPr>
          </w:p>
        </w:tc>
        <w:tc>
          <w:tcPr>
            <w:tcW w:w="800" w:type="dxa"/>
            <w:vAlign w:val="bottom"/>
            <w:shd w:val="clear" w:color="auto" w:fill="0B3C61"/>
          </w:tcPr>
          <w:p>
            <w:pPr>
              <w:spacing w:after="0"/>
              <w:rPr>
                <w:sz w:val="5"/>
                <w:szCs w:val="5"/>
                <w:color w:val="auto"/>
              </w:rPr>
            </w:pPr>
          </w:p>
        </w:tc>
        <w:tc>
          <w:tcPr>
            <w:tcW w:w="760" w:type="dxa"/>
            <w:vAlign w:val="bottom"/>
            <w:shd w:val="clear" w:color="auto" w:fill="0B3C61"/>
          </w:tcPr>
          <w:p>
            <w:pPr>
              <w:spacing w:after="0"/>
              <w:rPr>
                <w:sz w:val="5"/>
                <w:szCs w:val="5"/>
                <w:color w:val="auto"/>
              </w:rPr>
            </w:pPr>
          </w:p>
        </w:tc>
        <w:tc>
          <w:tcPr>
            <w:tcW w:w="840" w:type="dxa"/>
            <w:vAlign w:val="bottom"/>
            <w:shd w:val="clear" w:color="auto" w:fill="0B3C61"/>
          </w:tcPr>
          <w:p>
            <w:pPr>
              <w:spacing w:after="0"/>
              <w:rPr>
                <w:sz w:val="5"/>
                <w:szCs w:val="5"/>
                <w:color w:val="auto"/>
              </w:rPr>
            </w:pPr>
          </w:p>
        </w:tc>
        <w:tc>
          <w:tcPr>
            <w:tcW w:w="840" w:type="dxa"/>
            <w:vAlign w:val="bottom"/>
            <w:shd w:val="clear" w:color="auto" w:fill="0B3C61"/>
          </w:tcPr>
          <w:p>
            <w:pPr>
              <w:spacing w:after="0"/>
              <w:rPr>
                <w:sz w:val="5"/>
                <w:szCs w:val="5"/>
                <w:color w:val="auto"/>
              </w:rPr>
            </w:pPr>
          </w:p>
        </w:tc>
        <w:tc>
          <w:tcPr>
            <w:tcW w:w="1220" w:type="dxa"/>
            <w:vAlign w:val="bottom"/>
            <w:vMerge w:val="continue"/>
            <w:shd w:val="clear" w:color="auto" w:fill="0B3C61"/>
          </w:tcPr>
          <w:p>
            <w:pPr>
              <w:spacing w:after="0"/>
              <w:rPr>
                <w:sz w:val="5"/>
                <w:szCs w:val="5"/>
                <w:color w:val="auto"/>
              </w:rPr>
            </w:pPr>
          </w:p>
        </w:tc>
        <w:tc>
          <w:tcPr>
            <w:tcW w:w="1220" w:type="dxa"/>
            <w:vAlign w:val="bottom"/>
            <w:shd w:val="clear" w:color="auto" w:fill="0B3C61"/>
          </w:tcPr>
          <w:p>
            <w:pPr>
              <w:spacing w:after="0"/>
              <w:rPr>
                <w:sz w:val="5"/>
                <w:szCs w:val="5"/>
                <w:color w:val="auto"/>
              </w:rPr>
            </w:pPr>
          </w:p>
        </w:tc>
        <w:tc>
          <w:tcPr>
            <w:tcW w:w="460" w:type="dxa"/>
            <w:vAlign w:val="bottom"/>
            <w:shd w:val="clear" w:color="auto" w:fill="0B3C61"/>
          </w:tcPr>
          <w:p>
            <w:pPr>
              <w:spacing w:after="0"/>
              <w:rPr>
                <w:sz w:val="5"/>
                <w:szCs w:val="5"/>
                <w:color w:val="auto"/>
              </w:rPr>
            </w:pPr>
          </w:p>
        </w:tc>
        <w:tc>
          <w:tcPr>
            <w:tcW w:w="440" w:type="dxa"/>
            <w:vAlign w:val="bottom"/>
            <w:shd w:val="clear" w:color="auto" w:fill="0B3C61"/>
          </w:tcPr>
          <w:p>
            <w:pPr>
              <w:spacing w:after="0"/>
              <w:rPr>
                <w:sz w:val="5"/>
                <w:szCs w:val="5"/>
                <w:color w:val="auto"/>
              </w:rPr>
            </w:pPr>
          </w:p>
        </w:tc>
        <w:tc>
          <w:tcPr>
            <w:tcW w:w="480" w:type="dxa"/>
            <w:vAlign w:val="bottom"/>
            <w:shd w:val="clear" w:color="auto" w:fill="0B3C61"/>
          </w:tcPr>
          <w:p>
            <w:pPr>
              <w:spacing w:after="0"/>
              <w:rPr>
                <w:sz w:val="5"/>
                <w:szCs w:val="5"/>
                <w:color w:val="auto"/>
              </w:rPr>
            </w:pPr>
          </w:p>
        </w:tc>
        <w:tc>
          <w:tcPr>
            <w:tcW w:w="420" w:type="dxa"/>
            <w:vAlign w:val="bottom"/>
            <w:shd w:val="clear" w:color="auto" w:fill="0B3C61"/>
          </w:tcPr>
          <w:p>
            <w:pPr>
              <w:spacing w:after="0"/>
              <w:rPr>
                <w:sz w:val="5"/>
                <w:szCs w:val="5"/>
                <w:color w:val="auto"/>
              </w:rPr>
            </w:pPr>
          </w:p>
        </w:tc>
        <w:tc>
          <w:tcPr>
            <w:tcW w:w="780" w:type="dxa"/>
            <w:vAlign w:val="bottom"/>
            <w:shd w:val="clear" w:color="auto" w:fill="0B3C61"/>
          </w:tcPr>
          <w:p>
            <w:pPr>
              <w:spacing w:after="0"/>
              <w:rPr>
                <w:sz w:val="5"/>
                <w:szCs w:val="5"/>
                <w:color w:val="auto"/>
              </w:rPr>
            </w:pPr>
          </w:p>
        </w:tc>
        <w:tc>
          <w:tcPr>
            <w:tcW w:w="600" w:type="dxa"/>
            <w:vAlign w:val="bottom"/>
            <w:shd w:val="clear" w:color="auto" w:fill="0B3C61"/>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540" w:type="dxa"/>
            <w:vAlign w:val="bottom"/>
            <w:shd w:val="clear" w:color="auto" w:fill="0B3C61"/>
          </w:tcPr>
          <w:p>
            <w:pPr>
              <w:spacing w:after="0"/>
              <w:rPr>
                <w:sz w:val="13"/>
                <w:szCs w:val="13"/>
                <w:color w:val="auto"/>
              </w:rPr>
            </w:pPr>
          </w:p>
        </w:tc>
        <w:tc>
          <w:tcPr>
            <w:tcW w:w="800" w:type="dxa"/>
            <w:vAlign w:val="bottom"/>
            <w:shd w:val="clear" w:color="auto" w:fill="0B3C61"/>
          </w:tcPr>
          <w:p>
            <w:pPr>
              <w:spacing w:after="0"/>
              <w:rPr>
                <w:sz w:val="13"/>
                <w:szCs w:val="13"/>
                <w:color w:val="auto"/>
              </w:rPr>
            </w:pPr>
          </w:p>
        </w:tc>
        <w:tc>
          <w:tcPr>
            <w:tcW w:w="760" w:type="dxa"/>
            <w:vAlign w:val="bottom"/>
            <w:shd w:val="clear" w:color="auto" w:fill="0B3C61"/>
          </w:tcPr>
          <w:p>
            <w:pPr>
              <w:spacing w:after="0"/>
              <w:rPr>
                <w:sz w:val="13"/>
                <w:szCs w:val="13"/>
                <w:color w:val="auto"/>
              </w:rPr>
            </w:pPr>
          </w:p>
        </w:tc>
        <w:tc>
          <w:tcPr>
            <w:tcW w:w="840" w:type="dxa"/>
            <w:vAlign w:val="bottom"/>
            <w:shd w:val="clear" w:color="auto" w:fill="0B3C61"/>
          </w:tcPr>
          <w:p>
            <w:pPr>
              <w:spacing w:after="0"/>
              <w:rPr>
                <w:sz w:val="13"/>
                <w:szCs w:val="13"/>
                <w:color w:val="auto"/>
              </w:rPr>
            </w:pPr>
          </w:p>
        </w:tc>
        <w:tc>
          <w:tcPr>
            <w:tcW w:w="840" w:type="dxa"/>
            <w:vAlign w:val="bottom"/>
            <w:shd w:val="clear" w:color="auto" w:fill="0B3C61"/>
          </w:tcPr>
          <w:p>
            <w:pPr>
              <w:spacing w:after="0"/>
              <w:rPr>
                <w:sz w:val="13"/>
                <w:szCs w:val="13"/>
                <w:color w:val="auto"/>
              </w:rPr>
            </w:pPr>
          </w:p>
        </w:tc>
        <w:tc>
          <w:tcPr>
            <w:tcW w:w="1220" w:type="dxa"/>
            <w:vAlign w:val="bottom"/>
            <w:shd w:val="clear" w:color="auto" w:fill="0B3C61"/>
          </w:tcPr>
          <w:p>
            <w:pPr>
              <w:jc w:val="center"/>
              <w:spacing w:after="0" w:line="159" w:lineRule="exact"/>
              <w:rPr>
                <w:sz w:val="20"/>
                <w:szCs w:val="20"/>
                <w:color w:val="auto"/>
              </w:rPr>
            </w:pPr>
            <w:r>
              <w:rPr>
                <w:rFonts w:ascii="Arial" w:cs="Arial" w:eastAsia="Arial" w:hAnsi="Arial"/>
                <w:sz w:val="14"/>
                <w:szCs w:val="14"/>
                <w:color w:val="FFFFFF"/>
              </w:rPr>
              <w:t>Summary</w:t>
            </w:r>
          </w:p>
        </w:tc>
        <w:tc>
          <w:tcPr>
            <w:tcW w:w="1220" w:type="dxa"/>
            <w:vAlign w:val="bottom"/>
            <w:shd w:val="clear" w:color="auto" w:fill="0B3C61"/>
          </w:tcPr>
          <w:p>
            <w:pPr>
              <w:spacing w:after="0"/>
              <w:rPr>
                <w:sz w:val="13"/>
                <w:szCs w:val="13"/>
                <w:color w:val="auto"/>
              </w:rPr>
            </w:pPr>
          </w:p>
        </w:tc>
        <w:tc>
          <w:tcPr>
            <w:tcW w:w="460" w:type="dxa"/>
            <w:vAlign w:val="bottom"/>
            <w:shd w:val="clear" w:color="auto" w:fill="0B3C61"/>
          </w:tcPr>
          <w:p>
            <w:pPr>
              <w:spacing w:after="0"/>
              <w:rPr>
                <w:sz w:val="13"/>
                <w:szCs w:val="13"/>
                <w:color w:val="auto"/>
              </w:rPr>
            </w:pPr>
          </w:p>
        </w:tc>
        <w:tc>
          <w:tcPr>
            <w:tcW w:w="440" w:type="dxa"/>
            <w:vAlign w:val="bottom"/>
            <w:shd w:val="clear" w:color="auto" w:fill="0B3C61"/>
          </w:tcPr>
          <w:p>
            <w:pPr>
              <w:spacing w:after="0"/>
              <w:rPr>
                <w:sz w:val="13"/>
                <w:szCs w:val="13"/>
                <w:color w:val="auto"/>
              </w:rPr>
            </w:pPr>
          </w:p>
        </w:tc>
        <w:tc>
          <w:tcPr>
            <w:tcW w:w="900" w:type="dxa"/>
            <w:vAlign w:val="bottom"/>
            <w:gridSpan w:val="2"/>
            <w:shd w:val="clear" w:color="auto" w:fill="0B3C61"/>
          </w:tcPr>
          <w:p>
            <w:pPr>
              <w:jc w:val="center"/>
              <w:spacing w:after="0" w:line="159" w:lineRule="exact"/>
              <w:rPr>
                <w:sz w:val="20"/>
                <w:szCs w:val="20"/>
                <w:color w:val="auto"/>
              </w:rPr>
            </w:pPr>
            <w:r>
              <w:rPr>
                <w:rFonts w:ascii="Arial" w:cs="Arial" w:eastAsia="Arial" w:hAnsi="Arial"/>
                <w:sz w:val="14"/>
                <w:szCs w:val="14"/>
                <w:color w:val="FFFFFF"/>
              </w:rPr>
              <w:t>Peer</w:t>
            </w:r>
          </w:p>
        </w:tc>
        <w:tc>
          <w:tcPr>
            <w:tcW w:w="780" w:type="dxa"/>
            <w:vAlign w:val="bottom"/>
            <w:shd w:val="clear" w:color="auto" w:fill="0B3C61"/>
          </w:tcPr>
          <w:p>
            <w:pPr>
              <w:spacing w:after="0"/>
              <w:rPr>
                <w:sz w:val="13"/>
                <w:szCs w:val="13"/>
                <w:color w:val="auto"/>
              </w:rPr>
            </w:pPr>
          </w:p>
        </w:tc>
        <w:tc>
          <w:tcPr>
            <w:tcW w:w="600" w:type="dxa"/>
            <w:vAlign w:val="bottom"/>
            <w:shd w:val="clear" w:color="auto" w:fill="0B3C61"/>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40" w:type="dxa"/>
            <w:vAlign w:val="bottom"/>
            <w:shd w:val="clear" w:color="auto" w:fill="0B3C61"/>
          </w:tcPr>
          <w:p>
            <w:pPr>
              <w:spacing w:after="0"/>
              <w:rPr>
                <w:sz w:val="15"/>
                <w:szCs w:val="15"/>
                <w:color w:val="auto"/>
              </w:rPr>
            </w:pPr>
          </w:p>
        </w:tc>
        <w:tc>
          <w:tcPr>
            <w:tcW w:w="800" w:type="dxa"/>
            <w:vAlign w:val="bottom"/>
            <w:shd w:val="clear" w:color="auto" w:fill="0B3C61"/>
          </w:tcPr>
          <w:p>
            <w:pPr>
              <w:spacing w:after="0"/>
              <w:rPr>
                <w:sz w:val="15"/>
                <w:szCs w:val="15"/>
                <w:color w:val="auto"/>
              </w:rPr>
            </w:pPr>
          </w:p>
        </w:tc>
        <w:tc>
          <w:tcPr>
            <w:tcW w:w="760" w:type="dxa"/>
            <w:vAlign w:val="bottom"/>
            <w:shd w:val="clear" w:color="auto" w:fill="0B3C61"/>
          </w:tcPr>
          <w:p>
            <w:pPr>
              <w:spacing w:after="0"/>
              <w:rPr>
                <w:sz w:val="15"/>
                <w:szCs w:val="15"/>
                <w:color w:val="auto"/>
              </w:rPr>
            </w:pPr>
          </w:p>
        </w:tc>
        <w:tc>
          <w:tcPr>
            <w:tcW w:w="840" w:type="dxa"/>
            <w:vAlign w:val="bottom"/>
            <w:shd w:val="clear" w:color="auto" w:fill="0B3C61"/>
          </w:tcPr>
          <w:p>
            <w:pPr>
              <w:spacing w:after="0"/>
              <w:rPr>
                <w:sz w:val="15"/>
                <w:szCs w:val="15"/>
                <w:color w:val="auto"/>
              </w:rPr>
            </w:pPr>
          </w:p>
        </w:tc>
        <w:tc>
          <w:tcPr>
            <w:tcW w:w="840" w:type="dxa"/>
            <w:vAlign w:val="bottom"/>
            <w:shd w:val="clear" w:color="auto" w:fill="0B3C61"/>
          </w:tcPr>
          <w:p>
            <w:pPr>
              <w:spacing w:after="0"/>
              <w:rPr>
                <w:sz w:val="15"/>
                <w:szCs w:val="15"/>
                <w:color w:val="auto"/>
              </w:rPr>
            </w:pPr>
          </w:p>
        </w:tc>
        <w:tc>
          <w:tcPr>
            <w:tcW w:w="122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Compensation</w:t>
            </w:r>
          </w:p>
        </w:tc>
        <w:tc>
          <w:tcPr>
            <w:tcW w:w="122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Average</w:t>
            </w:r>
          </w:p>
        </w:tc>
        <w:tc>
          <w:tcPr>
            <w:tcW w:w="460" w:type="dxa"/>
            <w:vAlign w:val="bottom"/>
            <w:shd w:val="clear" w:color="auto" w:fill="0B3C61"/>
          </w:tcPr>
          <w:p>
            <w:pPr>
              <w:spacing w:after="0"/>
              <w:rPr>
                <w:sz w:val="15"/>
                <w:szCs w:val="15"/>
                <w:color w:val="auto"/>
              </w:rPr>
            </w:pPr>
          </w:p>
        </w:tc>
        <w:tc>
          <w:tcPr>
            <w:tcW w:w="440" w:type="dxa"/>
            <w:vAlign w:val="bottom"/>
            <w:shd w:val="clear" w:color="auto" w:fill="0B3C61"/>
          </w:tcPr>
          <w:p>
            <w:pPr>
              <w:spacing w:after="0"/>
              <w:rPr>
                <w:sz w:val="15"/>
                <w:szCs w:val="15"/>
                <w:color w:val="auto"/>
              </w:rPr>
            </w:pPr>
          </w:p>
        </w:tc>
        <w:tc>
          <w:tcPr>
            <w:tcW w:w="900" w:type="dxa"/>
            <w:vAlign w:val="bottom"/>
            <w:gridSpan w:val="2"/>
            <w:shd w:val="clear" w:color="auto" w:fill="0B3C61"/>
          </w:tcPr>
          <w:p>
            <w:pPr>
              <w:jc w:val="center"/>
              <w:spacing w:after="0" w:line="175" w:lineRule="exact"/>
              <w:rPr>
                <w:sz w:val="20"/>
                <w:szCs w:val="20"/>
                <w:color w:val="auto"/>
              </w:rPr>
            </w:pPr>
            <w:r>
              <w:rPr>
                <w:rFonts w:ascii="Arial" w:cs="Arial" w:eastAsia="Arial" w:hAnsi="Arial"/>
                <w:sz w:val="13"/>
                <w:szCs w:val="13"/>
                <w:color w:val="FFFFFF"/>
              </w:rPr>
              <w:t>Group</w:t>
            </w:r>
            <w:r>
              <w:rPr>
                <w:rFonts w:ascii="Arial" w:cs="Arial" w:eastAsia="Arial" w:hAnsi="Arial"/>
                <w:sz w:val="20"/>
                <w:szCs w:val="20"/>
                <w:color w:val="FFFFFF"/>
                <w:vertAlign w:val="superscript"/>
              </w:rPr>
              <w:t>(4)</w:t>
            </w:r>
          </w:p>
        </w:tc>
        <w:tc>
          <w:tcPr>
            <w:tcW w:w="780" w:type="dxa"/>
            <w:vAlign w:val="bottom"/>
            <w:shd w:val="clear" w:color="auto" w:fill="0B3C61"/>
          </w:tcPr>
          <w:p>
            <w:pPr>
              <w:spacing w:after="0"/>
              <w:rPr>
                <w:sz w:val="15"/>
                <w:szCs w:val="15"/>
                <w:color w:val="auto"/>
              </w:rPr>
            </w:pPr>
          </w:p>
        </w:tc>
        <w:tc>
          <w:tcPr>
            <w:tcW w:w="600" w:type="dxa"/>
            <w:vAlign w:val="bottom"/>
            <w:shd w:val="clear" w:color="auto" w:fill="0B3C61"/>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40" w:type="dxa"/>
            <w:vAlign w:val="bottom"/>
            <w:shd w:val="clear" w:color="auto" w:fill="0B3C61"/>
          </w:tcPr>
          <w:p>
            <w:pPr>
              <w:spacing w:after="0"/>
              <w:rPr>
                <w:sz w:val="14"/>
                <w:szCs w:val="14"/>
                <w:color w:val="auto"/>
              </w:rPr>
            </w:pPr>
          </w:p>
        </w:tc>
        <w:tc>
          <w:tcPr>
            <w:tcW w:w="800" w:type="dxa"/>
            <w:vAlign w:val="bottom"/>
            <w:shd w:val="clear" w:color="auto" w:fill="0B3C61"/>
          </w:tcPr>
          <w:p>
            <w:pPr>
              <w:spacing w:after="0"/>
              <w:rPr>
                <w:sz w:val="14"/>
                <w:szCs w:val="14"/>
                <w:color w:val="auto"/>
              </w:rPr>
            </w:pPr>
          </w:p>
        </w:tc>
        <w:tc>
          <w:tcPr>
            <w:tcW w:w="760" w:type="dxa"/>
            <w:vAlign w:val="bottom"/>
            <w:shd w:val="clear" w:color="auto" w:fill="0B3C61"/>
          </w:tcPr>
          <w:p>
            <w:pPr>
              <w:spacing w:after="0"/>
              <w:rPr>
                <w:sz w:val="14"/>
                <w:szCs w:val="14"/>
                <w:color w:val="auto"/>
              </w:rPr>
            </w:pPr>
          </w:p>
        </w:tc>
        <w:tc>
          <w:tcPr>
            <w:tcW w:w="840" w:type="dxa"/>
            <w:vAlign w:val="bottom"/>
            <w:shd w:val="clear" w:color="auto" w:fill="0B3C61"/>
          </w:tcPr>
          <w:p>
            <w:pPr>
              <w:spacing w:after="0"/>
              <w:rPr>
                <w:sz w:val="14"/>
                <w:szCs w:val="14"/>
                <w:color w:val="auto"/>
              </w:rPr>
            </w:pPr>
          </w:p>
        </w:tc>
        <w:tc>
          <w:tcPr>
            <w:tcW w:w="840" w:type="dxa"/>
            <w:vAlign w:val="bottom"/>
            <w:shd w:val="clear" w:color="auto" w:fill="0B3C61"/>
          </w:tcPr>
          <w:p>
            <w:pPr>
              <w:spacing w:after="0"/>
              <w:rPr>
                <w:sz w:val="14"/>
                <w:szCs w:val="14"/>
                <w:color w:val="auto"/>
              </w:rPr>
            </w:pPr>
          </w:p>
        </w:tc>
        <w:tc>
          <w:tcPr>
            <w:tcW w:w="1220" w:type="dxa"/>
            <w:vAlign w:val="bottom"/>
            <w:shd w:val="clear" w:color="auto" w:fill="0B3C61"/>
          </w:tcPr>
          <w:p>
            <w:pPr>
              <w:jc w:val="center"/>
              <w:spacing w:after="0"/>
              <w:rPr>
                <w:sz w:val="20"/>
                <w:szCs w:val="20"/>
                <w:color w:val="auto"/>
              </w:rPr>
            </w:pPr>
            <w:r>
              <w:rPr>
                <w:rFonts w:ascii="Arial" w:cs="Arial" w:eastAsia="Arial" w:hAnsi="Arial"/>
                <w:sz w:val="14"/>
                <w:szCs w:val="14"/>
                <w:color w:val="FFFFFF"/>
                <w:w w:val="99"/>
              </w:rPr>
              <w:t>Table Total</w:t>
            </w:r>
          </w:p>
        </w:tc>
        <w:tc>
          <w:tcPr>
            <w:tcW w:w="122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Compensation</w:t>
            </w:r>
          </w:p>
        </w:tc>
        <w:tc>
          <w:tcPr>
            <w:tcW w:w="900" w:type="dxa"/>
            <w:vAlign w:val="bottom"/>
            <w:gridSpan w:val="2"/>
            <w:shd w:val="clear" w:color="auto" w:fill="0B3C61"/>
          </w:tcPr>
          <w:p>
            <w:pPr>
              <w:jc w:val="center"/>
              <w:spacing w:after="0"/>
              <w:rPr>
                <w:sz w:val="20"/>
                <w:szCs w:val="20"/>
                <w:color w:val="auto"/>
              </w:rPr>
            </w:pPr>
            <w:r>
              <w:rPr>
                <w:rFonts w:ascii="Arial" w:cs="Arial" w:eastAsia="Arial" w:hAnsi="Arial"/>
                <w:sz w:val="14"/>
                <w:szCs w:val="14"/>
                <w:color w:val="FFFFFF"/>
                <w:w w:val="96"/>
              </w:rPr>
              <w:t>Total</w:t>
            </w:r>
          </w:p>
        </w:tc>
        <w:tc>
          <w:tcPr>
            <w:tcW w:w="900" w:type="dxa"/>
            <w:vAlign w:val="bottom"/>
            <w:gridSpan w:val="2"/>
            <w:shd w:val="clear" w:color="auto" w:fill="0B3C61"/>
          </w:tcPr>
          <w:p>
            <w:pPr>
              <w:jc w:val="center"/>
              <w:spacing w:after="0"/>
              <w:rPr>
                <w:sz w:val="20"/>
                <w:szCs w:val="20"/>
                <w:color w:val="auto"/>
              </w:rPr>
            </w:pPr>
            <w:r>
              <w:rPr>
                <w:rFonts w:ascii="Arial" w:cs="Arial" w:eastAsia="Arial" w:hAnsi="Arial"/>
                <w:sz w:val="14"/>
                <w:szCs w:val="14"/>
                <w:color w:val="FFFFFF"/>
                <w:w w:val="96"/>
              </w:rPr>
              <w:t>Total</w:t>
            </w:r>
          </w:p>
        </w:tc>
        <w:tc>
          <w:tcPr>
            <w:tcW w:w="78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Net</w:t>
            </w:r>
          </w:p>
        </w:tc>
        <w:tc>
          <w:tcPr>
            <w:tcW w:w="600" w:type="dxa"/>
            <w:vAlign w:val="bottom"/>
            <w:shd w:val="clear" w:color="auto" w:fill="0B3C6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 w:type="dxa"/>
            <w:vAlign w:val="bottom"/>
            <w:shd w:val="clear" w:color="auto" w:fill="0B3C61"/>
          </w:tcPr>
          <w:p>
            <w:pPr>
              <w:spacing w:after="0"/>
              <w:rPr>
                <w:sz w:val="14"/>
                <w:szCs w:val="14"/>
                <w:color w:val="auto"/>
              </w:rPr>
            </w:pPr>
          </w:p>
        </w:tc>
        <w:tc>
          <w:tcPr>
            <w:tcW w:w="800" w:type="dxa"/>
            <w:vAlign w:val="bottom"/>
            <w:shd w:val="clear" w:color="auto" w:fill="0B3C61"/>
          </w:tcPr>
          <w:p>
            <w:pPr>
              <w:spacing w:after="0"/>
              <w:rPr>
                <w:sz w:val="14"/>
                <w:szCs w:val="14"/>
                <w:color w:val="auto"/>
              </w:rPr>
            </w:pPr>
          </w:p>
        </w:tc>
        <w:tc>
          <w:tcPr>
            <w:tcW w:w="760" w:type="dxa"/>
            <w:vAlign w:val="bottom"/>
            <w:shd w:val="clear" w:color="auto" w:fill="0B3C61"/>
          </w:tcPr>
          <w:p>
            <w:pPr>
              <w:spacing w:after="0"/>
              <w:rPr>
                <w:sz w:val="14"/>
                <w:szCs w:val="14"/>
                <w:color w:val="auto"/>
              </w:rPr>
            </w:pPr>
          </w:p>
        </w:tc>
        <w:tc>
          <w:tcPr>
            <w:tcW w:w="840" w:type="dxa"/>
            <w:vAlign w:val="bottom"/>
            <w:shd w:val="clear" w:color="auto" w:fill="0B3C61"/>
          </w:tcPr>
          <w:p>
            <w:pPr>
              <w:spacing w:after="0"/>
              <w:rPr>
                <w:sz w:val="14"/>
                <w:szCs w:val="14"/>
                <w:color w:val="auto"/>
              </w:rPr>
            </w:pPr>
          </w:p>
        </w:tc>
        <w:tc>
          <w:tcPr>
            <w:tcW w:w="840" w:type="dxa"/>
            <w:vAlign w:val="bottom"/>
            <w:shd w:val="clear" w:color="auto" w:fill="0B3C61"/>
          </w:tcPr>
          <w:p>
            <w:pPr>
              <w:spacing w:after="0"/>
              <w:rPr>
                <w:sz w:val="14"/>
                <w:szCs w:val="14"/>
                <w:color w:val="auto"/>
              </w:rPr>
            </w:pPr>
          </w:p>
        </w:tc>
        <w:tc>
          <w:tcPr>
            <w:tcW w:w="122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Compensation</w:t>
            </w:r>
          </w:p>
        </w:tc>
        <w:tc>
          <w:tcPr>
            <w:tcW w:w="122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Actually Paid to</w:t>
            </w:r>
          </w:p>
        </w:tc>
        <w:tc>
          <w:tcPr>
            <w:tcW w:w="900" w:type="dxa"/>
            <w:vAlign w:val="bottom"/>
            <w:gridSpan w:val="2"/>
            <w:shd w:val="clear" w:color="auto" w:fill="0B3C61"/>
          </w:tcPr>
          <w:p>
            <w:pPr>
              <w:jc w:val="center"/>
              <w:spacing w:after="0"/>
              <w:rPr>
                <w:sz w:val="20"/>
                <w:szCs w:val="20"/>
                <w:color w:val="auto"/>
              </w:rPr>
            </w:pPr>
            <w:r>
              <w:rPr>
                <w:rFonts w:ascii="Arial" w:cs="Arial" w:eastAsia="Arial" w:hAnsi="Arial"/>
                <w:sz w:val="14"/>
                <w:szCs w:val="14"/>
                <w:color w:val="FFFFFF"/>
              </w:rPr>
              <w:t>Shareholder</w:t>
            </w:r>
          </w:p>
        </w:tc>
        <w:tc>
          <w:tcPr>
            <w:tcW w:w="900" w:type="dxa"/>
            <w:vAlign w:val="bottom"/>
            <w:gridSpan w:val="2"/>
            <w:shd w:val="clear" w:color="auto" w:fill="0B3C61"/>
          </w:tcPr>
          <w:p>
            <w:pPr>
              <w:jc w:val="center"/>
              <w:spacing w:after="0"/>
              <w:rPr>
                <w:sz w:val="20"/>
                <w:szCs w:val="20"/>
                <w:color w:val="auto"/>
              </w:rPr>
            </w:pPr>
            <w:r>
              <w:rPr>
                <w:rFonts w:ascii="Arial" w:cs="Arial" w:eastAsia="Arial" w:hAnsi="Arial"/>
                <w:sz w:val="14"/>
                <w:szCs w:val="14"/>
                <w:color w:val="FFFFFF"/>
              </w:rPr>
              <w:t>Shareholder</w:t>
            </w:r>
          </w:p>
        </w:tc>
        <w:tc>
          <w:tcPr>
            <w:tcW w:w="780" w:type="dxa"/>
            <w:vAlign w:val="bottom"/>
            <w:shd w:val="clear" w:color="auto" w:fill="0B3C61"/>
          </w:tcPr>
          <w:p>
            <w:pPr>
              <w:jc w:val="center"/>
              <w:spacing w:after="0" w:line="162" w:lineRule="exact"/>
              <w:rPr>
                <w:sz w:val="20"/>
                <w:szCs w:val="20"/>
                <w:color w:val="auto"/>
              </w:rPr>
            </w:pPr>
            <w:r>
              <w:rPr>
                <w:rFonts w:ascii="Arial" w:cs="Arial" w:eastAsia="Arial" w:hAnsi="Arial"/>
                <w:sz w:val="12"/>
                <w:szCs w:val="12"/>
                <w:color w:val="FFFFFF"/>
              </w:rPr>
              <w:t>Income</w:t>
            </w:r>
            <w:r>
              <w:rPr>
                <w:rFonts w:ascii="Arial" w:cs="Arial" w:eastAsia="Arial" w:hAnsi="Arial"/>
                <w:sz w:val="18"/>
                <w:szCs w:val="18"/>
                <w:color w:val="FFFFFF"/>
                <w:vertAlign w:val="superscript"/>
              </w:rPr>
              <w:t>(5)</w:t>
            </w:r>
          </w:p>
        </w:tc>
        <w:tc>
          <w:tcPr>
            <w:tcW w:w="600" w:type="dxa"/>
            <w:vAlign w:val="bottom"/>
            <w:shd w:val="clear" w:color="auto" w:fill="0B3C61"/>
          </w:tcPr>
          <w:p>
            <w:pPr>
              <w:ind w:left="80"/>
              <w:spacing w:after="0"/>
              <w:rPr>
                <w:sz w:val="20"/>
                <w:szCs w:val="20"/>
                <w:color w:val="auto"/>
              </w:rPr>
            </w:pPr>
            <w:r>
              <w:rPr>
                <w:rFonts w:ascii="Arial" w:cs="Arial" w:eastAsia="Arial" w:hAnsi="Arial"/>
                <w:sz w:val="14"/>
                <w:szCs w:val="14"/>
                <w:color w:val="FFFFFF"/>
              </w:rPr>
              <w:t>Core</w:t>
            </w:r>
          </w:p>
        </w:tc>
        <w:tc>
          <w:tcPr>
            <w:tcW w:w="0" w:type="dxa"/>
            <w:vAlign w:val="bottom"/>
          </w:tcPr>
          <w:p>
            <w:pPr>
              <w:spacing w:after="0"/>
              <w:rPr>
                <w:sz w:val="1"/>
                <w:szCs w:val="1"/>
                <w:color w:val="auto"/>
              </w:rPr>
            </w:pPr>
          </w:p>
        </w:tc>
      </w:tr>
      <w:tr>
        <w:trPr>
          <w:trHeight w:val="162"/>
        </w:trPr>
        <w:tc>
          <w:tcPr>
            <w:tcW w:w="540" w:type="dxa"/>
            <w:vAlign w:val="bottom"/>
            <w:shd w:val="clear" w:color="auto" w:fill="0B3C61"/>
          </w:tcPr>
          <w:p>
            <w:pPr>
              <w:spacing w:after="0"/>
              <w:rPr>
                <w:sz w:val="14"/>
                <w:szCs w:val="14"/>
                <w:color w:val="auto"/>
              </w:rPr>
            </w:pPr>
          </w:p>
        </w:tc>
        <w:tc>
          <w:tcPr>
            <w:tcW w:w="80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Carl H.</w:t>
            </w:r>
          </w:p>
        </w:tc>
        <w:tc>
          <w:tcPr>
            <w:tcW w:w="76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S. Craig</w:t>
            </w:r>
          </w:p>
        </w:tc>
        <w:tc>
          <w:tcPr>
            <w:tcW w:w="840" w:type="dxa"/>
            <w:vAlign w:val="bottom"/>
            <w:shd w:val="clear" w:color="auto" w:fill="0B3C61"/>
          </w:tcPr>
          <w:p>
            <w:pPr>
              <w:jc w:val="right"/>
              <w:ind w:right="108"/>
              <w:spacing w:after="0"/>
              <w:rPr>
                <w:sz w:val="20"/>
                <w:szCs w:val="20"/>
                <w:color w:val="auto"/>
              </w:rPr>
            </w:pPr>
            <w:r>
              <w:rPr>
                <w:rFonts w:ascii="Arial" w:cs="Arial" w:eastAsia="Arial" w:hAnsi="Arial"/>
                <w:sz w:val="14"/>
                <w:szCs w:val="14"/>
                <w:color w:val="FFFFFF"/>
              </w:rPr>
              <w:t>Carl H.</w:t>
            </w:r>
          </w:p>
        </w:tc>
        <w:tc>
          <w:tcPr>
            <w:tcW w:w="84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S. Craig</w:t>
            </w:r>
          </w:p>
        </w:tc>
        <w:tc>
          <w:tcPr>
            <w:tcW w:w="122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for Other NEOs</w:t>
            </w:r>
          </w:p>
        </w:tc>
        <w:tc>
          <w:tcPr>
            <w:tcW w:w="1220" w:type="dxa"/>
            <w:vAlign w:val="bottom"/>
            <w:shd w:val="clear" w:color="auto" w:fill="0B3C61"/>
          </w:tcPr>
          <w:p>
            <w:pPr>
              <w:ind w:left="200"/>
              <w:spacing w:after="0"/>
              <w:rPr>
                <w:sz w:val="20"/>
                <w:szCs w:val="20"/>
                <w:color w:val="auto"/>
              </w:rPr>
            </w:pPr>
            <w:r>
              <w:rPr>
                <w:rFonts w:ascii="Arial" w:cs="Arial" w:eastAsia="Arial" w:hAnsi="Arial"/>
                <w:sz w:val="14"/>
                <w:szCs w:val="14"/>
                <w:color w:val="FFFFFF"/>
              </w:rPr>
              <w:t>Other NEOs</w:t>
            </w:r>
          </w:p>
        </w:tc>
        <w:tc>
          <w:tcPr>
            <w:tcW w:w="900" w:type="dxa"/>
            <w:vAlign w:val="bottom"/>
            <w:gridSpan w:val="2"/>
            <w:shd w:val="clear" w:color="auto" w:fill="0B3C61"/>
          </w:tcPr>
          <w:p>
            <w:pPr>
              <w:ind w:left="240"/>
              <w:spacing w:after="0"/>
              <w:rPr>
                <w:sz w:val="20"/>
                <w:szCs w:val="20"/>
                <w:color w:val="auto"/>
              </w:rPr>
            </w:pPr>
            <w:r>
              <w:rPr>
                <w:rFonts w:ascii="Arial" w:cs="Arial" w:eastAsia="Arial" w:hAnsi="Arial"/>
                <w:sz w:val="14"/>
                <w:szCs w:val="14"/>
                <w:color w:val="FFFFFF"/>
              </w:rPr>
              <w:t>Return</w:t>
            </w:r>
          </w:p>
        </w:tc>
        <w:tc>
          <w:tcPr>
            <w:tcW w:w="900" w:type="dxa"/>
            <w:vAlign w:val="bottom"/>
            <w:gridSpan w:val="2"/>
            <w:shd w:val="clear" w:color="auto" w:fill="0B3C61"/>
          </w:tcPr>
          <w:p>
            <w:pPr>
              <w:jc w:val="center"/>
              <w:spacing w:after="0"/>
              <w:rPr>
                <w:sz w:val="20"/>
                <w:szCs w:val="20"/>
                <w:color w:val="auto"/>
              </w:rPr>
            </w:pPr>
            <w:r>
              <w:rPr>
                <w:rFonts w:ascii="Arial" w:cs="Arial" w:eastAsia="Arial" w:hAnsi="Arial"/>
                <w:sz w:val="14"/>
                <w:szCs w:val="14"/>
                <w:color w:val="FFFFFF"/>
                <w:w w:val="99"/>
              </w:rPr>
              <w:t>Return</w:t>
            </w:r>
          </w:p>
        </w:tc>
        <w:tc>
          <w:tcPr>
            <w:tcW w:w="78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(millions)</w:t>
            </w:r>
          </w:p>
        </w:tc>
        <w:tc>
          <w:tcPr>
            <w:tcW w:w="600" w:type="dxa"/>
            <w:vAlign w:val="bottom"/>
            <w:shd w:val="clear" w:color="auto" w:fill="0B3C61"/>
          </w:tcPr>
          <w:p>
            <w:pPr>
              <w:ind w:left="80"/>
              <w:spacing w:after="0"/>
              <w:rPr>
                <w:sz w:val="20"/>
                <w:szCs w:val="20"/>
                <w:color w:val="auto"/>
              </w:rPr>
            </w:pPr>
            <w:r>
              <w:rPr>
                <w:rFonts w:ascii="Arial" w:cs="Arial" w:eastAsia="Arial" w:hAnsi="Arial"/>
                <w:sz w:val="14"/>
                <w:szCs w:val="14"/>
                <w:color w:val="FFFFFF"/>
              </w:rPr>
              <w:t>EPS</w:t>
            </w:r>
          </w:p>
        </w:tc>
        <w:tc>
          <w:tcPr>
            <w:tcW w:w="0" w:type="dxa"/>
            <w:vAlign w:val="bottom"/>
          </w:tcPr>
          <w:p>
            <w:pPr>
              <w:spacing w:after="0"/>
              <w:rPr>
                <w:sz w:val="1"/>
                <w:szCs w:val="1"/>
                <w:color w:val="auto"/>
              </w:rPr>
            </w:pPr>
          </w:p>
        </w:tc>
      </w:tr>
      <w:tr>
        <w:trPr>
          <w:trHeight w:val="270"/>
        </w:trPr>
        <w:tc>
          <w:tcPr>
            <w:tcW w:w="540" w:type="dxa"/>
            <w:vAlign w:val="bottom"/>
            <w:shd w:val="clear" w:color="auto" w:fill="0B3C61"/>
          </w:tcPr>
          <w:p>
            <w:pPr>
              <w:ind w:left="160"/>
              <w:spacing w:after="0"/>
              <w:rPr>
                <w:sz w:val="20"/>
                <w:szCs w:val="20"/>
                <w:color w:val="auto"/>
              </w:rPr>
            </w:pPr>
            <w:r>
              <w:rPr>
                <w:rFonts w:ascii="Arial" w:cs="Arial" w:eastAsia="Arial" w:hAnsi="Arial"/>
                <w:sz w:val="14"/>
                <w:szCs w:val="14"/>
                <w:color w:val="FFFFFF"/>
              </w:rPr>
              <w:t>Year</w:t>
            </w:r>
          </w:p>
        </w:tc>
        <w:tc>
          <w:tcPr>
            <w:tcW w:w="80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Lindner III</w:t>
            </w:r>
          </w:p>
        </w:tc>
        <w:tc>
          <w:tcPr>
            <w:tcW w:w="76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Lindner</w:t>
            </w:r>
          </w:p>
        </w:tc>
        <w:tc>
          <w:tcPr>
            <w:tcW w:w="840" w:type="dxa"/>
            <w:vAlign w:val="bottom"/>
            <w:shd w:val="clear" w:color="auto" w:fill="0B3C61"/>
          </w:tcPr>
          <w:p>
            <w:pPr>
              <w:jc w:val="right"/>
              <w:ind w:right="8"/>
              <w:spacing w:after="0"/>
              <w:rPr>
                <w:sz w:val="20"/>
                <w:szCs w:val="20"/>
                <w:color w:val="auto"/>
              </w:rPr>
            </w:pPr>
            <w:r>
              <w:rPr>
                <w:rFonts w:ascii="Arial" w:cs="Arial" w:eastAsia="Arial" w:hAnsi="Arial"/>
                <w:sz w:val="14"/>
                <w:szCs w:val="14"/>
                <w:color w:val="FFFFFF"/>
              </w:rPr>
              <w:t>Lindner III</w:t>
            </w:r>
          </w:p>
        </w:tc>
        <w:tc>
          <w:tcPr>
            <w:tcW w:w="84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Lindner</w:t>
            </w:r>
          </w:p>
        </w:tc>
        <w:tc>
          <w:tcPr>
            <w:tcW w:w="1220" w:type="dxa"/>
            <w:vAlign w:val="bottom"/>
            <w:shd w:val="clear" w:color="auto" w:fill="0B3C61"/>
          </w:tcPr>
          <w:p>
            <w:pPr>
              <w:jc w:val="center"/>
              <w:spacing w:after="0"/>
              <w:rPr>
                <w:sz w:val="20"/>
                <w:szCs w:val="20"/>
                <w:color w:val="auto"/>
              </w:rPr>
            </w:pPr>
            <w:r>
              <w:rPr>
                <w:rFonts w:ascii="Arial" w:cs="Arial" w:eastAsia="Arial" w:hAnsi="Arial"/>
                <w:sz w:val="14"/>
                <w:szCs w:val="14"/>
                <w:color w:val="FFFFFF"/>
                <w:w w:val="89"/>
              </w:rPr>
              <w:t>($)</w:t>
            </w:r>
            <w:r>
              <w:rPr>
                <w:rFonts w:ascii="Arial" w:cs="Arial" w:eastAsia="Arial" w:hAnsi="Arial"/>
                <w:sz w:val="23"/>
                <w:szCs w:val="23"/>
                <w:color w:val="FFFFFF"/>
                <w:w w:val="89"/>
                <w:vertAlign w:val="superscript"/>
              </w:rPr>
              <w:t>(3)</w:t>
            </w:r>
          </w:p>
        </w:tc>
        <w:tc>
          <w:tcPr>
            <w:tcW w:w="1220" w:type="dxa"/>
            <w:vAlign w:val="bottom"/>
            <w:shd w:val="clear" w:color="auto" w:fill="0B3C61"/>
          </w:tcPr>
          <w:p>
            <w:pPr>
              <w:jc w:val="center"/>
              <w:spacing w:after="0"/>
              <w:rPr>
                <w:sz w:val="20"/>
                <w:szCs w:val="20"/>
                <w:color w:val="auto"/>
              </w:rPr>
            </w:pPr>
            <w:r>
              <w:rPr>
                <w:rFonts w:ascii="Arial" w:cs="Arial" w:eastAsia="Arial" w:hAnsi="Arial"/>
                <w:sz w:val="14"/>
                <w:szCs w:val="14"/>
                <w:color w:val="FFFFFF"/>
                <w:w w:val="89"/>
              </w:rPr>
              <w:t>($)</w:t>
            </w:r>
            <w:r>
              <w:rPr>
                <w:rFonts w:ascii="Arial" w:cs="Arial" w:eastAsia="Arial" w:hAnsi="Arial"/>
                <w:sz w:val="23"/>
                <w:szCs w:val="23"/>
                <w:color w:val="FFFFFF"/>
                <w:w w:val="89"/>
                <w:vertAlign w:val="superscript"/>
              </w:rPr>
              <w:t>(2)</w:t>
            </w:r>
          </w:p>
        </w:tc>
        <w:tc>
          <w:tcPr>
            <w:tcW w:w="900" w:type="dxa"/>
            <w:vAlign w:val="bottom"/>
            <w:gridSpan w:val="2"/>
            <w:shd w:val="clear" w:color="auto" w:fill="0B3C61"/>
          </w:tcPr>
          <w:p>
            <w:pPr>
              <w:jc w:val="center"/>
              <w:spacing w:after="0"/>
              <w:rPr>
                <w:sz w:val="20"/>
                <w:szCs w:val="20"/>
                <w:color w:val="auto"/>
              </w:rPr>
            </w:pPr>
            <w:r>
              <w:rPr>
                <w:rFonts w:ascii="Arial" w:cs="Arial" w:eastAsia="Arial" w:hAnsi="Arial"/>
                <w:sz w:val="14"/>
                <w:szCs w:val="14"/>
                <w:color w:val="FFFFFF"/>
              </w:rPr>
              <w:t>($)</w:t>
            </w:r>
          </w:p>
        </w:tc>
        <w:tc>
          <w:tcPr>
            <w:tcW w:w="900" w:type="dxa"/>
            <w:vAlign w:val="bottom"/>
            <w:gridSpan w:val="2"/>
            <w:shd w:val="clear" w:color="auto" w:fill="0B3C61"/>
          </w:tcPr>
          <w:p>
            <w:pPr>
              <w:jc w:val="center"/>
              <w:spacing w:after="0"/>
              <w:rPr>
                <w:sz w:val="20"/>
                <w:szCs w:val="20"/>
                <w:color w:val="auto"/>
              </w:rPr>
            </w:pPr>
            <w:r>
              <w:rPr>
                <w:rFonts w:ascii="Arial" w:cs="Arial" w:eastAsia="Arial" w:hAnsi="Arial"/>
                <w:sz w:val="14"/>
                <w:szCs w:val="14"/>
                <w:color w:val="FFFFFF"/>
              </w:rPr>
              <w:t>($)</w:t>
            </w:r>
          </w:p>
        </w:tc>
        <w:tc>
          <w:tcPr>
            <w:tcW w:w="780" w:type="dxa"/>
            <w:vAlign w:val="bottom"/>
            <w:shd w:val="clear" w:color="auto" w:fill="0B3C61"/>
          </w:tcPr>
          <w:p>
            <w:pPr>
              <w:jc w:val="center"/>
              <w:spacing w:after="0"/>
              <w:rPr>
                <w:sz w:val="20"/>
                <w:szCs w:val="20"/>
                <w:color w:val="auto"/>
              </w:rPr>
            </w:pPr>
            <w:r>
              <w:rPr>
                <w:rFonts w:ascii="Arial" w:cs="Arial" w:eastAsia="Arial" w:hAnsi="Arial"/>
                <w:sz w:val="14"/>
                <w:szCs w:val="14"/>
                <w:color w:val="FFFFFF"/>
              </w:rPr>
              <w:t>($)</w:t>
            </w:r>
          </w:p>
        </w:tc>
        <w:tc>
          <w:tcPr>
            <w:tcW w:w="600" w:type="dxa"/>
            <w:vAlign w:val="bottom"/>
            <w:shd w:val="clear" w:color="auto" w:fill="0B3C61"/>
          </w:tcPr>
          <w:p>
            <w:pPr>
              <w:jc w:val="center"/>
              <w:ind w:right="28"/>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66"/>
        </w:trPr>
        <w:tc>
          <w:tcPr>
            <w:tcW w:w="540" w:type="dxa"/>
            <w:vAlign w:val="bottom"/>
          </w:tcPr>
          <w:p>
            <w:pPr>
              <w:ind w:left="140"/>
              <w:spacing w:after="0"/>
              <w:rPr>
                <w:sz w:val="20"/>
                <w:szCs w:val="20"/>
                <w:color w:val="auto"/>
              </w:rPr>
            </w:pPr>
            <w:r>
              <w:rPr>
                <w:rFonts w:ascii="Arial" w:cs="Arial" w:eastAsia="Arial" w:hAnsi="Arial"/>
                <w:sz w:val="14"/>
                <w:szCs w:val="14"/>
                <w:color w:val="54565B"/>
              </w:rPr>
              <w:t>2025</w:t>
            </w:r>
          </w:p>
        </w:tc>
        <w:tc>
          <w:tcPr>
            <w:tcW w:w="800" w:type="dxa"/>
            <w:vAlign w:val="bottom"/>
          </w:tcPr>
          <w:p>
            <w:pPr>
              <w:jc w:val="center"/>
              <w:spacing w:after="0"/>
              <w:rPr>
                <w:sz w:val="20"/>
                <w:szCs w:val="20"/>
                <w:color w:val="auto"/>
              </w:rPr>
            </w:pPr>
            <w:r>
              <w:rPr>
                <w:rFonts w:ascii="Arial" w:cs="Arial" w:eastAsia="Arial" w:hAnsi="Arial"/>
                <w:sz w:val="14"/>
                <w:szCs w:val="14"/>
                <w:color w:val="54565B"/>
              </w:rPr>
              <w:t>11,042,543</w:t>
            </w:r>
          </w:p>
        </w:tc>
        <w:tc>
          <w:tcPr>
            <w:tcW w:w="760" w:type="dxa"/>
            <w:vAlign w:val="bottom"/>
          </w:tcPr>
          <w:p>
            <w:pPr>
              <w:jc w:val="center"/>
              <w:spacing w:after="0"/>
              <w:rPr>
                <w:sz w:val="20"/>
                <w:szCs w:val="20"/>
                <w:color w:val="auto"/>
              </w:rPr>
            </w:pPr>
            <w:r>
              <w:rPr>
                <w:rFonts w:ascii="Arial" w:cs="Arial" w:eastAsia="Arial" w:hAnsi="Arial"/>
                <w:sz w:val="14"/>
                <w:szCs w:val="14"/>
                <w:color w:val="54565B"/>
              </w:rPr>
              <w:t>11,148,296</w:t>
            </w:r>
          </w:p>
        </w:tc>
        <w:tc>
          <w:tcPr>
            <w:tcW w:w="840" w:type="dxa"/>
            <w:vAlign w:val="bottom"/>
          </w:tcPr>
          <w:p>
            <w:pPr>
              <w:jc w:val="center"/>
              <w:spacing w:after="0"/>
              <w:rPr>
                <w:sz w:val="20"/>
                <w:szCs w:val="20"/>
                <w:color w:val="auto"/>
              </w:rPr>
            </w:pPr>
            <w:r>
              <w:rPr>
                <w:rFonts w:ascii="Arial" w:cs="Arial" w:eastAsia="Arial" w:hAnsi="Arial"/>
                <w:sz w:val="14"/>
                <w:szCs w:val="14"/>
                <w:color w:val="54565B"/>
              </w:rPr>
              <w:t>11,330,815</w:t>
            </w:r>
          </w:p>
        </w:tc>
        <w:tc>
          <w:tcPr>
            <w:tcW w:w="840" w:type="dxa"/>
            <w:vAlign w:val="bottom"/>
          </w:tcPr>
          <w:p>
            <w:pPr>
              <w:jc w:val="center"/>
              <w:spacing w:after="0"/>
              <w:rPr>
                <w:sz w:val="20"/>
                <w:szCs w:val="20"/>
                <w:color w:val="auto"/>
              </w:rPr>
            </w:pPr>
            <w:r>
              <w:rPr>
                <w:rFonts w:ascii="Arial" w:cs="Arial" w:eastAsia="Arial" w:hAnsi="Arial"/>
                <w:sz w:val="14"/>
                <w:szCs w:val="14"/>
                <w:color w:val="54565B"/>
                <w:w w:val="99"/>
              </w:rPr>
              <w:t>11,436,568</w:t>
            </w:r>
          </w:p>
        </w:tc>
        <w:tc>
          <w:tcPr>
            <w:tcW w:w="1220" w:type="dxa"/>
            <w:vAlign w:val="bottom"/>
          </w:tcPr>
          <w:p>
            <w:pPr>
              <w:jc w:val="center"/>
              <w:spacing w:after="0"/>
              <w:rPr>
                <w:sz w:val="20"/>
                <w:szCs w:val="20"/>
                <w:color w:val="auto"/>
              </w:rPr>
            </w:pPr>
            <w:r>
              <w:rPr>
                <w:rFonts w:ascii="Arial" w:cs="Arial" w:eastAsia="Arial" w:hAnsi="Arial"/>
                <w:sz w:val="14"/>
                <w:szCs w:val="14"/>
                <w:color w:val="54565B"/>
              </w:rPr>
              <w:t>3,172,454</w:t>
            </w:r>
          </w:p>
        </w:tc>
        <w:tc>
          <w:tcPr>
            <w:tcW w:w="1220" w:type="dxa"/>
            <w:vAlign w:val="bottom"/>
          </w:tcPr>
          <w:p>
            <w:pPr>
              <w:jc w:val="center"/>
              <w:spacing w:after="0"/>
              <w:rPr>
                <w:sz w:val="20"/>
                <w:szCs w:val="20"/>
                <w:color w:val="auto"/>
              </w:rPr>
            </w:pPr>
            <w:r>
              <w:rPr>
                <w:rFonts w:ascii="Arial" w:cs="Arial" w:eastAsia="Arial" w:hAnsi="Arial"/>
                <w:sz w:val="14"/>
                <w:szCs w:val="14"/>
                <w:color w:val="54565B"/>
              </w:rPr>
              <w:t>3,341,827</w:t>
            </w: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54565B"/>
              </w:rPr>
              <w:t>260.78</w:t>
            </w: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54565B"/>
              </w:rPr>
              <w:t>228.84</w:t>
            </w:r>
          </w:p>
        </w:tc>
        <w:tc>
          <w:tcPr>
            <w:tcW w:w="780" w:type="dxa"/>
            <w:vAlign w:val="bottom"/>
          </w:tcPr>
          <w:p>
            <w:pPr>
              <w:jc w:val="center"/>
              <w:spacing w:after="0"/>
              <w:rPr>
                <w:sz w:val="20"/>
                <w:szCs w:val="20"/>
                <w:color w:val="auto"/>
              </w:rPr>
            </w:pPr>
            <w:r>
              <w:rPr>
                <w:rFonts w:ascii="Arial" w:cs="Arial" w:eastAsia="Arial" w:hAnsi="Arial"/>
                <w:sz w:val="14"/>
                <w:szCs w:val="14"/>
                <w:color w:val="54565B"/>
              </w:rPr>
              <w:t>842</w:t>
            </w:r>
          </w:p>
        </w:tc>
        <w:tc>
          <w:tcPr>
            <w:tcW w:w="600" w:type="dxa"/>
            <w:vAlign w:val="bottom"/>
          </w:tcPr>
          <w:p>
            <w:pPr>
              <w:jc w:val="center"/>
              <w:ind w:right="8"/>
              <w:spacing w:after="0"/>
              <w:rPr>
                <w:sz w:val="20"/>
                <w:szCs w:val="20"/>
                <w:color w:val="auto"/>
              </w:rPr>
            </w:pPr>
            <w:r>
              <w:rPr>
                <w:rFonts w:ascii="Arial" w:cs="Arial" w:eastAsia="Arial" w:hAnsi="Arial"/>
                <w:sz w:val="14"/>
                <w:szCs w:val="14"/>
                <w:color w:val="54565B"/>
              </w:rPr>
              <w:t>10.29</w:t>
            </w:r>
          </w:p>
        </w:tc>
        <w:tc>
          <w:tcPr>
            <w:tcW w:w="0" w:type="dxa"/>
            <w:vAlign w:val="bottom"/>
          </w:tcPr>
          <w:p>
            <w:pPr>
              <w:spacing w:after="0"/>
              <w:rPr>
                <w:sz w:val="1"/>
                <w:szCs w:val="1"/>
                <w:color w:val="auto"/>
              </w:rPr>
            </w:pPr>
          </w:p>
        </w:tc>
      </w:tr>
      <w:tr>
        <w:trPr>
          <w:trHeight w:val="207"/>
        </w:trPr>
        <w:tc>
          <w:tcPr>
            <w:tcW w:w="540" w:type="dxa"/>
            <w:vAlign w:val="bottom"/>
            <w:shd w:val="clear" w:color="auto" w:fill="EAF7FA"/>
          </w:tcPr>
          <w:p>
            <w:pPr>
              <w:ind w:left="140"/>
              <w:spacing w:after="0"/>
              <w:rPr>
                <w:sz w:val="20"/>
                <w:szCs w:val="20"/>
                <w:color w:val="auto"/>
              </w:rPr>
            </w:pPr>
            <w:r>
              <w:rPr>
                <w:rFonts w:ascii="Arial" w:cs="Arial" w:eastAsia="Arial" w:hAnsi="Arial"/>
                <w:sz w:val="14"/>
                <w:szCs w:val="14"/>
                <w:color w:val="54565B"/>
              </w:rPr>
              <w:t>2024</w:t>
            </w:r>
          </w:p>
        </w:tc>
        <w:tc>
          <w:tcPr>
            <w:tcW w:w="800" w:type="dxa"/>
            <w:vAlign w:val="bottom"/>
            <w:shd w:val="clear" w:color="auto" w:fill="EAF7FA"/>
          </w:tcPr>
          <w:p>
            <w:pPr>
              <w:jc w:val="center"/>
              <w:spacing w:after="0"/>
              <w:rPr>
                <w:sz w:val="20"/>
                <w:szCs w:val="20"/>
                <w:color w:val="auto"/>
              </w:rPr>
            </w:pPr>
            <w:r>
              <w:rPr>
                <w:rFonts w:ascii="Arial" w:cs="Arial" w:eastAsia="Arial" w:hAnsi="Arial"/>
                <w:sz w:val="14"/>
                <w:szCs w:val="14"/>
                <w:color w:val="54565B"/>
              </w:rPr>
              <w:t>11,570,059</w:t>
            </w:r>
          </w:p>
        </w:tc>
        <w:tc>
          <w:tcPr>
            <w:tcW w:w="760" w:type="dxa"/>
            <w:vAlign w:val="bottom"/>
            <w:shd w:val="clear" w:color="auto" w:fill="EAF7FA"/>
          </w:tcPr>
          <w:p>
            <w:pPr>
              <w:jc w:val="center"/>
              <w:spacing w:after="0"/>
              <w:rPr>
                <w:sz w:val="20"/>
                <w:szCs w:val="20"/>
                <w:color w:val="auto"/>
              </w:rPr>
            </w:pPr>
            <w:r>
              <w:rPr>
                <w:rFonts w:ascii="Arial" w:cs="Arial" w:eastAsia="Arial" w:hAnsi="Arial"/>
                <w:sz w:val="14"/>
                <w:szCs w:val="14"/>
                <w:color w:val="54565B"/>
              </w:rPr>
              <w:t>11,545,807</w:t>
            </w:r>
          </w:p>
        </w:tc>
        <w:tc>
          <w:tcPr>
            <w:tcW w:w="840" w:type="dxa"/>
            <w:vAlign w:val="bottom"/>
            <w:shd w:val="clear" w:color="auto" w:fill="EAF7FA"/>
          </w:tcPr>
          <w:p>
            <w:pPr>
              <w:jc w:val="center"/>
              <w:spacing w:after="0"/>
              <w:rPr>
                <w:sz w:val="20"/>
                <w:szCs w:val="20"/>
                <w:color w:val="auto"/>
              </w:rPr>
            </w:pPr>
            <w:r>
              <w:rPr>
                <w:rFonts w:ascii="Arial" w:cs="Arial" w:eastAsia="Arial" w:hAnsi="Arial"/>
                <w:sz w:val="14"/>
                <w:szCs w:val="14"/>
                <w:color w:val="54565B"/>
              </w:rPr>
              <w:t>12,918,695</w:t>
            </w:r>
          </w:p>
        </w:tc>
        <w:tc>
          <w:tcPr>
            <w:tcW w:w="840" w:type="dxa"/>
            <w:vAlign w:val="bottom"/>
            <w:shd w:val="clear" w:color="auto" w:fill="EAF7FA"/>
          </w:tcPr>
          <w:p>
            <w:pPr>
              <w:jc w:val="center"/>
              <w:spacing w:after="0"/>
              <w:rPr>
                <w:sz w:val="20"/>
                <w:szCs w:val="20"/>
                <w:color w:val="auto"/>
              </w:rPr>
            </w:pPr>
            <w:r>
              <w:rPr>
                <w:rFonts w:ascii="Arial" w:cs="Arial" w:eastAsia="Arial" w:hAnsi="Arial"/>
                <w:sz w:val="14"/>
                <w:szCs w:val="14"/>
                <w:color w:val="54565B"/>
              </w:rPr>
              <w:t>12,894,443</w:t>
            </w:r>
          </w:p>
        </w:tc>
        <w:tc>
          <w:tcPr>
            <w:tcW w:w="1220" w:type="dxa"/>
            <w:vAlign w:val="bottom"/>
            <w:shd w:val="clear" w:color="auto" w:fill="EAF7FA"/>
          </w:tcPr>
          <w:p>
            <w:pPr>
              <w:jc w:val="center"/>
              <w:spacing w:after="0"/>
              <w:rPr>
                <w:sz w:val="20"/>
                <w:szCs w:val="20"/>
                <w:color w:val="auto"/>
              </w:rPr>
            </w:pPr>
            <w:r>
              <w:rPr>
                <w:rFonts w:ascii="Arial" w:cs="Arial" w:eastAsia="Arial" w:hAnsi="Arial"/>
                <w:sz w:val="14"/>
                <w:szCs w:val="14"/>
                <w:color w:val="54565B"/>
              </w:rPr>
              <w:t>3,038,664</w:t>
            </w:r>
          </w:p>
        </w:tc>
        <w:tc>
          <w:tcPr>
            <w:tcW w:w="1220" w:type="dxa"/>
            <w:vAlign w:val="bottom"/>
            <w:shd w:val="clear" w:color="auto" w:fill="EAF7FA"/>
          </w:tcPr>
          <w:p>
            <w:pPr>
              <w:jc w:val="center"/>
              <w:spacing w:after="0"/>
              <w:rPr>
                <w:sz w:val="20"/>
                <w:szCs w:val="20"/>
                <w:color w:val="auto"/>
              </w:rPr>
            </w:pPr>
            <w:r>
              <w:rPr>
                <w:rFonts w:ascii="Arial" w:cs="Arial" w:eastAsia="Arial" w:hAnsi="Arial"/>
                <w:sz w:val="14"/>
                <w:szCs w:val="14"/>
                <w:color w:val="54565B"/>
              </w:rPr>
              <w:t>3,609,210​</w:t>
            </w:r>
          </w:p>
        </w:tc>
        <w:tc>
          <w:tcPr>
            <w:tcW w:w="460" w:type="dxa"/>
            <w:vAlign w:val="bottom"/>
            <w:shd w:val="clear" w:color="auto" w:fill="EAF7FA"/>
          </w:tcPr>
          <w:p>
            <w:pPr>
              <w:ind w:left="220"/>
              <w:spacing w:after="0"/>
              <w:rPr>
                <w:sz w:val="20"/>
                <w:szCs w:val="20"/>
                <w:color w:val="auto"/>
              </w:rPr>
            </w:pPr>
            <w:r>
              <w:rPr>
                <w:rFonts w:ascii="Arial" w:cs="Arial" w:eastAsia="Arial" w:hAnsi="Arial"/>
                <w:sz w:val="14"/>
                <w:szCs w:val="14"/>
                <w:color w:val="54565B"/>
                <w:w w:val="94"/>
              </w:rPr>
              <w:t>247​</w:t>
            </w:r>
          </w:p>
        </w:tc>
        <w:tc>
          <w:tcPr>
            <w:tcW w:w="440" w:type="dxa"/>
            <w:vAlign w:val="bottom"/>
            <w:shd w:val="clear" w:color="auto" w:fill="EAF7FA"/>
          </w:tcPr>
          <w:p>
            <w:pPr>
              <w:jc w:val="right"/>
              <w:ind w:right="168"/>
              <w:spacing w:after="0"/>
              <w:rPr>
                <w:sz w:val="20"/>
                <w:szCs w:val="20"/>
                <w:color w:val="auto"/>
              </w:rPr>
            </w:pPr>
            <w:r>
              <w:rPr>
                <w:rFonts w:ascii="Arial" w:cs="Arial" w:eastAsia="Arial" w:hAnsi="Arial"/>
                <w:sz w:val="14"/>
                <w:szCs w:val="14"/>
                <w:color w:val="54565B"/>
                <w:w w:val="92"/>
              </w:rPr>
              <w:t>.28</w:t>
            </w:r>
          </w:p>
        </w:tc>
        <w:tc>
          <w:tcPr>
            <w:tcW w:w="480" w:type="dxa"/>
            <w:vAlign w:val="bottom"/>
            <w:shd w:val="clear" w:color="auto" w:fill="EAF7FA"/>
          </w:tcPr>
          <w:p>
            <w:pPr>
              <w:ind w:left="240"/>
              <w:spacing w:after="0"/>
              <w:rPr>
                <w:sz w:val="20"/>
                <w:szCs w:val="20"/>
                <w:color w:val="auto"/>
              </w:rPr>
            </w:pPr>
            <w:r>
              <w:rPr>
                <w:rFonts w:ascii="Arial" w:cs="Arial" w:eastAsia="Arial" w:hAnsi="Arial"/>
                <w:sz w:val="14"/>
                <w:szCs w:val="14"/>
                <w:color w:val="54565B"/>
                <w:w w:val="94"/>
              </w:rPr>
              <w:t>209​</w:t>
            </w:r>
          </w:p>
        </w:tc>
        <w:tc>
          <w:tcPr>
            <w:tcW w:w="420" w:type="dxa"/>
            <w:vAlign w:val="bottom"/>
            <w:shd w:val="clear" w:color="auto" w:fill="EAF7FA"/>
          </w:tcPr>
          <w:p>
            <w:pPr>
              <w:jc w:val="right"/>
              <w:ind w:right="148"/>
              <w:spacing w:after="0"/>
              <w:rPr>
                <w:sz w:val="20"/>
                <w:szCs w:val="20"/>
                <w:color w:val="auto"/>
              </w:rPr>
            </w:pPr>
            <w:r>
              <w:rPr>
                <w:rFonts w:ascii="Arial" w:cs="Arial" w:eastAsia="Arial" w:hAnsi="Arial"/>
                <w:sz w:val="14"/>
                <w:szCs w:val="14"/>
                <w:color w:val="54565B"/>
                <w:w w:val="92"/>
              </w:rPr>
              <w:t>.20</w:t>
            </w:r>
          </w:p>
        </w:tc>
        <w:tc>
          <w:tcPr>
            <w:tcW w:w="780" w:type="dxa"/>
            <w:vAlign w:val="bottom"/>
            <w:shd w:val="clear" w:color="auto" w:fill="EAF7FA"/>
          </w:tcPr>
          <w:p>
            <w:pPr>
              <w:jc w:val="center"/>
              <w:spacing w:after="0"/>
              <w:rPr>
                <w:sz w:val="20"/>
                <w:szCs w:val="20"/>
                <w:color w:val="auto"/>
              </w:rPr>
            </w:pPr>
            <w:r>
              <w:rPr>
                <w:rFonts w:ascii="Arial" w:cs="Arial" w:eastAsia="Arial" w:hAnsi="Arial"/>
                <w:sz w:val="14"/>
                <w:szCs w:val="14"/>
                <w:color w:val="54565B"/>
              </w:rPr>
              <w:t>887</w:t>
            </w:r>
          </w:p>
        </w:tc>
        <w:tc>
          <w:tcPr>
            <w:tcW w:w="600" w:type="dxa"/>
            <w:vAlign w:val="bottom"/>
            <w:shd w:val="clear" w:color="auto" w:fill="EAF7FA"/>
          </w:tcPr>
          <w:p>
            <w:pPr>
              <w:jc w:val="center"/>
              <w:ind w:right="8"/>
              <w:spacing w:after="0"/>
              <w:rPr>
                <w:sz w:val="20"/>
                <w:szCs w:val="20"/>
                <w:color w:val="auto"/>
              </w:rPr>
            </w:pPr>
            <w:r>
              <w:rPr>
                <w:rFonts w:ascii="Arial" w:cs="Arial" w:eastAsia="Arial" w:hAnsi="Arial"/>
                <w:sz w:val="14"/>
                <w:szCs w:val="14"/>
                <w:color w:val="54565B"/>
              </w:rPr>
              <w:t>10.75</w:t>
            </w:r>
          </w:p>
        </w:tc>
        <w:tc>
          <w:tcPr>
            <w:tcW w:w="0" w:type="dxa"/>
            <w:vAlign w:val="bottom"/>
          </w:tcPr>
          <w:p>
            <w:pPr>
              <w:spacing w:after="0"/>
              <w:rPr>
                <w:sz w:val="1"/>
                <w:szCs w:val="1"/>
                <w:color w:val="auto"/>
              </w:rPr>
            </w:pPr>
          </w:p>
        </w:tc>
      </w:tr>
      <w:tr>
        <w:trPr>
          <w:trHeight w:val="198"/>
        </w:trPr>
        <w:tc>
          <w:tcPr>
            <w:tcW w:w="540" w:type="dxa"/>
            <w:vAlign w:val="bottom"/>
          </w:tcPr>
          <w:p>
            <w:pPr>
              <w:ind w:left="140"/>
              <w:spacing w:after="0"/>
              <w:rPr>
                <w:sz w:val="20"/>
                <w:szCs w:val="20"/>
                <w:color w:val="auto"/>
              </w:rPr>
            </w:pPr>
            <w:r>
              <w:rPr>
                <w:rFonts w:ascii="Arial" w:cs="Arial" w:eastAsia="Arial" w:hAnsi="Arial"/>
                <w:sz w:val="14"/>
                <w:szCs w:val="14"/>
                <w:color w:val="54565B"/>
              </w:rPr>
              <w:t>2023</w:t>
            </w:r>
          </w:p>
        </w:tc>
        <w:tc>
          <w:tcPr>
            <w:tcW w:w="800" w:type="dxa"/>
            <w:vAlign w:val="bottom"/>
          </w:tcPr>
          <w:p>
            <w:pPr>
              <w:jc w:val="center"/>
              <w:spacing w:after="0"/>
              <w:rPr>
                <w:sz w:val="20"/>
                <w:szCs w:val="20"/>
                <w:color w:val="auto"/>
              </w:rPr>
            </w:pPr>
            <w:r>
              <w:rPr>
                <w:rFonts w:ascii="Arial" w:cs="Arial" w:eastAsia="Arial" w:hAnsi="Arial"/>
                <w:sz w:val="14"/>
                <w:szCs w:val="14"/>
                <w:color w:val="54565B"/>
              </w:rPr>
              <w:t>9,844,148</w:t>
            </w:r>
          </w:p>
        </w:tc>
        <w:tc>
          <w:tcPr>
            <w:tcW w:w="760" w:type="dxa"/>
            <w:vAlign w:val="bottom"/>
          </w:tcPr>
          <w:p>
            <w:pPr>
              <w:jc w:val="center"/>
              <w:spacing w:after="0"/>
              <w:rPr>
                <w:sz w:val="20"/>
                <w:szCs w:val="20"/>
                <w:color w:val="auto"/>
              </w:rPr>
            </w:pPr>
            <w:r>
              <w:rPr>
                <w:rFonts w:ascii="Arial" w:cs="Arial" w:eastAsia="Arial" w:hAnsi="Arial"/>
                <w:sz w:val="14"/>
                <w:szCs w:val="14"/>
                <w:color w:val="54565B"/>
              </w:rPr>
              <w:t>9,914,566</w:t>
            </w:r>
          </w:p>
        </w:tc>
        <w:tc>
          <w:tcPr>
            <w:tcW w:w="840" w:type="dxa"/>
            <w:vAlign w:val="bottom"/>
          </w:tcPr>
          <w:p>
            <w:pPr>
              <w:jc w:val="center"/>
              <w:spacing w:after="0"/>
              <w:rPr>
                <w:sz w:val="20"/>
                <w:szCs w:val="20"/>
                <w:color w:val="auto"/>
              </w:rPr>
            </w:pPr>
            <w:r>
              <w:rPr>
                <w:rFonts w:ascii="Arial" w:cs="Arial" w:eastAsia="Arial" w:hAnsi="Arial"/>
                <w:sz w:val="14"/>
                <w:szCs w:val="14"/>
                <w:color w:val="54565B"/>
              </w:rPr>
              <w:t>9,311,061</w:t>
            </w:r>
          </w:p>
        </w:tc>
        <w:tc>
          <w:tcPr>
            <w:tcW w:w="840" w:type="dxa"/>
            <w:vAlign w:val="bottom"/>
          </w:tcPr>
          <w:p>
            <w:pPr>
              <w:jc w:val="right"/>
              <w:ind w:right="28"/>
              <w:spacing w:after="0"/>
              <w:rPr>
                <w:sz w:val="20"/>
                <w:szCs w:val="20"/>
                <w:color w:val="auto"/>
              </w:rPr>
            </w:pPr>
            <w:r>
              <w:rPr>
                <w:rFonts w:ascii="Arial" w:cs="Arial" w:eastAsia="Arial" w:hAnsi="Arial"/>
                <w:sz w:val="14"/>
                <w:szCs w:val="14"/>
                <w:color w:val="54565B"/>
              </w:rPr>
              <w:t>9,381,479</w:t>
            </w:r>
          </w:p>
        </w:tc>
        <w:tc>
          <w:tcPr>
            <w:tcW w:w="1220" w:type="dxa"/>
            <w:vAlign w:val="bottom"/>
          </w:tcPr>
          <w:p>
            <w:pPr>
              <w:jc w:val="center"/>
              <w:spacing w:after="0"/>
              <w:rPr>
                <w:sz w:val="20"/>
                <w:szCs w:val="20"/>
                <w:color w:val="auto"/>
              </w:rPr>
            </w:pPr>
            <w:r>
              <w:rPr>
                <w:rFonts w:ascii="Arial" w:cs="Arial" w:eastAsia="Arial" w:hAnsi="Arial"/>
                <w:sz w:val="14"/>
                <w:szCs w:val="14"/>
                <w:color w:val="54565B"/>
              </w:rPr>
              <w:t>2,919,108</w:t>
            </w:r>
          </w:p>
        </w:tc>
        <w:tc>
          <w:tcPr>
            <w:tcW w:w="1220" w:type="dxa"/>
            <w:vAlign w:val="bottom"/>
          </w:tcPr>
          <w:p>
            <w:pPr>
              <w:jc w:val="center"/>
              <w:spacing w:after="0"/>
              <w:rPr>
                <w:sz w:val="20"/>
                <w:szCs w:val="20"/>
                <w:color w:val="auto"/>
              </w:rPr>
            </w:pPr>
            <w:r>
              <w:rPr>
                <w:rFonts w:ascii="Arial" w:cs="Arial" w:eastAsia="Arial" w:hAnsi="Arial"/>
                <w:sz w:val="14"/>
                <w:szCs w:val="14"/>
                <w:color w:val="54565B"/>
              </w:rPr>
              <w:t>2,775,585​</w:t>
            </w:r>
          </w:p>
        </w:tc>
        <w:tc>
          <w:tcPr>
            <w:tcW w:w="460" w:type="dxa"/>
            <w:vAlign w:val="bottom"/>
          </w:tcPr>
          <w:p>
            <w:pPr>
              <w:ind w:left="220"/>
              <w:spacing w:after="0"/>
              <w:rPr>
                <w:sz w:val="20"/>
                <w:szCs w:val="20"/>
                <w:color w:val="auto"/>
              </w:rPr>
            </w:pPr>
            <w:r>
              <w:rPr>
                <w:rFonts w:ascii="Arial" w:cs="Arial" w:eastAsia="Arial" w:hAnsi="Arial"/>
                <w:sz w:val="14"/>
                <w:szCs w:val="14"/>
                <w:color w:val="54565B"/>
                <w:w w:val="94"/>
              </w:rPr>
              <w:t>199​</w:t>
            </w:r>
          </w:p>
        </w:tc>
        <w:tc>
          <w:tcPr>
            <w:tcW w:w="440" w:type="dxa"/>
            <w:vAlign w:val="bottom"/>
          </w:tcPr>
          <w:p>
            <w:pPr>
              <w:jc w:val="right"/>
              <w:ind w:right="168"/>
              <w:spacing w:after="0"/>
              <w:rPr>
                <w:sz w:val="20"/>
                <w:szCs w:val="20"/>
                <w:color w:val="auto"/>
              </w:rPr>
            </w:pPr>
            <w:r>
              <w:rPr>
                <w:rFonts w:ascii="Arial" w:cs="Arial" w:eastAsia="Arial" w:hAnsi="Arial"/>
                <w:sz w:val="14"/>
                <w:szCs w:val="14"/>
                <w:color w:val="54565B"/>
                <w:w w:val="92"/>
              </w:rPr>
              <w:t>.86</w:t>
            </w:r>
          </w:p>
        </w:tc>
        <w:tc>
          <w:tcPr>
            <w:tcW w:w="480" w:type="dxa"/>
            <w:vAlign w:val="bottom"/>
          </w:tcPr>
          <w:p>
            <w:pPr>
              <w:ind w:left="240"/>
              <w:spacing w:after="0"/>
              <w:rPr>
                <w:sz w:val="20"/>
                <w:szCs w:val="20"/>
                <w:color w:val="auto"/>
              </w:rPr>
            </w:pPr>
            <w:r>
              <w:rPr>
                <w:rFonts w:ascii="Arial" w:cs="Arial" w:eastAsia="Arial" w:hAnsi="Arial"/>
                <w:sz w:val="14"/>
                <w:szCs w:val="14"/>
                <w:color w:val="54565B"/>
                <w:w w:val="94"/>
              </w:rPr>
              <w:t>154​</w:t>
            </w:r>
          </w:p>
        </w:tc>
        <w:tc>
          <w:tcPr>
            <w:tcW w:w="420" w:type="dxa"/>
            <w:vAlign w:val="bottom"/>
          </w:tcPr>
          <w:p>
            <w:pPr>
              <w:jc w:val="right"/>
              <w:ind w:right="148"/>
              <w:spacing w:after="0"/>
              <w:rPr>
                <w:sz w:val="20"/>
                <w:szCs w:val="20"/>
                <w:color w:val="auto"/>
              </w:rPr>
            </w:pPr>
            <w:r>
              <w:rPr>
                <w:rFonts w:ascii="Arial" w:cs="Arial" w:eastAsia="Arial" w:hAnsi="Arial"/>
                <w:sz w:val="14"/>
                <w:szCs w:val="14"/>
                <w:color w:val="54565B"/>
                <w:w w:val="92"/>
              </w:rPr>
              <w:t>.70</w:t>
            </w:r>
          </w:p>
        </w:tc>
        <w:tc>
          <w:tcPr>
            <w:tcW w:w="780" w:type="dxa"/>
            <w:vAlign w:val="bottom"/>
          </w:tcPr>
          <w:p>
            <w:pPr>
              <w:jc w:val="center"/>
              <w:spacing w:after="0"/>
              <w:rPr>
                <w:sz w:val="20"/>
                <w:szCs w:val="20"/>
                <w:color w:val="auto"/>
              </w:rPr>
            </w:pPr>
            <w:r>
              <w:rPr>
                <w:rFonts w:ascii="Arial" w:cs="Arial" w:eastAsia="Arial" w:hAnsi="Arial"/>
                <w:sz w:val="14"/>
                <w:szCs w:val="14"/>
                <w:color w:val="54565B"/>
              </w:rPr>
              <w:t>852</w:t>
            </w:r>
          </w:p>
        </w:tc>
        <w:tc>
          <w:tcPr>
            <w:tcW w:w="600" w:type="dxa"/>
            <w:vAlign w:val="bottom"/>
          </w:tcPr>
          <w:p>
            <w:pPr>
              <w:jc w:val="center"/>
              <w:ind w:right="8"/>
              <w:spacing w:after="0"/>
              <w:rPr>
                <w:sz w:val="20"/>
                <w:szCs w:val="20"/>
                <w:color w:val="auto"/>
              </w:rPr>
            </w:pPr>
            <w:r>
              <w:rPr>
                <w:rFonts w:ascii="Arial" w:cs="Arial" w:eastAsia="Arial" w:hAnsi="Arial"/>
                <w:sz w:val="14"/>
                <w:szCs w:val="14"/>
                <w:color w:val="54565B"/>
              </w:rPr>
              <w:t>10.56</w:t>
            </w:r>
          </w:p>
        </w:tc>
        <w:tc>
          <w:tcPr>
            <w:tcW w:w="0" w:type="dxa"/>
            <w:vAlign w:val="bottom"/>
          </w:tcPr>
          <w:p>
            <w:pPr>
              <w:spacing w:after="0"/>
              <w:rPr>
                <w:sz w:val="1"/>
                <w:szCs w:val="1"/>
                <w:color w:val="auto"/>
              </w:rPr>
            </w:pPr>
          </w:p>
        </w:tc>
      </w:tr>
      <w:tr>
        <w:trPr>
          <w:trHeight w:val="207"/>
        </w:trPr>
        <w:tc>
          <w:tcPr>
            <w:tcW w:w="540" w:type="dxa"/>
            <w:vAlign w:val="bottom"/>
            <w:shd w:val="clear" w:color="auto" w:fill="EAF7FA"/>
          </w:tcPr>
          <w:p>
            <w:pPr>
              <w:ind w:left="140"/>
              <w:spacing w:after="0"/>
              <w:rPr>
                <w:sz w:val="20"/>
                <w:szCs w:val="20"/>
                <w:color w:val="auto"/>
              </w:rPr>
            </w:pPr>
            <w:r>
              <w:rPr>
                <w:rFonts w:ascii="Arial" w:cs="Arial" w:eastAsia="Arial" w:hAnsi="Arial"/>
                <w:sz w:val="14"/>
                <w:szCs w:val="14"/>
                <w:color w:val="54565B"/>
              </w:rPr>
              <w:t>2022</w:t>
            </w:r>
          </w:p>
        </w:tc>
        <w:tc>
          <w:tcPr>
            <w:tcW w:w="3240" w:type="dxa"/>
            <w:vAlign w:val="bottom"/>
            <w:gridSpan w:val="4"/>
            <w:shd w:val="clear" w:color="auto" w:fill="EAF7FA"/>
          </w:tcPr>
          <w:p>
            <w:pPr>
              <w:jc w:val="right"/>
              <w:ind w:right="8"/>
              <w:spacing w:after="0"/>
              <w:rPr>
                <w:sz w:val="20"/>
                <w:szCs w:val="20"/>
                <w:color w:val="auto"/>
              </w:rPr>
            </w:pPr>
            <w:r>
              <w:rPr>
                <w:rFonts w:ascii="Arial" w:cs="Arial" w:eastAsia="Arial" w:hAnsi="Arial"/>
                <w:sz w:val="14"/>
                <w:szCs w:val="14"/>
                <w:color w:val="54565B"/>
              </w:rPr>
              <w:t>12,670,399 12,637,868 13,456,927  13,424,396</w:t>
            </w:r>
          </w:p>
        </w:tc>
        <w:tc>
          <w:tcPr>
            <w:tcW w:w="1220" w:type="dxa"/>
            <w:vAlign w:val="bottom"/>
            <w:shd w:val="clear" w:color="auto" w:fill="EAF7FA"/>
          </w:tcPr>
          <w:p>
            <w:pPr>
              <w:jc w:val="center"/>
              <w:spacing w:after="0"/>
              <w:rPr>
                <w:sz w:val="20"/>
                <w:szCs w:val="20"/>
                <w:color w:val="auto"/>
              </w:rPr>
            </w:pPr>
            <w:r>
              <w:rPr>
                <w:rFonts w:ascii="Arial" w:cs="Arial" w:eastAsia="Arial" w:hAnsi="Arial"/>
                <w:sz w:val="14"/>
                <w:szCs w:val="14"/>
                <w:color w:val="54565B"/>
              </w:rPr>
              <w:t>2,854,120</w:t>
            </w:r>
          </w:p>
        </w:tc>
        <w:tc>
          <w:tcPr>
            <w:tcW w:w="1220" w:type="dxa"/>
            <w:vAlign w:val="bottom"/>
            <w:shd w:val="clear" w:color="auto" w:fill="EAF7FA"/>
          </w:tcPr>
          <w:p>
            <w:pPr>
              <w:jc w:val="center"/>
              <w:spacing w:after="0"/>
              <w:rPr>
                <w:sz w:val="20"/>
                <w:szCs w:val="20"/>
                <w:color w:val="auto"/>
              </w:rPr>
            </w:pPr>
            <w:r>
              <w:rPr>
                <w:rFonts w:ascii="Arial" w:cs="Arial" w:eastAsia="Arial" w:hAnsi="Arial"/>
                <w:sz w:val="14"/>
                <w:szCs w:val="14"/>
                <w:color w:val="54565B"/>
              </w:rPr>
              <w:t>3,133,065​</w:t>
            </w:r>
          </w:p>
        </w:tc>
        <w:tc>
          <w:tcPr>
            <w:tcW w:w="460" w:type="dxa"/>
            <w:vAlign w:val="bottom"/>
            <w:shd w:val="clear" w:color="auto" w:fill="EAF7FA"/>
          </w:tcPr>
          <w:p>
            <w:pPr>
              <w:ind w:left="220"/>
              <w:spacing w:after="0"/>
              <w:rPr>
                <w:sz w:val="20"/>
                <w:szCs w:val="20"/>
                <w:color w:val="auto"/>
              </w:rPr>
            </w:pPr>
            <w:r>
              <w:rPr>
                <w:rFonts w:ascii="Arial" w:cs="Arial" w:eastAsia="Arial" w:hAnsi="Arial"/>
                <w:sz w:val="14"/>
                <w:szCs w:val="14"/>
                <w:color w:val="54565B"/>
                <w:w w:val="94"/>
              </w:rPr>
              <w:t>216​</w:t>
            </w:r>
          </w:p>
        </w:tc>
        <w:tc>
          <w:tcPr>
            <w:tcW w:w="440" w:type="dxa"/>
            <w:vAlign w:val="bottom"/>
            <w:shd w:val="clear" w:color="auto" w:fill="EAF7FA"/>
          </w:tcPr>
          <w:p>
            <w:pPr>
              <w:jc w:val="right"/>
              <w:ind w:right="168"/>
              <w:spacing w:after="0"/>
              <w:rPr>
                <w:sz w:val="20"/>
                <w:szCs w:val="20"/>
                <w:color w:val="auto"/>
              </w:rPr>
            </w:pPr>
            <w:r>
              <w:rPr>
                <w:rFonts w:ascii="Arial" w:cs="Arial" w:eastAsia="Arial" w:hAnsi="Arial"/>
                <w:sz w:val="14"/>
                <w:szCs w:val="14"/>
                <w:color w:val="54565B"/>
                <w:w w:val="92"/>
              </w:rPr>
              <w:t>.22</w:t>
            </w:r>
          </w:p>
        </w:tc>
        <w:tc>
          <w:tcPr>
            <w:tcW w:w="480" w:type="dxa"/>
            <w:vAlign w:val="bottom"/>
            <w:shd w:val="clear" w:color="auto" w:fill="EAF7FA"/>
          </w:tcPr>
          <w:p>
            <w:pPr>
              <w:ind w:left="240"/>
              <w:spacing w:after="0"/>
              <w:rPr>
                <w:sz w:val="20"/>
                <w:szCs w:val="20"/>
                <w:color w:val="auto"/>
              </w:rPr>
            </w:pPr>
            <w:r>
              <w:rPr>
                <w:rFonts w:ascii="Arial" w:cs="Arial" w:eastAsia="Arial" w:hAnsi="Arial"/>
                <w:sz w:val="14"/>
                <w:szCs w:val="14"/>
                <w:color w:val="54565B"/>
                <w:w w:val="94"/>
              </w:rPr>
              <w:t>139​</w:t>
            </w:r>
          </w:p>
        </w:tc>
        <w:tc>
          <w:tcPr>
            <w:tcW w:w="420" w:type="dxa"/>
            <w:vAlign w:val="bottom"/>
            <w:shd w:val="clear" w:color="auto" w:fill="EAF7FA"/>
          </w:tcPr>
          <w:p>
            <w:pPr>
              <w:jc w:val="right"/>
              <w:ind w:right="148"/>
              <w:spacing w:after="0"/>
              <w:rPr>
                <w:sz w:val="20"/>
                <w:szCs w:val="20"/>
                <w:color w:val="auto"/>
              </w:rPr>
            </w:pPr>
            <w:r>
              <w:rPr>
                <w:rFonts w:ascii="Arial" w:cs="Arial" w:eastAsia="Arial" w:hAnsi="Arial"/>
                <w:sz w:val="14"/>
                <w:szCs w:val="14"/>
                <w:color w:val="54565B"/>
                <w:w w:val="92"/>
              </w:rPr>
              <w:t>.69</w:t>
            </w:r>
          </w:p>
        </w:tc>
        <w:tc>
          <w:tcPr>
            <w:tcW w:w="780" w:type="dxa"/>
            <w:vAlign w:val="bottom"/>
            <w:shd w:val="clear" w:color="auto" w:fill="EAF7FA"/>
          </w:tcPr>
          <w:p>
            <w:pPr>
              <w:jc w:val="center"/>
              <w:spacing w:after="0"/>
              <w:rPr>
                <w:sz w:val="20"/>
                <w:szCs w:val="20"/>
                <w:color w:val="auto"/>
              </w:rPr>
            </w:pPr>
            <w:r>
              <w:rPr>
                <w:rFonts w:ascii="Arial" w:cs="Arial" w:eastAsia="Arial" w:hAnsi="Arial"/>
                <w:sz w:val="14"/>
                <w:szCs w:val="14"/>
                <w:color w:val="54565B"/>
              </w:rPr>
              <w:t>898</w:t>
            </w:r>
          </w:p>
        </w:tc>
        <w:tc>
          <w:tcPr>
            <w:tcW w:w="600" w:type="dxa"/>
            <w:vAlign w:val="bottom"/>
            <w:shd w:val="clear" w:color="auto" w:fill="EAF7FA"/>
          </w:tcPr>
          <w:p>
            <w:pPr>
              <w:jc w:val="center"/>
              <w:ind w:right="28"/>
              <w:spacing w:after="0"/>
              <w:rPr>
                <w:sz w:val="20"/>
                <w:szCs w:val="20"/>
                <w:color w:val="auto"/>
              </w:rPr>
            </w:pPr>
            <w:r>
              <w:rPr>
                <w:rFonts w:ascii="Arial" w:cs="Arial" w:eastAsia="Arial" w:hAnsi="Arial"/>
                <w:sz w:val="14"/>
                <w:szCs w:val="14"/>
                <w:color w:val="54565B"/>
                <w:w w:val="96"/>
              </w:rPr>
              <w:t>11.63</w:t>
            </w:r>
          </w:p>
        </w:tc>
        <w:tc>
          <w:tcPr>
            <w:tcW w:w="0" w:type="dxa"/>
            <w:vAlign w:val="bottom"/>
          </w:tcPr>
          <w:p>
            <w:pPr>
              <w:spacing w:after="0"/>
              <w:rPr>
                <w:sz w:val="1"/>
                <w:szCs w:val="1"/>
                <w:color w:val="auto"/>
              </w:rPr>
            </w:pPr>
          </w:p>
        </w:tc>
      </w:tr>
      <w:tr>
        <w:trPr>
          <w:trHeight w:val="194"/>
        </w:trPr>
        <w:tc>
          <w:tcPr>
            <w:tcW w:w="540" w:type="dxa"/>
            <w:vAlign w:val="bottom"/>
          </w:tcPr>
          <w:p>
            <w:pPr>
              <w:ind w:left="140"/>
              <w:spacing w:after="0"/>
              <w:rPr>
                <w:sz w:val="20"/>
                <w:szCs w:val="20"/>
                <w:color w:val="auto"/>
              </w:rPr>
            </w:pPr>
            <w:r>
              <w:rPr>
                <w:rFonts w:ascii="Arial" w:cs="Arial" w:eastAsia="Arial" w:hAnsi="Arial"/>
                <w:sz w:val="14"/>
                <w:szCs w:val="14"/>
                <w:color w:val="54565B"/>
              </w:rPr>
              <w:t>2021</w:t>
            </w:r>
          </w:p>
        </w:tc>
        <w:tc>
          <w:tcPr>
            <w:tcW w:w="2400" w:type="dxa"/>
            <w:vAlign w:val="bottom"/>
            <w:gridSpan w:val="3"/>
          </w:tcPr>
          <w:p>
            <w:pPr>
              <w:jc w:val="right"/>
              <w:ind w:right="8"/>
              <w:spacing w:after="0"/>
              <w:rPr>
                <w:sz w:val="20"/>
                <w:szCs w:val="20"/>
                <w:color w:val="auto"/>
              </w:rPr>
            </w:pPr>
            <w:r>
              <w:rPr>
                <w:rFonts w:ascii="Arial" w:cs="Arial" w:eastAsia="Arial" w:hAnsi="Arial"/>
                <w:sz w:val="14"/>
                <w:szCs w:val="14"/>
                <w:color w:val="54565B"/>
              </w:rPr>
              <w:t>12,449,582 12,341,739 16,851,687</w:t>
            </w:r>
          </w:p>
        </w:tc>
        <w:tc>
          <w:tcPr>
            <w:tcW w:w="840" w:type="dxa"/>
            <w:vAlign w:val="bottom"/>
          </w:tcPr>
          <w:p>
            <w:pPr>
              <w:jc w:val="right"/>
              <w:ind w:right="8"/>
              <w:spacing w:after="0"/>
              <w:rPr>
                <w:sz w:val="20"/>
                <w:szCs w:val="20"/>
                <w:color w:val="auto"/>
              </w:rPr>
            </w:pPr>
            <w:r>
              <w:rPr>
                <w:rFonts w:ascii="Arial" w:cs="Arial" w:eastAsia="Arial" w:hAnsi="Arial"/>
                <w:sz w:val="14"/>
                <w:szCs w:val="14"/>
                <w:color w:val="54565B"/>
              </w:rPr>
              <w:t>16,743,844</w:t>
            </w:r>
          </w:p>
        </w:tc>
        <w:tc>
          <w:tcPr>
            <w:tcW w:w="1220" w:type="dxa"/>
            <w:vAlign w:val="bottom"/>
          </w:tcPr>
          <w:p>
            <w:pPr>
              <w:jc w:val="center"/>
              <w:spacing w:after="0"/>
              <w:rPr>
                <w:sz w:val="20"/>
                <w:szCs w:val="20"/>
                <w:color w:val="auto"/>
              </w:rPr>
            </w:pPr>
            <w:r>
              <w:rPr>
                <w:rFonts w:ascii="Arial" w:cs="Arial" w:eastAsia="Arial" w:hAnsi="Arial"/>
                <w:sz w:val="14"/>
                <w:szCs w:val="14"/>
                <w:color w:val="54565B"/>
              </w:rPr>
              <w:t>2,639,597</w:t>
            </w:r>
          </w:p>
        </w:tc>
        <w:tc>
          <w:tcPr>
            <w:tcW w:w="1220" w:type="dxa"/>
            <w:vAlign w:val="bottom"/>
          </w:tcPr>
          <w:p>
            <w:pPr>
              <w:jc w:val="center"/>
              <w:spacing w:after="0"/>
              <w:rPr>
                <w:sz w:val="20"/>
                <w:szCs w:val="20"/>
                <w:color w:val="auto"/>
              </w:rPr>
            </w:pPr>
            <w:r>
              <w:rPr>
                <w:rFonts w:ascii="Arial" w:cs="Arial" w:eastAsia="Arial" w:hAnsi="Arial"/>
                <w:sz w:val="14"/>
                <w:szCs w:val="14"/>
                <w:color w:val="54565B"/>
              </w:rPr>
              <w:t>4,137,031​</w:t>
            </w:r>
          </w:p>
        </w:tc>
        <w:tc>
          <w:tcPr>
            <w:tcW w:w="460" w:type="dxa"/>
            <w:vAlign w:val="bottom"/>
          </w:tcPr>
          <w:p>
            <w:pPr>
              <w:ind w:left="220"/>
              <w:spacing w:after="0"/>
              <w:rPr>
                <w:sz w:val="20"/>
                <w:szCs w:val="20"/>
                <w:color w:val="auto"/>
              </w:rPr>
            </w:pPr>
            <w:r>
              <w:rPr>
                <w:rFonts w:ascii="Arial" w:cs="Arial" w:eastAsia="Arial" w:hAnsi="Arial"/>
                <w:sz w:val="14"/>
                <w:szCs w:val="14"/>
                <w:color w:val="54565B"/>
                <w:w w:val="94"/>
              </w:rPr>
              <w:t>194​</w:t>
            </w:r>
          </w:p>
        </w:tc>
        <w:tc>
          <w:tcPr>
            <w:tcW w:w="440" w:type="dxa"/>
            <w:vAlign w:val="bottom"/>
          </w:tcPr>
          <w:p>
            <w:pPr>
              <w:jc w:val="right"/>
              <w:ind w:right="168"/>
              <w:spacing w:after="0"/>
              <w:rPr>
                <w:sz w:val="20"/>
                <w:szCs w:val="20"/>
                <w:color w:val="auto"/>
              </w:rPr>
            </w:pPr>
            <w:r>
              <w:rPr>
                <w:rFonts w:ascii="Arial" w:cs="Arial" w:eastAsia="Arial" w:hAnsi="Arial"/>
                <w:sz w:val="14"/>
                <w:szCs w:val="14"/>
                <w:color w:val="54565B"/>
                <w:w w:val="92"/>
              </w:rPr>
              <w:t>.78</w:t>
            </w: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54565B"/>
              </w:rPr>
              <w:t>117​.51</w:t>
            </w:r>
          </w:p>
        </w:tc>
        <w:tc>
          <w:tcPr>
            <w:tcW w:w="780" w:type="dxa"/>
            <w:vAlign w:val="bottom"/>
          </w:tcPr>
          <w:p>
            <w:pPr>
              <w:jc w:val="center"/>
              <w:spacing w:after="0"/>
              <w:rPr>
                <w:sz w:val="20"/>
                <w:szCs w:val="20"/>
                <w:color w:val="auto"/>
              </w:rPr>
            </w:pPr>
            <w:r>
              <w:rPr>
                <w:rFonts w:ascii="Arial" w:cs="Arial" w:eastAsia="Arial" w:hAnsi="Arial"/>
                <w:sz w:val="14"/>
                <w:szCs w:val="14"/>
                <w:color w:val="54565B"/>
              </w:rPr>
              <w:t>1,995</w:t>
            </w:r>
          </w:p>
        </w:tc>
        <w:tc>
          <w:tcPr>
            <w:tcW w:w="600" w:type="dxa"/>
            <w:vAlign w:val="bottom"/>
          </w:tcPr>
          <w:p>
            <w:pPr>
              <w:jc w:val="center"/>
              <w:ind w:right="28"/>
              <w:spacing w:after="0"/>
              <w:rPr>
                <w:sz w:val="20"/>
                <w:szCs w:val="20"/>
                <w:color w:val="auto"/>
              </w:rPr>
            </w:pPr>
            <w:r>
              <w:rPr>
                <w:rFonts w:ascii="Arial" w:cs="Arial" w:eastAsia="Arial" w:hAnsi="Arial"/>
                <w:sz w:val="14"/>
                <w:szCs w:val="14"/>
                <w:color w:val="54565B"/>
                <w:w w:val="96"/>
              </w:rPr>
              <w:t>11.59</w:t>
            </w:r>
          </w:p>
        </w:tc>
        <w:tc>
          <w:tcPr>
            <w:tcW w:w="0" w:type="dxa"/>
            <w:vAlign w:val="bottom"/>
          </w:tcPr>
          <w:p>
            <w:pPr>
              <w:spacing w:after="0"/>
              <w:rPr>
                <w:sz w:val="1"/>
                <w:szCs w:val="1"/>
                <w:color w:val="auto"/>
              </w:rPr>
            </w:pPr>
          </w:p>
        </w:tc>
      </w:tr>
      <w:tr>
        <w:trPr>
          <w:trHeight w:val="35"/>
        </w:trPr>
        <w:tc>
          <w:tcPr>
            <w:tcW w:w="540" w:type="dxa"/>
            <w:vAlign w:val="bottom"/>
            <w:tcBorders>
              <w:bottom w:val="single" w:sz="8" w:color="0B3C61"/>
            </w:tcBorders>
          </w:tcPr>
          <w:p>
            <w:pPr>
              <w:spacing w:after="0"/>
              <w:rPr>
                <w:sz w:val="3"/>
                <w:szCs w:val="3"/>
                <w:color w:val="auto"/>
              </w:rPr>
            </w:pPr>
          </w:p>
        </w:tc>
        <w:tc>
          <w:tcPr>
            <w:tcW w:w="800" w:type="dxa"/>
            <w:vAlign w:val="bottom"/>
            <w:tcBorders>
              <w:bottom w:val="single" w:sz="8" w:color="0B3C61"/>
            </w:tcBorders>
          </w:tcPr>
          <w:p>
            <w:pPr>
              <w:spacing w:after="0"/>
              <w:rPr>
                <w:sz w:val="3"/>
                <w:szCs w:val="3"/>
                <w:color w:val="auto"/>
              </w:rPr>
            </w:pPr>
          </w:p>
        </w:tc>
        <w:tc>
          <w:tcPr>
            <w:tcW w:w="760" w:type="dxa"/>
            <w:vAlign w:val="bottom"/>
            <w:tcBorders>
              <w:bottom w:val="single" w:sz="8" w:color="0B3C61"/>
            </w:tcBorders>
          </w:tcPr>
          <w:p>
            <w:pPr>
              <w:spacing w:after="0"/>
              <w:rPr>
                <w:sz w:val="3"/>
                <w:szCs w:val="3"/>
                <w:color w:val="auto"/>
              </w:rPr>
            </w:pPr>
          </w:p>
        </w:tc>
        <w:tc>
          <w:tcPr>
            <w:tcW w:w="840" w:type="dxa"/>
            <w:vAlign w:val="bottom"/>
            <w:tcBorders>
              <w:bottom w:val="single" w:sz="8" w:color="0B3C61"/>
            </w:tcBorders>
          </w:tcPr>
          <w:p>
            <w:pPr>
              <w:spacing w:after="0"/>
              <w:rPr>
                <w:sz w:val="3"/>
                <w:szCs w:val="3"/>
                <w:color w:val="auto"/>
              </w:rPr>
            </w:pPr>
          </w:p>
        </w:tc>
        <w:tc>
          <w:tcPr>
            <w:tcW w:w="840" w:type="dxa"/>
            <w:vAlign w:val="bottom"/>
            <w:tcBorders>
              <w:bottom w:val="single" w:sz="8" w:color="0B3C61"/>
            </w:tcBorders>
          </w:tcPr>
          <w:p>
            <w:pPr>
              <w:spacing w:after="0"/>
              <w:rPr>
                <w:sz w:val="3"/>
                <w:szCs w:val="3"/>
                <w:color w:val="auto"/>
              </w:rPr>
            </w:pPr>
          </w:p>
        </w:tc>
        <w:tc>
          <w:tcPr>
            <w:tcW w:w="1220" w:type="dxa"/>
            <w:vAlign w:val="bottom"/>
            <w:tcBorders>
              <w:bottom w:val="single" w:sz="8" w:color="0B3C61"/>
            </w:tcBorders>
          </w:tcPr>
          <w:p>
            <w:pPr>
              <w:spacing w:after="0"/>
              <w:rPr>
                <w:sz w:val="3"/>
                <w:szCs w:val="3"/>
                <w:color w:val="auto"/>
              </w:rPr>
            </w:pPr>
          </w:p>
        </w:tc>
        <w:tc>
          <w:tcPr>
            <w:tcW w:w="1220" w:type="dxa"/>
            <w:vAlign w:val="bottom"/>
            <w:tcBorders>
              <w:bottom w:val="single" w:sz="8" w:color="0B3C61"/>
            </w:tcBorders>
          </w:tcPr>
          <w:p>
            <w:pPr>
              <w:spacing w:after="0"/>
              <w:rPr>
                <w:sz w:val="3"/>
                <w:szCs w:val="3"/>
                <w:color w:val="auto"/>
              </w:rPr>
            </w:pPr>
          </w:p>
        </w:tc>
        <w:tc>
          <w:tcPr>
            <w:tcW w:w="460" w:type="dxa"/>
            <w:vAlign w:val="bottom"/>
            <w:tcBorders>
              <w:bottom w:val="single" w:sz="8" w:color="0B3C61"/>
            </w:tcBorders>
          </w:tcPr>
          <w:p>
            <w:pPr>
              <w:spacing w:after="0"/>
              <w:rPr>
                <w:sz w:val="3"/>
                <w:szCs w:val="3"/>
                <w:color w:val="auto"/>
              </w:rPr>
            </w:pPr>
          </w:p>
        </w:tc>
        <w:tc>
          <w:tcPr>
            <w:tcW w:w="440" w:type="dxa"/>
            <w:vAlign w:val="bottom"/>
            <w:tcBorders>
              <w:bottom w:val="single" w:sz="8" w:color="0B3C61"/>
            </w:tcBorders>
          </w:tcPr>
          <w:p>
            <w:pPr>
              <w:spacing w:after="0"/>
              <w:rPr>
                <w:sz w:val="3"/>
                <w:szCs w:val="3"/>
                <w:color w:val="auto"/>
              </w:rPr>
            </w:pPr>
          </w:p>
        </w:tc>
        <w:tc>
          <w:tcPr>
            <w:tcW w:w="480" w:type="dxa"/>
            <w:vAlign w:val="bottom"/>
            <w:tcBorders>
              <w:bottom w:val="single" w:sz="8" w:color="0B3C61"/>
            </w:tcBorders>
          </w:tcPr>
          <w:p>
            <w:pPr>
              <w:spacing w:after="0"/>
              <w:rPr>
                <w:sz w:val="3"/>
                <w:szCs w:val="3"/>
                <w:color w:val="auto"/>
              </w:rPr>
            </w:pPr>
          </w:p>
        </w:tc>
        <w:tc>
          <w:tcPr>
            <w:tcW w:w="420" w:type="dxa"/>
            <w:vAlign w:val="bottom"/>
            <w:tcBorders>
              <w:bottom w:val="single" w:sz="8" w:color="0B3C61"/>
            </w:tcBorders>
          </w:tcPr>
          <w:p>
            <w:pPr>
              <w:spacing w:after="0"/>
              <w:rPr>
                <w:sz w:val="3"/>
                <w:szCs w:val="3"/>
                <w:color w:val="auto"/>
              </w:rPr>
            </w:pPr>
          </w:p>
        </w:tc>
        <w:tc>
          <w:tcPr>
            <w:tcW w:w="780" w:type="dxa"/>
            <w:vAlign w:val="bottom"/>
            <w:tcBorders>
              <w:bottom w:val="single" w:sz="8" w:color="0B3C61"/>
            </w:tcBorders>
          </w:tcPr>
          <w:p>
            <w:pPr>
              <w:spacing w:after="0"/>
              <w:rPr>
                <w:sz w:val="3"/>
                <w:szCs w:val="3"/>
                <w:color w:val="auto"/>
              </w:rPr>
            </w:pPr>
          </w:p>
        </w:tc>
        <w:tc>
          <w:tcPr>
            <w:tcW w:w="600" w:type="dxa"/>
            <w:vAlign w:val="bottom"/>
            <w:tcBorders>
              <w:bottom w:val="single" w:sz="8" w:color="0B3C61"/>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-1448435</wp:posOffset>
            </wp:positionV>
            <wp:extent cx="199707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997075" cy="825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-1448435</wp:posOffset>
            </wp:positionV>
            <wp:extent cx="10801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24" w:lineRule="exact"/>
        <w:rPr>
          <w:sz w:val="20"/>
          <w:szCs w:val="20"/>
          <w:color w:val="auto"/>
        </w:rPr>
      </w:pPr>
    </w:p>
    <w:p>
      <w:pPr>
        <w:ind w:left="520" w:right="120" w:hanging="352"/>
        <w:spacing w:after="0" w:line="243" w:lineRule="auto"/>
        <w:tabs>
          <w:tab w:leader="none" w:pos="520" w:val="left"/>
        </w:tabs>
        <w:numPr>
          <w:ilvl w:val="0"/>
          <w:numId w:val="31"/>
        </w:numPr>
        <w:rPr>
          <w:rFonts w:ascii="Arial" w:cs="Arial" w:eastAsia="Arial" w:hAnsi="Arial"/>
          <w:sz w:val="13"/>
          <w:szCs w:val="13"/>
          <w:color w:val="54565B"/>
        </w:rPr>
      </w:pPr>
      <w:r>
        <w:rPr>
          <w:rFonts w:ascii="Arial" w:cs="Arial" w:eastAsia="Arial" w:hAnsi="Arial"/>
          <w:sz w:val="13"/>
          <w:szCs w:val="13"/>
          <w:color w:val="54565B"/>
        </w:rPr>
        <w:t>For 2021 through 2025, our PEOs were the Co-CEOs, Carl H. Lindner III and S. Craig Lindner. The dollar amounts reported in this column are the amounts of total compensation reported for the Co-CEOs for each corresponding year in the “Total” column of the Summary Compensation Table.</w:t>
      </w:r>
    </w:p>
    <w:p>
      <w:pPr>
        <w:spacing w:after="0" w:line="21" w:lineRule="exact"/>
        <w:rPr>
          <w:rFonts w:ascii="Arial" w:cs="Arial" w:eastAsia="Arial" w:hAnsi="Arial"/>
          <w:sz w:val="13"/>
          <w:szCs w:val="13"/>
          <w:color w:val="54565B"/>
        </w:rPr>
      </w:pPr>
    </w:p>
    <w:p>
      <w:pPr>
        <w:ind w:left="520" w:right="20" w:hanging="352"/>
        <w:spacing w:after="0" w:line="246" w:lineRule="auto"/>
        <w:tabs>
          <w:tab w:leader="none" w:pos="520" w:val="left"/>
        </w:tabs>
        <w:numPr>
          <w:ilvl w:val="0"/>
          <w:numId w:val="31"/>
        </w:numPr>
        <w:rPr>
          <w:rFonts w:ascii="Arial" w:cs="Arial" w:eastAsia="Arial" w:hAnsi="Arial"/>
          <w:sz w:val="12"/>
          <w:szCs w:val="12"/>
          <w:color w:val="54565B"/>
        </w:rPr>
      </w:pPr>
      <w:r>
        <w:rPr>
          <w:rFonts w:ascii="Arial" w:cs="Arial" w:eastAsia="Arial" w:hAnsi="Arial"/>
          <w:sz w:val="12"/>
          <w:szCs w:val="12"/>
          <w:color w:val="54565B"/>
        </w:rPr>
        <w:t>“Compensation actually paid” to our Co-CEOs and Other NEOs in each of 2025, 2024, 2023, 2022 and 2021 reflects the respective amounts set forth in the “Total” column of the Summary Compensation Table, as adjusted as set forth in the table below (dollars in thousands), in accordance with SEC rules. The dollar amounts reflected in the “Total” column of the Summary Compensation Table and above do not reflect the actual amount of compensation earned by or paid to our Co-CEOs and Other NEOs during the applicable year. For information regarding the decisions made by our management and Compensation Committee in regards to the NEO compensation for each fiscal year, please see the Compensation Discussion &amp; Analysis section of this proxy statement.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 w:type="dxa"/>
            <w:vAlign w:val="bottom"/>
            <w:shd w:val="clear" w:color="auto" w:fill="0B3C61"/>
          </w:tcPr>
          <w:p>
            <w:pPr>
              <w:spacing w:after="0"/>
              <w:rPr>
                <w:sz w:val="18"/>
                <w:szCs w:val="18"/>
                <w:color w:val="auto"/>
              </w:rPr>
            </w:pPr>
          </w:p>
        </w:tc>
        <w:tc>
          <w:tcPr>
            <w:tcW w:w="940" w:type="dxa"/>
            <w:vAlign w:val="bottom"/>
            <w:shd w:val="clear" w:color="auto" w:fill="0B3C61"/>
          </w:tcPr>
          <w:p>
            <w:pPr>
              <w:ind w:left="80"/>
              <w:spacing w:after="0"/>
              <w:rPr>
                <w:sz w:val="20"/>
                <w:szCs w:val="20"/>
                <w:color w:val="auto"/>
              </w:rPr>
            </w:pPr>
            <w:r>
              <w:rPr>
                <w:rFonts w:ascii="Arial" w:cs="Arial" w:eastAsia="Arial" w:hAnsi="Arial"/>
                <w:sz w:val="9"/>
                <w:szCs w:val="9"/>
                <w:color w:val="FFFFFF"/>
              </w:rPr>
              <w:t>Covered Year</w:t>
            </w:r>
          </w:p>
        </w:tc>
        <w:tc>
          <w:tcPr>
            <w:tcW w:w="140" w:type="dxa"/>
            <w:vAlign w:val="bottom"/>
            <w:shd w:val="clear" w:color="auto" w:fill="0B3C61"/>
          </w:tcPr>
          <w:p>
            <w:pPr>
              <w:spacing w:after="0"/>
              <w:rPr>
                <w:sz w:val="18"/>
                <w:szCs w:val="18"/>
                <w:color w:val="auto"/>
              </w:rPr>
            </w:pPr>
          </w:p>
        </w:tc>
        <w:tc>
          <w:tcPr>
            <w:tcW w:w="260" w:type="dxa"/>
            <w:vAlign w:val="bottom"/>
            <w:shd w:val="clear" w:color="auto" w:fill="0B3C61"/>
          </w:tcPr>
          <w:p>
            <w:pPr>
              <w:spacing w:after="0"/>
              <w:rPr>
                <w:sz w:val="18"/>
                <w:szCs w:val="18"/>
                <w:color w:val="auto"/>
              </w:rPr>
            </w:pPr>
          </w:p>
        </w:tc>
        <w:tc>
          <w:tcPr>
            <w:tcW w:w="180" w:type="dxa"/>
            <w:vAlign w:val="bottom"/>
            <w:shd w:val="clear" w:color="auto" w:fill="0B3C61"/>
          </w:tcPr>
          <w:p>
            <w:pPr>
              <w:spacing w:after="0"/>
              <w:rPr>
                <w:sz w:val="18"/>
                <w:szCs w:val="18"/>
                <w:color w:val="auto"/>
              </w:rPr>
            </w:pPr>
          </w:p>
        </w:tc>
        <w:tc>
          <w:tcPr>
            <w:tcW w:w="580" w:type="dxa"/>
            <w:vAlign w:val="bottom"/>
            <w:shd w:val="clear" w:color="auto" w:fill="0B3C61"/>
          </w:tcPr>
          <w:p>
            <w:pPr>
              <w:jc w:val="right"/>
              <w:ind w:right="149"/>
              <w:spacing w:after="0"/>
              <w:rPr>
                <w:sz w:val="20"/>
                <w:szCs w:val="20"/>
                <w:color w:val="auto"/>
              </w:rPr>
            </w:pPr>
            <w:r>
              <w:rPr>
                <w:rFonts w:ascii="Arial" w:cs="Arial" w:eastAsia="Arial" w:hAnsi="Arial"/>
                <w:sz w:val="9"/>
                <w:szCs w:val="9"/>
                <w:color w:val="FFFFFF"/>
              </w:rPr>
              <w:t>2025</w:t>
            </w:r>
          </w:p>
        </w:tc>
        <w:tc>
          <w:tcPr>
            <w:tcW w:w="500" w:type="dxa"/>
            <w:vAlign w:val="bottom"/>
            <w:shd w:val="clear" w:color="auto" w:fill="0B3C61"/>
          </w:tcPr>
          <w:p>
            <w:pPr>
              <w:spacing w:after="0"/>
              <w:rPr>
                <w:sz w:val="18"/>
                <w:szCs w:val="18"/>
                <w:color w:val="auto"/>
              </w:rPr>
            </w:pPr>
          </w:p>
        </w:tc>
        <w:tc>
          <w:tcPr>
            <w:tcW w:w="580" w:type="dxa"/>
            <w:vAlign w:val="bottom"/>
            <w:shd w:val="clear" w:color="auto" w:fill="0B3C61"/>
          </w:tcPr>
          <w:p>
            <w:pPr>
              <w:spacing w:after="0"/>
              <w:rPr>
                <w:sz w:val="18"/>
                <w:szCs w:val="18"/>
                <w:color w:val="auto"/>
              </w:rPr>
            </w:pPr>
          </w:p>
        </w:tc>
        <w:tc>
          <w:tcPr>
            <w:tcW w:w="560" w:type="dxa"/>
            <w:vAlign w:val="bottom"/>
            <w:shd w:val="clear" w:color="auto" w:fill="0B3C61"/>
          </w:tcPr>
          <w:p>
            <w:pPr>
              <w:jc w:val="right"/>
              <w:ind w:right="129"/>
              <w:spacing w:after="0"/>
              <w:rPr>
                <w:sz w:val="20"/>
                <w:szCs w:val="20"/>
                <w:color w:val="auto"/>
              </w:rPr>
            </w:pPr>
            <w:r>
              <w:rPr>
                <w:rFonts w:ascii="Arial" w:cs="Arial" w:eastAsia="Arial" w:hAnsi="Arial"/>
                <w:sz w:val="9"/>
                <w:szCs w:val="9"/>
                <w:color w:val="FFFFFF"/>
              </w:rPr>
              <w:t>2024</w:t>
            </w:r>
          </w:p>
        </w:tc>
        <w:tc>
          <w:tcPr>
            <w:tcW w:w="520" w:type="dxa"/>
            <w:vAlign w:val="bottom"/>
            <w:shd w:val="clear" w:color="auto" w:fill="0B3C61"/>
          </w:tcPr>
          <w:p>
            <w:pPr>
              <w:spacing w:after="0"/>
              <w:rPr>
                <w:sz w:val="18"/>
                <w:szCs w:val="18"/>
                <w:color w:val="auto"/>
              </w:rPr>
            </w:pPr>
          </w:p>
        </w:tc>
        <w:tc>
          <w:tcPr>
            <w:tcW w:w="600" w:type="dxa"/>
            <w:vAlign w:val="bottom"/>
            <w:shd w:val="clear" w:color="auto" w:fill="0B3C61"/>
          </w:tcPr>
          <w:p>
            <w:pPr>
              <w:spacing w:after="0"/>
              <w:rPr>
                <w:sz w:val="18"/>
                <w:szCs w:val="18"/>
                <w:color w:val="auto"/>
              </w:rPr>
            </w:pPr>
          </w:p>
        </w:tc>
        <w:tc>
          <w:tcPr>
            <w:tcW w:w="560" w:type="dxa"/>
            <w:vAlign w:val="bottom"/>
            <w:shd w:val="clear" w:color="auto" w:fill="0B3C61"/>
          </w:tcPr>
          <w:p>
            <w:pPr>
              <w:jc w:val="right"/>
              <w:ind w:right="149"/>
              <w:spacing w:after="0"/>
              <w:rPr>
                <w:sz w:val="20"/>
                <w:szCs w:val="20"/>
                <w:color w:val="auto"/>
              </w:rPr>
            </w:pPr>
            <w:r>
              <w:rPr>
                <w:rFonts w:ascii="Arial" w:cs="Arial" w:eastAsia="Arial" w:hAnsi="Arial"/>
                <w:sz w:val="9"/>
                <w:szCs w:val="9"/>
                <w:color w:val="FFFFFF"/>
              </w:rPr>
              <w:t>2023</w:t>
            </w:r>
          </w:p>
        </w:tc>
        <w:tc>
          <w:tcPr>
            <w:tcW w:w="500" w:type="dxa"/>
            <w:vAlign w:val="bottom"/>
            <w:shd w:val="clear" w:color="auto" w:fill="0B3C61"/>
          </w:tcPr>
          <w:p>
            <w:pPr>
              <w:spacing w:after="0"/>
              <w:rPr>
                <w:sz w:val="18"/>
                <w:szCs w:val="18"/>
                <w:color w:val="auto"/>
              </w:rPr>
            </w:pPr>
          </w:p>
        </w:tc>
        <w:tc>
          <w:tcPr>
            <w:tcW w:w="580" w:type="dxa"/>
            <w:vAlign w:val="bottom"/>
            <w:shd w:val="clear" w:color="auto" w:fill="0B3C61"/>
          </w:tcPr>
          <w:p>
            <w:pPr>
              <w:spacing w:after="0"/>
              <w:rPr>
                <w:sz w:val="18"/>
                <w:szCs w:val="18"/>
                <w:color w:val="auto"/>
              </w:rPr>
            </w:pPr>
          </w:p>
        </w:tc>
        <w:tc>
          <w:tcPr>
            <w:tcW w:w="580" w:type="dxa"/>
            <w:vAlign w:val="bottom"/>
            <w:shd w:val="clear" w:color="auto" w:fill="0B3C61"/>
          </w:tcPr>
          <w:p>
            <w:pPr>
              <w:jc w:val="right"/>
              <w:ind w:right="149"/>
              <w:spacing w:after="0"/>
              <w:rPr>
                <w:sz w:val="20"/>
                <w:szCs w:val="20"/>
                <w:color w:val="auto"/>
              </w:rPr>
            </w:pPr>
            <w:r>
              <w:rPr>
                <w:rFonts w:ascii="Arial" w:cs="Arial" w:eastAsia="Arial" w:hAnsi="Arial"/>
                <w:sz w:val="9"/>
                <w:szCs w:val="9"/>
                <w:color w:val="FFFFFF"/>
              </w:rPr>
              <w:t>2022</w:t>
            </w:r>
          </w:p>
        </w:tc>
        <w:tc>
          <w:tcPr>
            <w:tcW w:w="500" w:type="dxa"/>
            <w:vAlign w:val="bottom"/>
            <w:shd w:val="clear" w:color="auto" w:fill="0B3C61"/>
          </w:tcPr>
          <w:p>
            <w:pPr>
              <w:spacing w:after="0"/>
              <w:rPr>
                <w:sz w:val="18"/>
                <w:szCs w:val="18"/>
                <w:color w:val="auto"/>
              </w:rPr>
            </w:pPr>
          </w:p>
        </w:tc>
        <w:tc>
          <w:tcPr>
            <w:tcW w:w="580" w:type="dxa"/>
            <w:vAlign w:val="bottom"/>
            <w:shd w:val="clear" w:color="auto" w:fill="0B3C61"/>
          </w:tcPr>
          <w:p>
            <w:pPr>
              <w:spacing w:after="0"/>
              <w:rPr>
                <w:sz w:val="18"/>
                <w:szCs w:val="18"/>
                <w:color w:val="auto"/>
              </w:rPr>
            </w:pPr>
          </w:p>
        </w:tc>
        <w:tc>
          <w:tcPr>
            <w:tcW w:w="580" w:type="dxa"/>
            <w:vAlign w:val="bottom"/>
            <w:shd w:val="clear" w:color="auto" w:fill="0B3C61"/>
          </w:tcPr>
          <w:p>
            <w:pPr>
              <w:jc w:val="right"/>
              <w:ind w:right="149"/>
              <w:spacing w:after="0"/>
              <w:rPr>
                <w:sz w:val="20"/>
                <w:szCs w:val="20"/>
                <w:color w:val="auto"/>
              </w:rPr>
            </w:pPr>
            <w:r>
              <w:rPr>
                <w:rFonts w:ascii="Arial" w:cs="Arial" w:eastAsia="Arial" w:hAnsi="Arial"/>
                <w:sz w:val="9"/>
                <w:szCs w:val="9"/>
                <w:color w:val="FFFFFF"/>
              </w:rPr>
              <w:t>2021</w:t>
            </w:r>
          </w:p>
        </w:tc>
        <w:tc>
          <w:tcPr>
            <w:tcW w:w="500" w:type="dxa"/>
            <w:vAlign w:val="bottom"/>
            <w:shd w:val="clear" w:color="auto" w:fill="0B3C61"/>
          </w:tcPr>
          <w:p>
            <w:pPr>
              <w:spacing w:after="0"/>
              <w:rPr>
                <w:sz w:val="18"/>
                <w:szCs w:val="18"/>
                <w:color w:val="auto"/>
              </w:rPr>
            </w:pPr>
          </w:p>
        </w:tc>
        <w:tc>
          <w:tcPr>
            <w:tcW w:w="100" w:type="dxa"/>
            <w:vAlign w:val="bottom"/>
            <w:shd w:val="clear" w:color="auto" w:fill="0B3C61"/>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 w:type="dxa"/>
            <w:vAlign w:val="bottom"/>
            <w:shd w:val="clear" w:color="auto" w:fill="0B3C61"/>
          </w:tcPr>
          <w:p>
            <w:pPr>
              <w:spacing w:after="0"/>
              <w:rPr>
                <w:sz w:val="21"/>
                <w:szCs w:val="21"/>
                <w:color w:val="auto"/>
              </w:rPr>
            </w:pPr>
          </w:p>
        </w:tc>
        <w:tc>
          <w:tcPr>
            <w:tcW w:w="940" w:type="dxa"/>
            <w:vAlign w:val="bottom"/>
            <w:shd w:val="clear" w:color="auto" w:fill="0B3C61"/>
          </w:tcPr>
          <w:p>
            <w:pPr>
              <w:spacing w:after="0"/>
              <w:rPr>
                <w:sz w:val="21"/>
                <w:szCs w:val="21"/>
                <w:color w:val="auto"/>
              </w:rPr>
            </w:pPr>
          </w:p>
        </w:tc>
        <w:tc>
          <w:tcPr>
            <w:tcW w:w="140" w:type="dxa"/>
            <w:vAlign w:val="bottom"/>
            <w:shd w:val="clear" w:color="auto" w:fill="0B3C61"/>
          </w:tcPr>
          <w:p>
            <w:pPr>
              <w:spacing w:after="0"/>
              <w:rPr>
                <w:sz w:val="21"/>
                <w:szCs w:val="21"/>
                <w:color w:val="auto"/>
              </w:rPr>
            </w:pPr>
          </w:p>
        </w:tc>
        <w:tc>
          <w:tcPr>
            <w:tcW w:w="260" w:type="dxa"/>
            <w:vAlign w:val="bottom"/>
            <w:shd w:val="clear" w:color="auto" w:fill="0B3C61"/>
          </w:tcPr>
          <w:p>
            <w:pPr>
              <w:spacing w:after="0"/>
              <w:rPr>
                <w:sz w:val="21"/>
                <w:szCs w:val="21"/>
                <w:color w:val="auto"/>
              </w:rPr>
            </w:pPr>
          </w:p>
        </w:tc>
        <w:tc>
          <w:tcPr>
            <w:tcW w:w="180" w:type="dxa"/>
            <w:vAlign w:val="bottom"/>
            <w:shd w:val="clear" w:color="auto" w:fill="0B3C61"/>
          </w:tcPr>
          <w:p>
            <w:pPr>
              <w:spacing w:after="0"/>
              <w:rPr>
                <w:sz w:val="21"/>
                <w:szCs w:val="21"/>
                <w:color w:val="auto"/>
              </w:rPr>
            </w:pPr>
          </w:p>
        </w:tc>
        <w:tc>
          <w:tcPr>
            <w:tcW w:w="580" w:type="dxa"/>
            <w:vAlign w:val="bottom"/>
            <w:shd w:val="clear" w:color="auto" w:fill="0B3C61"/>
          </w:tcPr>
          <w:p>
            <w:pPr>
              <w:spacing w:after="0"/>
              <w:rPr>
                <w:sz w:val="21"/>
                <w:szCs w:val="21"/>
                <w:color w:val="auto"/>
              </w:rPr>
            </w:pPr>
          </w:p>
        </w:tc>
        <w:tc>
          <w:tcPr>
            <w:tcW w:w="500" w:type="dxa"/>
            <w:vAlign w:val="bottom"/>
            <w:shd w:val="clear" w:color="auto" w:fill="0B3C61"/>
          </w:tcPr>
          <w:p>
            <w:pPr>
              <w:jc w:val="right"/>
              <w:ind w:right="9"/>
              <w:spacing w:after="0"/>
              <w:rPr>
                <w:sz w:val="20"/>
                <w:szCs w:val="20"/>
                <w:color w:val="auto"/>
              </w:rPr>
            </w:pPr>
            <w:r>
              <w:rPr>
                <w:rFonts w:ascii="Arial" w:cs="Arial" w:eastAsia="Arial" w:hAnsi="Arial"/>
                <w:sz w:val="9"/>
                <w:szCs w:val="9"/>
                <w:color w:val="FFFFFF"/>
              </w:rPr>
              <w:t>Non-PEO</w:t>
            </w:r>
          </w:p>
        </w:tc>
        <w:tc>
          <w:tcPr>
            <w:tcW w:w="580" w:type="dxa"/>
            <w:vAlign w:val="bottom"/>
            <w:shd w:val="clear" w:color="auto" w:fill="0B3C61"/>
          </w:tcPr>
          <w:p>
            <w:pPr>
              <w:spacing w:after="0"/>
              <w:rPr>
                <w:sz w:val="21"/>
                <w:szCs w:val="21"/>
                <w:color w:val="auto"/>
              </w:rPr>
            </w:pPr>
          </w:p>
        </w:tc>
        <w:tc>
          <w:tcPr>
            <w:tcW w:w="560" w:type="dxa"/>
            <w:vAlign w:val="bottom"/>
            <w:shd w:val="clear" w:color="auto" w:fill="0B3C61"/>
          </w:tcPr>
          <w:p>
            <w:pPr>
              <w:spacing w:after="0"/>
              <w:rPr>
                <w:sz w:val="21"/>
                <w:szCs w:val="21"/>
                <w:color w:val="auto"/>
              </w:rPr>
            </w:pPr>
          </w:p>
        </w:tc>
        <w:tc>
          <w:tcPr>
            <w:tcW w:w="520" w:type="dxa"/>
            <w:vAlign w:val="bottom"/>
            <w:shd w:val="clear" w:color="auto" w:fill="0B3C61"/>
          </w:tcPr>
          <w:p>
            <w:pPr>
              <w:jc w:val="right"/>
              <w:ind w:right="9"/>
              <w:spacing w:after="0"/>
              <w:rPr>
                <w:sz w:val="20"/>
                <w:szCs w:val="20"/>
                <w:color w:val="auto"/>
              </w:rPr>
            </w:pPr>
            <w:r>
              <w:rPr>
                <w:rFonts w:ascii="Arial" w:cs="Arial" w:eastAsia="Arial" w:hAnsi="Arial"/>
                <w:sz w:val="9"/>
                <w:szCs w:val="9"/>
                <w:color w:val="FFFFFF"/>
              </w:rPr>
              <w:t>Non-PEO</w:t>
            </w:r>
          </w:p>
        </w:tc>
        <w:tc>
          <w:tcPr>
            <w:tcW w:w="600" w:type="dxa"/>
            <w:vAlign w:val="bottom"/>
            <w:shd w:val="clear" w:color="auto" w:fill="0B3C61"/>
          </w:tcPr>
          <w:p>
            <w:pPr>
              <w:spacing w:after="0"/>
              <w:rPr>
                <w:sz w:val="21"/>
                <w:szCs w:val="21"/>
                <w:color w:val="auto"/>
              </w:rPr>
            </w:pPr>
          </w:p>
        </w:tc>
        <w:tc>
          <w:tcPr>
            <w:tcW w:w="560" w:type="dxa"/>
            <w:vAlign w:val="bottom"/>
            <w:shd w:val="clear" w:color="auto" w:fill="0B3C61"/>
          </w:tcPr>
          <w:p>
            <w:pPr>
              <w:spacing w:after="0"/>
              <w:rPr>
                <w:sz w:val="21"/>
                <w:szCs w:val="21"/>
                <w:color w:val="auto"/>
              </w:rPr>
            </w:pPr>
          </w:p>
        </w:tc>
        <w:tc>
          <w:tcPr>
            <w:tcW w:w="500" w:type="dxa"/>
            <w:vAlign w:val="bottom"/>
            <w:shd w:val="clear" w:color="auto" w:fill="0B3C61"/>
          </w:tcPr>
          <w:p>
            <w:pPr>
              <w:jc w:val="center"/>
              <w:spacing w:after="0"/>
              <w:rPr>
                <w:sz w:val="20"/>
                <w:szCs w:val="20"/>
                <w:color w:val="auto"/>
              </w:rPr>
            </w:pPr>
            <w:r>
              <w:rPr>
                <w:rFonts w:ascii="Arial" w:cs="Arial" w:eastAsia="Arial" w:hAnsi="Arial"/>
                <w:sz w:val="9"/>
                <w:szCs w:val="9"/>
                <w:color w:val="FFFFFF"/>
                <w:w w:val="98"/>
              </w:rPr>
              <w:t>Non-PEO</w:t>
            </w:r>
          </w:p>
        </w:tc>
        <w:tc>
          <w:tcPr>
            <w:tcW w:w="580" w:type="dxa"/>
            <w:vAlign w:val="bottom"/>
            <w:shd w:val="clear" w:color="auto" w:fill="0B3C61"/>
          </w:tcPr>
          <w:p>
            <w:pPr>
              <w:spacing w:after="0"/>
              <w:rPr>
                <w:sz w:val="21"/>
                <w:szCs w:val="21"/>
                <w:color w:val="auto"/>
              </w:rPr>
            </w:pPr>
          </w:p>
        </w:tc>
        <w:tc>
          <w:tcPr>
            <w:tcW w:w="580" w:type="dxa"/>
            <w:vAlign w:val="bottom"/>
            <w:shd w:val="clear" w:color="auto" w:fill="0B3C61"/>
          </w:tcPr>
          <w:p>
            <w:pPr>
              <w:spacing w:after="0"/>
              <w:rPr>
                <w:sz w:val="21"/>
                <w:szCs w:val="21"/>
                <w:color w:val="auto"/>
              </w:rPr>
            </w:pPr>
          </w:p>
        </w:tc>
        <w:tc>
          <w:tcPr>
            <w:tcW w:w="500" w:type="dxa"/>
            <w:vAlign w:val="bottom"/>
            <w:shd w:val="clear" w:color="auto" w:fill="0B3C61"/>
          </w:tcPr>
          <w:p>
            <w:pPr>
              <w:jc w:val="center"/>
              <w:spacing w:after="0"/>
              <w:rPr>
                <w:sz w:val="20"/>
                <w:szCs w:val="20"/>
                <w:color w:val="auto"/>
              </w:rPr>
            </w:pPr>
            <w:r>
              <w:rPr>
                <w:rFonts w:ascii="Arial" w:cs="Arial" w:eastAsia="Arial" w:hAnsi="Arial"/>
                <w:sz w:val="9"/>
                <w:szCs w:val="9"/>
                <w:color w:val="FFFFFF"/>
                <w:w w:val="98"/>
              </w:rPr>
              <w:t>Non-PEO</w:t>
            </w:r>
          </w:p>
        </w:tc>
        <w:tc>
          <w:tcPr>
            <w:tcW w:w="580" w:type="dxa"/>
            <w:vAlign w:val="bottom"/>
            <w:shd w:val="clear" w:color="auto" w:fill="0B3C61"/>
          </w:tcPr>
          <w:p>
            <w:pPr>
              <w:spacing w:after="0"/>
              <w:rPr>
                <w:sz w:val="21"/>
                <w:szCs w:val="21"/>
                <w:color w:val="auto"/>
              </w:rPr>
            </w:pPr>
          </w:p>
        </w:tc>
        <w:tc>
          <w:tcPr>
            <w:tcW w:w="580" w:type="dxa"/>
            <w:vAlign w:val="bottom"/>
            <w:shd w:val="clear" w:color="auto" w:fill="0B3C61"/>
          </w:tcPr>
          <w:p>
            <w:pPr>
              <w:spacing w:after="0"/>
              <w:rPr>
                <w:sz w:val="21"/>
                <w:szCs w:val="21"/>
                <w:color w:val="auto"/>
              </w:rPr>
            </w:pPr>
          </w:p>
        </w:tc>
        <w:tc>
          <w:tcPr>
            <w:tcW w:w="500" w:type="dxa"/>
            <w:vAlign w:val="bottom"/>
            <w:shd w:val="clear" w:color="auto" w:fill="0B3C61"/>
          </w:tcPr>
          <w:p>
            <w:pPr>
              <w:jc w:val="center"/>
              <w:spacing w:after="0"/>
              <w:rPr>
                <w:sz w:val="20"/>
                <w:szCs w:val="20"/>
                <w:color w:val="auto"/>
              </w:rPr>
            </w:pPr>
            <w:r>
              <w:rPr>
                <w:rFonts w:ascii="Arial" w:cs="Arial" w:eastAsia="Arial" w:hAnsi="Arial"/>
                <w:sz w:val="9"/>
                <w:szCs w:val="9"/>
                <w:color w:val="FFFFFF"/>
                <w:w w:val="98"/>
              </w:rPr>
              <w:t>Non-PEO</w:t>
            </w:r>
          </w:p>
        </w:tc>
        <w:tc>
          <w:tcPr>
            <w:tcW w:w="100" w:type="dxa"/>
            <w:vAlign w:val="bottom"/>
            <w:shd w:val="clear" w:color="auto" w:fill="0B3C61"/>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60" w:type="dxa"/>
            <w:vAlign w:val="bottom"/>
            <w:shd w:val="clear" w:color="auto" w:fill="0B3C61"/>
          </w:tcPr>
          <w:p>
            <w:pPr>
              <w:spacing w:after="0"/>
              <w:rPr>
                <w:sz w:val="8"/>
                <w:szCs w:val="8"/>
                <w:color w:val="auto"/>
              </w:rPr>
            </w:pPr>
          </w:p>
        </w:tc>
        <w:tc>
          <w:tcPr>
            <w:tcW w:w="940" w:type="dxa"/>
            <w:vAlign w:val="bottom"/>
            <w:shd w:val="clear" w:color="auto" w:fill="0B3C61"/>
          </w:tcPr>
          <w:p>
            <w:pPr>
              <w:spacing w:after="0"/>
              <w:rPr>
                <w:sz w:val="8"/>
                <w:szCs w:val="8"/>
                <w:color w:val="auto"/>
              </w:rPr>
            </w:pPr>
          </w:p>
        </w:tc>
        <w:tc>
          <w:tcPr>
            <w:tcW w:w="140" w:type="dxa"/>
            <w:vAlign w:val="bottom"/>
            <w:shd w:val="clear" w:color="auto" w:fill="0B3C61"/>
          </w:tcPr>
          <w:p>
            <w:pPr>
              <w:spacing w:after="0"/>
              <w:rPr>
                <w:sz w:val="8"/>
                <w:szCs w:val="8"/>
                <w:color w:val="auto"/>
              </w:rPr>
            </w:pPr>
          </w:p>
        </w:tc>
        <w:tc>
          <w:tcPr>
            <w:tcW w:w="440" w:type="dxa"/>
            <w:vAlign w:val="bottom"/>
            <w:gridSpan w:val="2"/>
            <w:shd w:val="clear" w:color="auto" w:fill="0B3C61"/>
          </w:tcPr>
          <w:p>
            <w:pPr>
              <w:jc w:val="center"/>
              <w:ind w:right="71"/>
              <w:spacing w:after="0" w:line="95" w:lineRule="exact"/>
              <w:rPr>
                <w:sz w:val="20"/>
                <w:szCs w:val="20"/>
                <w:color w:val="auto"/>
              </w:rPr>
            </w:pPr>
            <w:r>
              <w:rPr>
                <w:rFonts w:ascii="Arial" w:cs="Arial" w:eastAsia="Arial" w:hAnsi="Arial"/>
                <w:sz w:val="9"/>
                <w:szCs w:val="9"/>
                <w:color w:val="FFFFFF"/>
                <w:w w:val="99"/>
              </w:rPr>
              <w:t>Carl H.</w:t>
            </w:r>
          </w:p>
        </w:tc>
        <w:tc>
          <w:tcPr>
            <w:tcW w:w="580" w:type="dxa"/>
            <w:vAlign w:val="bottom"/>
            <w:shd w:val="clear" w:color="auto" w:fill="0B3C61"/>
          </w:tcPr>
          <w:p>
            <w:pPr>
              <w:jc w:val="right"/>
              <w:ind w:right="89"/>
              <w:spacing w:after="0" w:line="95" w:lineRule="exact"/>
              <w:rPr>
                <w:sz w:val="20"/>
                <w:szCs w:val="20"/>
                <w:color w:val="auto"/>
              </w:rPr>
            </w:pPr>
            <w:r>
              <w:rPr>
                <w:rFonts w:ascii="Arial" w:cs="Arial" w:eastAsia="Arial" w:hAnsi="Arial"/>
                <w:sz w:val="9"/>
                <w:szCs w:val="9"/>
                <w:color w:val="FFFFFF"/>
              </w:rPr>
              <w:t>S. Craig</w:t>
            </w:r>
          </w:p>
        </w:tc>
        <w:tc>
          <w:tcPr>
            <w:tcW w:w="500" w:type="dxa"/>
            <w:vAlign w:val="bottom"/>
            <w:shd w:val="clear" w:color="auto" w:fill="0B3C61"/>
          </w:tcPr>
          <w:p>
            <w:pPr>
              <w:jc w:val="right"/>
              <w:ind w:right="89"/>
              <w:spacing w:after="0" w:line="95" w:lineRule="exact"/>
              <w:rPr>
                <w:sz w:val="20"/>
                <w:szCs w:val="20"/>
                <w:color w:val="auto"/>
              </w:rPr>
            </w:pPr>
            <w:r>
              <w:rPr>
                <w:rFonts w:ascii="Arial" w:cs="Arial" w:eastAsia="Arial" w:hAnsi="Arial"/>
                <w:sz w:val="9"/>
                <w:szCs w:val="9"/>
                <w:color w:val="FFFFFF"/>
              </w:rPr>
              <w:t>NEOs</w:t>
            </w:r>
          </w:p>
        </w:tc>
        <w:tc>
          <w:tcPr>
            <w:tcW w:w="580" w:type="dxa"/>
            <w:vAlign w:val="bottom"/>
            <w:shd w:val="clear" w:color="auto" w:fill="0B3C61"/>
          </w:tcPr>
          <w:p>
            <w:pPr>
              <w:jc w:val="center"/>
              <w:spacing w:after="0" w:line="95" w:lineRule="exact"/>
              <w:rPr>
                <w:sz w:val="20"/>
                <w:szCs w:val="20"/>
                <w:color w:val="auto"/>
              </w:rPr>
            </w:pPr>
            <w:r>
              <w:rPr>
                <w:rFonts w:ascii="Arial" w:cs="Arial" w:eastAsia="Arial" w:hAnsi="Arial"/>
                <w:sz w:val="9"/>
                <w:szCs w:val="9"/>
                <w:color w:val="FFFFFF"/>
                <w:w w:val="99"/>
              </w:rPr>
              <w:t>Carl H.</w:t>
            </w:r>
          </w:p>
        </w:tc>
        <w:tc>
          <w:tcPr>
            <w:tcW w:w="560" w:type="dxa"/>
            <w:vAlign w:val="bottom"/>
            <w:shd w:val="clear" w:color="auto" w:fill="0B3C61"/>
          </w:tcPr>
          <w:p>
            <w:pPr>
              <w:jc w:val="right"/>
              <w:ind w:right="69"/>
              <w:spacing w:after="0" w:line="95" w:lineRule="exact"/>
              <w:rPr>
                <w:sz w:val="20"/>
                <w:szCs w:val="20"/>
                <w:color w:val="auto"/>
              </w:rPr>
            </w:pPr>
            <w:r>
              <w:rPr>
                <w:rFonts w:ascii="Arial" w:cs="Arial" w:eastAsia="Arial" w:hAnsi="Arial"/>
                <w:sz w:val="9"/>
                <w:szCs w:val="9"/>
                <w:color w:val="FFFFFF"/>
              </w:rPr>
              <w:t>S. Craig</w:t>
            </w:r>
          </w:p>
        </w:tc>
        <w:tc>
          <w:tcPr>
            <w:tcW w:w="520" w:type="dxa"/>
            <w:vAlign w:val="bottom"/>
            <w:shd w:val="clear" w:color="auto" w:fill="0B3C61"/>
          </w:tcPr>
          <w:p>
            <w:pPr>
              <w:jc w:val="center"/>
              <w:spacing w:after="0" w:line="95" w:lineRule="exact"/>
              <w:rPr>
                <w:sz w:val="20"/>
                <w:szCs w:val="20"/>
                <w:color w:val="auto"/>
              </w:rPr>
            </w:pPr>
            <w:r>
              <w:rPr>
                <w:rFonts w:ascii="Arial" w:cs="Arial" w:eastAsia="Arial" w:hAnsi="Arial"/>
                <w:sz w:val="9"/>
                <w:szCs w:val="9"/>
                <w:color w:val="FFFFFF"/>
                <w:w w:val="99"/>
              </w:rPr>
              <w:t>NEOs</w:t>
            </w:r>
          </w:p>
        </w:tc>
        <w:tc>
          <w:tcPr>
            <w:tcW w:w="600" w:type="dxa"/>
            <w:vAlign w:val="bottom"/>
            <w:shd w:val="clear" w:color="auto" w:fill="0B3C61"/>
          </w:tcPr>
          <w:p>
            <w:pPr>
              <w:jc w:val="center"/>
              <w:spacing w:after="0" w:line="95" w:lineRule="exact"/>
              <w:rPr>
                <w:sz w:val="20"/>
                <w:szCs w:val="20"/>
                <w:color w:val="auto"/>
              </w:rPr>
            </w:pPr>
            <w:r>
              <w:rPr>
                <w:rFonts w:ascii="Arial" w:cs="Arial" w:eastAsia="Arial" w:hAnsi="Arial"/>
                <w:sz w:val="9"/>
                <w:szCs w:val="9"/>
                <w:color w:val="FFFFFF"/>
                <w:w w:val="99"/>
              </w:rPr>
              <w:t>Carl H.</w:t>
            </w:r>
          </w:p>
        </w:tc>
        <w:tc>
          <w:tcPr>
            <w:tcW w:w="560" w:type="dxa"/>
            <w:vAlign w:val="bottom"/>
            <w:shd w:val="clear" w:color="auto" w:fill="0B3C61"/>
          </w:tcPr>
          <w:p>
            <w:pPr>
              <w:jc w:val="right"/>
              <w:ind w:right="89"/>
              <w:spacing w:after="0" w:line="95" w:lineRule="exact"/>
              <w:rPr>
                <w:sz w:val="20"/>
                <w:szCs w:val="20"/>
                <w:color w:val="auto"/>
              </w:rPr>
            </w:pPr>
            <w:r>
              <w:rPr>
                <w:rFonts w:ascii="Arial" w:cs="Arial" w:eastAsia="Arial" w:hAnsi="Arial"/>
                <w:sz w:val="9"/>
                <w:szCs w:val="9"/>
                <w:color w:val="FFFFFF"/>
              </w:rPr>
              <w:t>S. Craig</w:t>
            </w:r>
          </w:p>
        </w:tc>
        <w:tc>
          <w:tcPr>
            <w:tcW w:w="500" w:type="dxa"/>
            <w:vAlign w:val="bottom"/>
            <w:shd w:val="clear" w:color="auto" w:fill="0B3C61"/>
          </w:tcPr>
          <w:p>
            <w:pPr>
              <w:jc w:val="center"/>
              <w:spacing w:after="0" w:line="95" w:lineRule="exact"/>
              <w:rPr>
                <w:sz w:val="20"/>
                <w:szCs w:val="20"/>
                <w:color w:val="auto"/>
              </w:rPr>
            </w:pPr>
            <w:r>
              <w:rPr>
                <w:rFonts w:ascii="Arial" w:cs="Arial" w:eastAsia="Arial" w:hAnsi="Arial"/>
                <w:sz w:val="9"/>
                <w:szCs w:val="9"/>
                <w:color w:val="FFFFFF"/>
                <w:w w:val="99"/>
              </w:rPr>
              <w:t>NEOs</w:t>
            </w:r>
          </w:p>
        </w:tc>
        <w:tc>
          <w:tcPr>
            <w:tcW w:w="580" w:type="dxa"/>
            <w:vAlign w:val="bottom"/>
            <w:shd w:val="clear" w:color="auto" w:fill="0B3C61"/>
          </w:tcPr>
          <w:p>
            <w:pPr>
              <w:jc w:val="center"/>
              <w:spacing w:after="0" w:line="95" w:lineRule="exact"/>
              <w:rPr>
                <w:sz w:val="20"/>
                <w:szCs w:val="20"/>
                <w:color w:val="auto"/>
              </w:rPr>
            </w:pPr>
            <w:r>
              <w:rPr>
                <w:rFonts w:ascii="Arial" w:cs="Arial" w:eastAsia="Arial" w:hAnsi="Arial"/>
                <w:sz w:val="9"/>
                <w:szCs w:val="9"/>
                <w:color w:val="FFFFFF"/>
                <w:w w:val="99"/>
              </w:rPr>
              <w:t>Carl H.</w:t>
            </w:r>
          </w:p>
        </w:tc>
        <w:tc>
          <w:tcPr>
            <w:tcW w:w="580" w:type="dxa"/>
            <w:vAlign w:val="bottom"/>
            <w:shd w:val="clear" w:color="auto" w:fill="0B3C61"/>
          </w:tcPr>
          <w:p>
            <w:pPr>
              <w:jc w:val="right"/>
              <w:ind w:right="89"/>
              <w:spacing w:after="0" w:line="95" w:lineRule="exact"/>
              <w:rPr>
                <w:sz w:val="20"/>
                <w:szCs w:val="20"/>
                <w:color w:val="auto"/>
              </w:rPr>
            </w:pPr>
            <w:r>
              <w:rPr>
                <w:rFonts w:ascii="Arial" w:cs="Arial" w:eastAsia="Arial" w:hAnsi="Arial"/>
                <w:sz w:val="9"/>
                <w:szCs w:val="9"/>
                <w:color w:val="FFFFFF"/>
              </w:rPr>
              <w:t>S. Craig</w:t>
            </w:r>
          </w:p>
        </w:tc>
        <w:tc>
          <w:tcPr>
            <w:tcW w:w="500" w:type="dxa"/>
            <w:vAlign w:val="bottom"/>
            <w:shd w:val="clear" w:color="auto" w:fill="0B3C61"/>
          </w:tcPr>
          <w:p>
            <w:pPr>
              <w:jc w:val="center"/>
              <w:spacing w:after="0" w:line="95" w:lineRule="exact"/>
              <w:rPr>
                <w:sz w:val="20"/>
                <w:szCs w:val="20"/>
                <w:color w:val="auto"/>
              </w:rPr>
            </w:pPr>
            <w:r>
              <w:rPr>
                <w:rFonts w:ascii="Arial" w:cs="Arial" w:eastAsia="Arial" w:hAnsi="Arial"/>
                <w:sz w:val="9"/>
                <w:szCs w:val="9"/>
                <w:color w:val="FFFFFF"/>
                <w:w w:val="99"/>
              </w:rPr>
              <w:t>NEOs</w:t>
            </w:r>
          </w:p>
        </w:tc>
        <w:tc>
          <w:tcPr>
            <w:tcW w:w="580" w:type="dxa"/>
            <w:vAlign w:val="bottom"/>
            <w:shd w:val="clear" w:color="auto" w:fill="0B3C61"/>
          </w:tcPr>
          <w:p>
            <w:pPr>
              <w:jc w:val="center"/>
              <w:spacing w:after="0" w:line="95" w:lineRule="exact"/>
              <w:rPr>
                <w:sz w:val="20"/>
                <w:szCs w:val="20"/>
                <w:color w:val="auto"/>
              </w:rPr>
            </w:pPr>
            <w:r>
              <w:rPr>
                <w:rFonts w:ascii="Arial" w:cs="Arial" w:eastAsia="Arial" w:hAnsi="Arial"/>
                <w:sz w:val="9"/>
                <w:szCs w:val="9"/>
                <w:color w:val="FFFFFF"/>
                <w:w w:val="99"/>
              </w:rPr>
              <w:t>Carl H.</w:t>
            </w:r>
          </w:p>
        </w:tc>
        <w:tc>
          <w:tcPr>
            <w:tcW w:w="580" w:type="dxa"/>
            <w:vAlign w:val="bottom"/>
            <w:shd w:val="clear" w:color="auto" w:fill="0B3C61"/>
          </w:tcPr>
          <w:p>
            <w:pPr>
              <w:jc w:val="right"/>
              <w:ind w:right="89"/>
              <w:spacing w:after="0" w:line="95" w:lineRule="exact"/>
              <w:rPr>
                <w:sz w:val="20"/>
                <w:szCs w:val="20"/>
                <w:color w:val="auto"/>
              </w:rPr>
            </w:pPr>
            <w:r>
              <w:rPr>
                <w:rFonts w:ascii="Arial" w:cs="Arial" w:eastAsia="Arial" w:hAnsi="Arial"/>
                <w:sz w:val="9"/>
                <w:szCs w:val="9"/>
                <w:color w:val="FFFFFF"/>
              </w:rPr>
              <w:t>S. Craig</w:t>
            </w:r>
          </w:p>
        </w:tc>
        <w:tc>
          <w:tcPr>
            <w:tcW w:w="500" w:type="dxa"/>
            <w:vAlign w:val="bottom"/>
            <w:shd w:val="clear" w:color="auto" w:fill="0B3C61"/>
          </w:tcPr>
          <w:p>
            <w:pPr>
              <w:jc w:val="center"/>
              <w:spacing w:after="0" w:line="95" w:lineRule="exact"/>
              <w:rPr>
                <w:sz w:val="20"/>
                <w:szCs w:val="20"/>
                <w:color w:val="auto"/>
              </w:rPr>
            </w:pPr>
            <w:r>
              <w:rPr>
                <w:rFonts w:ascii="Arial" w:cs="Arial" w:eastAsia="Arial" w:hAnsi="Arial"/>
                <w:sz w:val="9"/>
                <w:szCs w:val="9"/>
                <w:color w:val="FFFFFF"/>
                <w:w w:val="99"/>
              </w:rPr>
              <w:t>NEOs</w:t>
            </w:r>
          </w:p>
        </w:tc>
        <w:tc>
          <w:tcPr>
            <w:tcW w:w="100" w:type="dxa"/>
            <w:vAlign w:val="bottom"/>
            <w:shd w:val="clear" w:color="auto" w:fill="0B3C61"/>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 w:type="dxa"/>
            <w:vAlign w:val="bottom"/>
            <w:shd w:val="clear" w:color="auto" w:fill="0B3C61"/>
          </w:tcPr>
          <w:p>
            <w:pPr>
              <w:spacing w:after="0"/>
              <w:rPr>
                <w:sz w:val="8"/>
                <w:szCs w:val="8"/>
                <w:color w:val="auto"/>
              </w:rPr>
            </w:pPr>
          </w:p>
        </w:tc>
        <w:tc>
          <w:tcPr>
            <w:tcW w:w="940" w:type="dxa"/>
            <w:vAlign w:val="bottom"/>
            <w:shd w:val="clear" w:color="auto" w:fill="0B3C61"/>
          </w:tcPr>
          <w:p>
            <w:pPr>
              <w:spacing w:after="0"/>
              <w:rPr>
                <w:sz w:val="8"/>
                <w:szCs w:val="8"/>
                <w:color w:val="auto"/>
              </w:rPr>
            </w:pPr>
          </w:p>
        </w:tc>
        <w:tc>
          <w:tcPr>
            <w:tcW w:w="580" w:type="dxa"/>
            <w:vAlign w:val="bottom"/>
            <w:gridSpan w:val="3"/>
            <w:shd w:val="clear" w:color="auto" w:fill="0B3C61"/>
          </w:tcPr>
          <w:p>
            <w:pPr>
              <w:jc w:val="center"/>
              <w:spacing w:after="0" w:line="95" w:lineRule="exact"/>
              <w:rPr>
                <w:sz w:val="20"/>
                <w:szCs w:val="20"/>
                <w:color w:val="auto"/>
              </w:rPr>
            </w:pPr>
            <w:r>
              <w:rPr>
                <w:rFonts w:ascii="Arial" w:cs="Arial" w:eastAsia="Arial" w:hAnsi="Arial"/>
                <w:sz w:val="9"/>
                <w:szCs w:val="9"/>
                <w:color w:val="FFFFFF"/>
                <w:w w:val="99"/>
              </w:rPr>
              <w:t>Lindner III</w:t>
            </w:r>
          </w:p>
        </w:tc>
        <w:tc>
          <w:tcPr>
            <w:tcW w:w="580" w:type="dxa"/>
            <w:vAlign w:val="bottom"/>
            <w:shd w:val="clear" w:color="auto" w:fill="0B3C61"/>
          </w:tcPr>
          <w:p>
            <w:pPr>
              <w:jc w:val="right"/>
              <w:ind w:right="109"/>
              <w:spacing w:after="0" w:line="95" w:lineRule="exact"/>
              <w:rPr>
                <w:sz w:val="20"/>
                <w:szCs w:val="20"/>
                <w:color w:val="auto"/>
              </w:rPr>
            </w:pPr>
            <w:r>
              <w:rPr>
                <w:rFonts w:ascii="Arial" w:cs="Arial" w:eastAsia="Arial" w:hAnsi="Arial"/>
                <w:sz w:val="9"/>
                <w:szCs w:val="9"/>
                <w:color w:val="FFFFFF"/>
              </w:rPr>
              <w:t>Lindner</w:t>
            </w:r>
          </w:p>
        </w:tc>
        <w:tc>
          <w:tcPr>
            <w:tcW w:w="500" w:type="dxa"/>
            <w:vAlign w:val="bottom"/>
            <w:shd w:val="clear" w:color="auto" w:fill="0B3C61"/>
          </w:tcPr>
          <w:p>
            <w:pPr>
              <w:jc w:val="right"/>
              <w:ind w:right="49"/>
              <w:spacing w:after="0" w:line="95" w:lineRule="exact"/>
              <w:rPr>
                <w:sz w:val="20"/>
                <w:szCs w:val="20"/>
                <w:color w:val="auto"/>
              </w:rPr>
            </w:pPr>
            <w:r>
              <w:rPr>
                <w:rFonts w:ascii="Arial" w:cs="Arial" w:eastAsia="Arial" w:hAnsi="Arial"/>
                <w:sz w:val="9"/>
                <w:szCs w:val="9"/>
                <w:color w:val="FFFFFF"/>
              </w:rPr>
              <w:t>Average</w:t>
            </w:r>
          </w:p>
        </w:tc>
        <w:tc>
          <w:tcPr>
            <w:tcW w:w="580" w:type="dxa"/>
            <w:vAlign w:val="bottom"/>
            <w:shd w:val="clear" w:color="auto" w:fill="0B3C61"/>
          </w:tcPr>
          <w:p>
            <w:pPr>
              <w:jc w:val="center"/>
              <w:spacing w:after="0" w:line="95" w:lineRule="exact"/>
              <w:rPr>
                <w:sz w:val="20"/>
                <w:szCs w:val="20"/>
                <w:color w:val="auto"/>
              </w:rPr>
            </w:pPr>
            <w:r>
              <w:rPr>
                <w:rFonts w:ascii="Arial" w:cs="Arial" w:eastAsia="Arial" w:hAnsi="Arial"/>
                <w:sz w:val="9"/>
                <w:szCs w:val="9"/>
                <w:color w:val="FFFFFF"/>
                <w:w w:val="99"/>
              </w:rPr>
              <w:t>Lindner III</w:t>
            </w:r>
          </w:p>
        </w:tc>
        <w:tc>
          <w:tcPr>
            <w:tcW w:w="560" w:type="dxa"/>
            <w:vAlign w:val="bottom"/>
            <w:shd w:val="clear" w:color="auto" w:fill="0B3C61"/>
          </w:tcPr>
          <w:p>
            <w:pPr>
              <w:jc w:val="right"/>
              <w:ind w:right="89"/>
              <w:spacing w:after="0" w:line="95" w:lineRule="exact"/>
              <w:rPr>
                <w:sz w:val="20"/>
                <w:szCs w:val="20"/>
                <w:color w:val="auto"/>
              </w:rPr>
            </w:pPr>
            <w:r>
              <w:rPr>
                <w:rFonts w:ascii="Arial" w:cs="Arial" w:eastAsia="Arial" w:hAnsi="Arial"/>
                <w:sz w:val="9"/>
                <w:szCs w:val="9"/>
                <w:color w:val="FFFFFF"/>
              </w:rPr>
              <w:t>Lindner</w:t>
            </w:r>
          </w:p>
        </w:tc>
        <w:tc>
          <w:tcPr>
            <w:tcW w:w="520" w:type="dxa"/>
            <w:vAlign w:val="bottom"/>
            <w:shd w:val="clear" w:color="auto" w:fill="0B3C61"/>
          </w:tcPr>
          <w:p>
            <w:pPr>
              <w:jc w:val="center"/>
              <w:spacing w:after="0" w:line="95" w:lineRule="exact"/>
              <w:rPr>
                <w:sz w:val="20"/>
                <w:szCs w:val="20"/>
                <w:color w:val="auto"/>
              </w:rPr>
            </w:pPr>
            <w:r>
              <w:rPr>
                <w:rFonts w:ascii="Arial" w:cs="Arial" w:eastAsia="Arial" w:hAnsi="Arial"/>
                <w:sz w:val="9"/>
                <w:szCs w:val="9"/>
                <w:color w:val="FFFFFF"/>
              </w:rPr>
              <w:t>Average</w:t>
            </w:r>
          </w:p>
        </w:tc>
        <w:tc>
          <w:tcPr>
            <w:tcW w:w="600" w:type="dxa"/>
            <w:vAlign w:val="bottom"/>
            <w:shd w:val="clear" w:color="auto" w:fill="0B3C61"/>
          </w:tcPr>
          <w:p>
            <w:pPr>
              <w:jc w:val="center"/>
              <w:spacing w:after="0" w:line="95" w:lineRule="exact"/>
              <w:rPr>
                <w:sz w:val="20"/>
                <w:szCs w:val="20"/>
                <w:color w:val="auto"/>
              </w:rPr>
            </w:pPr>
            <w:r>
              <w:rPr>
                <w:rFonts w:ascii="Arial" w:cs="Arial" w:eastAsia="Arial" w:hAnsi="Arial"/>
                <w:sz w:val="9"/>
                <w:szCs w:val="9"/>
                <w:color w:val="FFFFFF"/>
                <w:w w:val="99"/>
              </w:rPr>
              <w:t>Lindner III</w:t>
            </w:r>
          </w:p>
        </w:tc>
        <w:tc>
          <w:tcPr>
            <w:tcW w:w="560" w:type="dxa"/>
            <w:vAlign w:val="bottom"/>
            <w:shd w:val="clear" w:color="auto" w:fill="0B3C61"/>
          </w:tcPr>
          <w:p>
            <w:pPr>
              <w:jc w:val="right"/>
              <w:ind w:right="109"/>
              <w:spacing w:after="0" w:line="95" w:lineRule="exact"/>
              <w:rPr>
                <w:sz w:val="20"/>
                <w:szCs w:val="20"/>
                <w:color w:val="auto"/>
              </w:rPr>
            </w:pPr>
            <w:r>
              <w:rPr>
                <w:rFonts w:ascii="Arial" w:cs="Arial" w:eastAsia="Arial" w:hAnsi="Arial"/>
                <w:sz w:val="9"/>
                <w:szCs w:val="9"/>
                <w:color w:val="FFFFFF"/>
              </w:rPr>
              <w:t>Lindner</w:t>
            </w:r>
          </w:p>
        </w:tc>
        <w:tc>
          <w:tcPr>
            <w:tcW w:w="500" w:type="dxa"/>
            <w:vAlign w:val="bottom"/>
            <w:shd w:val="clear" w:color="auto" w:fill="0B3C61"/>
          </w:tcPr>
          <w:p>
            <w:pPr>
              <w:jc w:val="center"/>
              <w:spacing w:after="0" w:line="95" w:lineRule="exact"/>
              <w:rPr>
                <w:sz w:val="20"/>
                <w:szCs w:val="20"/>
                <w:color w:val="auto"/>
              </w:rPr>
            </w:pPr>
            <w:r>
              <w:rPr>
                <w:rFonts w:ascii="Arial" w:cs="Arial" w:eastAsia="Arial" w:hAnsi="Arial"/>
                <w:sz w:val="9"/>
                <w:szCs w:val="9"/>
                <w:color w:val="FFFFFF"/>
              </w:rPr>
              <w:t>Average</w:t>
            </w:r>
          </w:p>
        </w:tc>
        <w:tc>
          <w:tcPr>
            <w:tcW w:w="580" w:type="dxa"/>
            <w:vAlign w:val="bottom"/>
            <w:shd w:val="clear" w:color="auto" w:fill="0B3C61"/>
          </w:tcPr>
          <w:p>
            <w:pPr>
              <w:jc w:val="center"/>
              <w:spacing w:after="0" w:line="95" w:lineRule="exact"/>
              <w:rPr>
                <w:sz w:val="20"/>
                <w:szCs w:val="20"/>
                <w:color w:val="auto"/>
              </w:rPr>
            </w:pPr>
            <w:r>
              <w:rPr>
                <w:rFonts w:ascii="Arial" w:cs="Arial" w:eastAsia="Arial" w:hAnsi="Arial"/>
                <w:sz w:val="9"/>
                <w:szCs w:val="9"/>
                <w:color w:val="FFFFFF"/>
                <w:w w:val="99"/>
              </w:rPr>
              <w:t>Lindner III</w:t>
            </w:r>
          </w:p>
        </w:tc>
        <w:tc>
          <w:tcPr>
            <w:tcW w:w="580" w:type="dxa"/>
            <w:vAlign w:val="bottom"/>
            <w:shd w:val="clear" w:color="auto" w:fill="0B3C61"/>
          </w:tcPr>
          <w:p>
            <w:pPr>
              <w:jc w:val="right"/>
              <w:ind w:right="109"/>
              <w:spacing w:after="0" w:line="95" w:lineRule="exact"/>
              <w:rPr>
                <w:sz w:val="20"/>
                <w:szCs w:val="20"/>
                <w:color w:val="auto"/>
              </w:rPr>
            </w:pPr>
            <w:r>
              <w:rPr>
                <w:rFonts w:ascii="Arial" w:cs="Arial" w:eastAsia="Arial" w:hAnsi="Arial"/>
                <w:sz w:val="9"/>
                <w:szCs w:val="9"/>
                <w:color w:val="FFFFFF"/>
              </w:rPr>
              <w:t>Lindner</w:t>
            </w:r>
          </w:p>
        </w:tc>
        <w:tc>
          <w:tcPr>
            <w:tcW w:w="500" w:type="dxa"/>
            <w:vAlign w:val="bottom"/>
            <w:shd w:val="clear" w:color="auto" w:fill="0B3C61"/>
          </w:tcPr>
          <w:p>
            <w:pPr>
              <w:jc w:val="center"/>
              <w:spacing w:after="0" w:line="95" w:lineRule="exact"/>
              <w:rPr>
                <w:sz w:val="20"/>
                <w:szCs w:val="20"/>
                <w:color w:val="auto"/>
              </w:rPr>
            </w:pPr>
            <w:r>
              <w:rPr>
                <w:rFonts w:ascii="Arial" w:cs="Arial" w:eastAsia="Arial" w:hAnsi="Arial"/>
                <w:sz w:val="9"/>
                <w:szCs w:val="9"/>
                <w:color w:val="FFFFFF"/>
              </w:rPr>
              <w:t>Average</w:t>
            </w:r>
          </w:p>
        </w:tc>
        <w:tc>
          <w:tcPr>
            <w:tcW w:w="580" w:type="dxa"/>
            <w:vAlign w:val="bottom"/>
            <w:shd w:val="clear" w:color="auto" w:fill="0B3C61"/>
          </w:tcPr>
          <w:p>
            <w:pPr>
              <w:jc w:val="center"/>
              <w:spacing w:after="0" w:line="95" w:lineRule="exact"/>
              <w:rPr>
                <w:sz w:val="20"/>
                <w:szCs w:val="20"/>
                <w:color w:val="auto"/>
              </w:rPr>
            </w:pPr>
            <w:r>
              <w:rPr>
                <w:rFonts w:ascii="Arial" w:cs="Arial" w:eastAsia="Arial" w:hAnsi="Arial"/>
                <w:sz w:val="9"/>
                <w:szCs w:val="9"/>
                <w:color w:val="FFFFFF"/>
                <w:w w:val="99"/>
              </w:rPr>
              <w:t>Lindner III</w:t>
            </w:r>
          </w:p>
        </w:tc>
        <w:tc>
          <w:tcPr>
            <w:tcW w:w="580" w:type="dxa"/>
            <w:vAlign w:val="bottom"/>
            <w:shd w:val="clear" w:color="auto" w:fill="0B3C61"/>
          </w:tcPr>
          <w:p>
            <w:pPr>
              <w:jc w:val="right"/>
              <w:ind w:right="109"/>
              <w:spacing w:after="0" w:line="95" w:lineRule="exact"/>
              <w:rPr>
                <w:sz w:val="20"/>
                <w:szCs w:val="20"/>
                <w:color w:val="auto"/>
              </w:rPr>
            </w:pPr>
            <w:r>
              <w:rPr>
                <w:rFonts w:ascii="Arial" w:cs="Arial" w:eastAsia="Arial" w:hAnsi="Arial"/>
                <w:sz w:val="9"/>
                <w:szCs w:val="9"/>
                <w:color w:val="FFFFFF"/>
              </w:rPr>
              <w:t>Lindner</w:t>
            </w:r>
          </w:p>
        </w:tc>
        <w:tc>
          <w:tcPr>
            <w:tcW w:w="500" w:type="dxa"/>
            <w:vAlign w:val="bottom"/>
            <w:shd w:val="clear" w:color="auto" w:fill="0B3C61"/>
          </w:tcPr>
          <w:p>
            <w:pPr>
              <w:jc w:val="center"/>
              <w:spacing w:after="0" w:line="95" w:lineRule="exact"/>
              <w:rPr>
                <w:sz w:val="20"/>
                <w:szCs w:val="20"/>
                <w:color w:val="auto"/>
              </w:rPr>
            </w:pPr>
            <w:r>
              <w:rPr>
                <w:rFonts w:ascii="Arial" w:cs="Arial" w:eastAsia="Arial" w:hAnsi="Arial"/>
                <w:sz w:val="9"/>
                <w:szCs w:val="9"/>
                <w:color w:val="FFFFFF"/>
              </w:rPr>
              <w:t>Average</w:t>
            </w:r>
          </w:p>
        </w:tc>
        <w:tc>
          <w:tcPr>
            <w:tcW w:w="100" w:type="dxa"/>
            <w:vAlign w:val="bottom"/>
            <w:shd w:val="clear" w:color="auto" w:fill="0B3C61"/>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0" w:type="dxa"/>
            <w:vAlign w:val="bottom"/>
            <w:shd w:val="clear" w:color="auto" w:fill="0B3C61"/>
          </w:tcPr>
          <w:p>
            <w:pPr>
              <w:spacing w:after="0"/>
              <w:rPr>
                <w:sz w:val="10"/>
                <w:szCs w:val="10"/>
                <w:color w:val="auto"/>
              </w:rPr>
            </w:pPr>
          </w:p>
        </w:tc>
        <w:tc>
          <w:tcPr>
            <w:tcW w:w="940" w:type="dxa"/>
            <w:vAlign w:val="bottom"/>
            <w:shd w:val="clear" w:color="auto" w:fill="0B3C61"/>
          </w:tcPr>
          <w:p>
            <w:pPr>
              <w:spacing w:after="0"/>
              <w:rPr>
                <w:sz w:val="10"/>
                <w:szCs w:val="10"/>
                <w:color w:val="auto"/>
              </w:rPr>
            </w:pPr>
          </w:p>
        </w:tc>
        <w:tc>
          <w:tcPr>
            <w:tcW w:w="140" w:type="dxa"/>
            <w:vAlign w:val="bottom"/>
            <w:shd w:val="clear" w:color="auto" w:fill="0B3C61"/>
          </w:tcPr>
          <w:p>
            <w:pPr>
              <w:spacing w:after="0"/>
              <w:rPr>
                <w:sz w:val="10"/>
                <w:szCs w:val="10"/>
                <w:color w:val="auto"/>
              </w:rPr>
            </w:pPr>
          </w:p>
        </w:tc>
        <w:tc>
          <w:tcPr>
            <w:tcW w:w="260" w:type="dxa"/>
            <w:vAlign w:val="bottom"/>
            <w:shd w:val="clear" w:color="auto" w:fill="0B3C61"/>
          </w:tcPr>
          <w:p>
            <w:pPr>
              <w:jc w:val="center"/>
              <w:ind w:left="30"/>
              <w:spacing w:after="0"/>
              <w:rPr>
                <w:sz w:val="20"/>
                <w:szCs w:val="20"/>
                <w:color w:val="auto"/>
              </w:rPr>
            </w:pPr>
            <w:r>
              <w:rPr>
                <w:rFonts w:ascii="Arial" w:cs="Arial" w:eastAsia="Arial" w:hAnsi="Arial"/>
                <w:sz w:val="9"/>
                <w:szCs w:val="9"/>
                <w:color w:val="FFFFFF"/>
                <w:w w:val="90"/>
              </w:rPr>
              <w:t>($)</w:t>
            </w:r>
          </w:p>
        </w:tc>
        <w:tc>
          <w:tcPr>
            <w:tcW w:w="180" w:type="dxa"/>
            <w:vAlign w:val="bottom"/>
            <w:shd w:val="clear" w:color="auto" w:fill="0B3C61"/>
          </w:tcPr>
          <w:p>
            <w:pPr>
              <w:spacing w:after="0"/>
              <w:rPr>
                <w:sz w:val="10"/>
                <w:szCs w:val="10"/>
                <w:color w:val="auto"/>
              </w:rPr>
            </w:pPr>
          </w:p>
        </w:tc>
        <w:tc>
          <w:tcPr>
            <w:tcW w:w="580" w:type="dxa"/>
            <w:vAlign w:val="bottom"/>
            <w:shd w:val="clear" w:color="auto" w:fill="0B3C61"/>
          </w:tcPr>
          <w:p>
            <w:pPr>
              <w:jc w:val="right"/>
              <w:ind w:right="189"/>
              <w:spacing w:after="0"/>
              <w:rPr>
                <w:sz w:val="20"/>
                <w:szCs w:val="20"/>
                <w:color w:val="auto"/>
              </w:rPr>
            </w:pPr>
            <w:r>
              <w:rPr>
                <w:rFonts w:ascii="Arial" w:cs="Arial" w:eastAsia="Arial" w:hAnsi="Arial"/>
                <w:sz w:val="9"/>
                <w:szCs w:val="9"/>
                <w:color w:val="FFFFFF"/>
              </w:rPr>
              <w:t>($)</w:t>
            </w:r>
          </w:p>
        </w:tc>
        <w:tc>
          <w:tcPr>
            <w:tcW w:w="500" w:type="dxa"/>
            <w:vAlign w:val="bottom"/>
            <w:shd w:val="clear" w:color="auto" w:fill="0B3C61"/>
          </w:tcPr>
          <w:p>
            <w:pPr>
              <w:ind w:left="200"/>
              <w:spacing w:after="0"/>
              <w:rPr>
                <w:sz w:val="20"/>
                <w:szCs w:val="20"/>
                <w:color w:val="auto"/>
              </w:rPr>
            </w:pPr>
            <w:r>
              <w:rPr>
                <w:rFonts w:ascii="Arial" w:cs="Arial" w:eastAsia="Arial" w:hAnsi="Arial"/>
                <w:sz w:val="9"/>
                <w:szCs w:val="9"/>
                <w:color w:val="FFFFFF"/>
              </w:rPr>
              <w:t>($)</w:t>
            </w:r>
          </w:p>
        </w:tc>
        <w:tc>
          <w:tcPr>
            <w:tcW w:w="580" w:type="dxa"/>
            <w:vAlign w:val="bottom"/>
            <w:shd w:val="clear" w:color="auto" w:fill="0B3C61"/>
          </w:tcPr>
          <w:p>
            <w:pPr>
              <w:jc w:val="center"/>
              <w:spacing w:after="0"/>
              <w:rPr>
                <w:sz w:val="20"/>
                <w:szCs w:val="20"/>
                <w:color w:val="auto"/>
              </w:rPr>
            </w:pPr>
            <w:r>
              <w:rPr>
                <w:rFonts w:ascii="Arial" w:cs="Arial" w:eastAsia="Arial" w:hAnsi="Arial"/>
                <w:sz w:val="9"/>
                <w:szCs w:val="9"/>
                <w:color w:val="FFFFFF"/>
                <w:w w:val="90"/>
              </w:rPr>
              <w:t>($)</w:t>
            </w:r>
          </w:p>
        </w:tc>
        <w:tc>
          <w:tcPr>
            <w:tcW w:w="560" w:type="dxa"/>
            <w:vAlign w:val="bottom"/>
            <w:shd w:val="clear" w:color="auto" w:fill="0B3C61"/>
          </w:tcPr>
          <w:p>
            <w:pPr>
              <w:jc w:val="right"/>
              <w:ind w:right="169"/>
              <w:spacing w:after="0"/>
              <w:rPr>
                <w:sz w:val="20"/>
                <w:szCs w:val="20"/>
                <w:color w:val="auto"/>
              </w:rPr>
            </w:pPr>
            <w:r>
              <w:rPr>
                <w:rFonts w:ascii="Arial" w:cs="Arial" w:eastAsia="Arial" w:hAnsi="Arial"/>
                <w:sz w:val="9"/>
                <w:szCs w:val="9"/>
                <w:color w:val="FFFFFF"/>
              </w:rPr>
              <w:t>($)</w:t>
            </w:r>
          </w:p>
        </w:tc>
        <w:tc>
          <w:tcPr>
            <w:tcW w:w="520" w:type="dxa"/>
            <w:vAlign w:val="bottom"/>
            <w:shd w:val="clear" w:color="auto" w:fill="0B3C61"/>
          </w:tcPr>
          <w:p>
            <w:pPr>
              <w:jc w:val="center"/>
              <w:spacing w:after="0"/>
              <w:rPr>
                <w:sz w:val="20"/>
                <w:szCs w:val="20"/>
                <w:color w:val="auto"/>
              </w:rPr>
            </w:pPr>
            <w:r>
              <w:rPr>
                <w:rFonts w:ascii="Arial" w:cs="Arial" w:eastAsia="Arial" w:hAnsi="Arial"/>
                <w:sz w:val="9"/>
                <w:szCs w:val="9"/>
                <w:color w:val="FFFFFF"/>
              </w:rPr>
              <w:t>($)</w:t>
            </w:r>
          </w:p>
        </w:tc>
        <w:tc>
          <w:tcPr>
            <w:tcW w:w="600" w:type="dxa"/>
            <w:vAlign w:val="bottom"/>
            <w:shd w:val="clear" w:color="auto" w:fill="0B3C61"/>
          </w:tcPr>
          <w:p>
            <w:pPr>
              <w:jc w:val="center"/>
              <w:spacing w:after="0"/>
              <w:rPr>
                <w:sz w:val="20"/>
                <w:szCs w:val="20"/>
                <w:color w:val="auto"/>
              </w:rPr>
            </w:pPr>
            <w:r>
              <w:rPr>
                <w:rFonts w:ascii="Arial" w:cs="Arial" w:eastAsia="Arial" w:hAnsi="Arial"/>
                <w:sz w:val="9"/>
                <w:szCs w:val="9"/>
                <w:color w:val="FFFFFF"/>
                <w:w w:val="90"/>
              </w:rPr>
              <w:t>($)</w:t>
            </w:r>
          </w:p>
        </w:tc>
        <w:tc>
          <w:tcPr>
            <w:tcW w:w="560" w:type="dxa"/>
            <w:vAlign w:val="bottom"/>
            <w:shd w:val="clear" w:color="auto" w:fill="0B3C61"/>
          </w:tcPr>
          <w:p>
            <w:pPr>
              <w:jc w:val="right"/>
              <w:ind w:right="189"/>
              <w:spacing w:after="0"/>
              <w:rPr>
                <w:sz w:val="20"/>
                <w:szCs w:val="20"/>
                <w:color w:val="auto"/>
              </w:rPr>
            </w:pPr>
            <w:r>
              <w:rPr>
                <w:rFonts w:ascii="Arial" w:cs="Arial" w:eastAsia="Arial" w:hAnsi="Arial"/>
                <w:sz w:val="9"/>
                <w:szCs w:val="9"/>
                <w:color w:val="FFFFFF"/>
              </w:rPr>
              <w:t>($)</w:t>
            </w:r>
          </w:p>
        </w:tc>
        <w:tc>
          <w:tcPr>
            <w:tcW w:w="500" w:type="dxa"/>
            <w:vAlign w:val="bottom"/>
            <w:shd w:val="clear" w:color="auto" w:fill="0B3C61"/>
          </w:tcPr>
          <w:p>
            <w:pPr>
              <w:jc w:val="center"/>
              <w:spacing w:after="0"/>
              <w:rPr>
                <w:sz w:val="20"/>
                <w:szCs w:val="20"/>
                <w:color w:val="auto"/>
              </w:rPr>
            </w:pPr>
            <w:r>
              <w:rPr>
                <w:rFonts w:ascii="Arial" w:cs="Arial" w:eastAsia="Arial" w:hAnsi="Arial"/>
                <w:sz w:val="9"/>
                <w:szCs w:val="9"/>
                <w:color w:val="FFFFFF"/>
              </w:rPr>
              <w:t>($)</w:t>
            </w:r>
          </w:p>
        </w:tc>
        <w:tc>
          <w:tcPr>
            <w:tcW w:w="580" w:type="dxa"/>
            <w:vAlign w:val="bottom"/>
            <w:shd w:val="clear" w:color="auto" w:fill="0B3C61"/>
          </w:tcPr>
          <w:p>
            <w:pPr>
              <w:jc w:val="center"/>
              <w:spacing w:after="0"/>
              <w:rPr>
                <w:sz w:val="20"/>
                <w:szCs w:val="20"/>
                <w:color w:val="auto"/>
              </w:rPr>
            </w:pPr>
            <w:r>
              <w:rPr>
                <w:rFonts w:ascii="Arial" w:cs="Arial" w:eastAsia="Arial" w:hAnsi="Arial"/>
                <w:sz w:val="9"/>
                <w:szCs w:val="9"/>
                <w:color w:val="FFFFFF"/>
                <w:w w:val="90"/>
              </w:rPr>
              <w:t>($)</w:t>
            </w:r>
          </w:p>
        </w:tc>
        <w:tc>
          <w:tcPr>
            <w:tcW w:w="580" w:type="dxa"/>
            <w:vAlign w:val="bottom"/>
            <w:shd w:val="clear" w:color="auto" w:fill="0B3C61"/>
          </w:tcPr>
          <w:p>
            <w:pPr>
              <w:jc w:val="right"/>
              <w:ind w:right="189"/>
              <w:spacing w:after="0"/>
              <w:rPr>
                <w:sz w:val="20"/>
                <w:szCs w:val="20"/>
                <w:color w:val="auto"/>
              </w:rPr>
            </w:pPr>
            <w:r>
              <w:rPr>
                <w:rFonts w:ascii="Arial" w:cs="Arial" w:eastAsia="Arial" w:hAnsi="Arial"/>
                <w:sz w:val="9"/>
                <w:szCs w:val="9"/>
                <w:color w:val="FFFFFF"/>
              </w:rPr>
              <w:t>($)</w:t>
            </w:r>
          </w:p>
        </w:tc>
        <w:tc>
          <w:tcPr>
            <w:tcW w:w="500" w:type="dxa"/>
            <w:vAlign w:val="bottom"/>
            <w:shd w:val="clear" w:color="auto" w:fill="0B3C61"/>
          </w:tcPr>
          <w:p>
            <w:pPr>
              <w:jc w:val="center"/>
              <w:spacing w:after="0"/>
              <w:rPr>
                <w:sz w:val="20"/>
                <w:szCs w:val="20"/>
                <w:color w:val="auto"/>
              </w:rPr>
            </w:pPr>
            <w:r>
              <w:rPr>
                <w:rFonts w:ascii="Arial" w:cs="Arial" w:eastAsia="Arial" w:hAnsi="Arial"/>
                <w:sz w:val="9"/>
                <w:szCs w:val="9"/>
                <w:color w:val="FFFFFF"/>
              </w:rPr>
              <w:t>($)</w:t>
            </w:r>
          </w:p>
        </w:tc>
        <w:tc>
          <w:tcPr>
            <w:tcW w:w="580" w:type="dxa"/>
            <w:vAlign w:val="bottom"/>
            <w:shd w:val="clear" w:color="auto" w:fill="0B3C61"/>
          </w:tcPr>
          <w:p>
            <w:pPr>
              <w:jc w:val="center"/>
              <w:spacing w:after="0"/>
              <w:rPr>
                <w:sz w:val="20"/>
                <w:szCs w:val="20"/>
                <w:color w:val="auto"/>
              </w:rPr>
            </w:pPr>
            <w:r>
              <w:rPr>
                <w:rFonts w:ascii="Arial" w:cs="Arial" w:eastAsia="Arial" w:hAnsi="Arial"/>
                <w:sz w:val="9"/>
                <w:szCs w:val="9"/>
                <w:color w:val="FFFFFF"/>
                <w:w w:val="90"/>
              </w:rPr>
              <w:t>($)</w:t>
            </w:r>
          </w:p>
        </w:tc>
        <w:tc>
          <w:tcPr>
            <w:tcW w:w="580" w:type="dxa"/>
            <w:vAlign w:val="bottom"/>
            <w:shd w:val="clear" w:color="auto" w:fill="0B3C61"/>
          </w:tcPr>
          <w:p>
            <w:pPr>
              <w:jc w:val="right"/>
              <w:ind w:right="189"/>
              <w:spacing w:after="0"/>
              <w:rPr>
                <w:sz w:val="20"/>
                <w:szCs w:val="20"/>
                <w:color w:val="auto"/>
              </w:rPr>
            </w:pPr>
            <w:r>
              <w:rPr>
                <w:rFonts w:ascii="Arial" w:cs="Arial" w:eastAsia="Arial" w:hAnsi="Arial"/>
                <w:sz w:val="9"/>
                <w:szCs w:val="9"/>
                <w:color w:val="FFFFFF"/>
              </w:rPr>
              <w:t>($)</w:t>
            </w:r>
          </w:p>
        </w:tc>
        <w:tc>
          <w:tcPr>
            <w:tcW w:w="500" w:type="dxa"/>
            <w:vAlign w:val="bottom"/>
            <w:shd w:val="clear" w:color="auto" w:fill="0B3C61"/>
          </w:tcPr>
          <w:p>
            <w:pPr>
              <w:jc w:val="center"/>
              <w:spacing w:after="0"/>
              <w:rPr>
                <w:sz w:val="20"/>
                <w:szCs w:val="20"/>
                <w:color w:val="auto"/>
              </w:rPr>
            </w:pPr>
            <w:r>
              <w:rPr>
                <w:rFonts w:ascii="Arial" w:cs="Arial" w:eastAsia="Arial" w:hAnsi="Arial"/>
                <w:sz w:val="9"/>
                <w:szCs w:val="9"/>
                <w:color w:val="FFFFFF"/>
              </w:rPr>
              <w:t>($)</w:t>
            </w:r>
          </w:p>
        </w:tc>
        <w:tc>
          <w:tcPr>
            <w:tcW w:w="100" w:type="dxa"/>
            <w:vAlign w:val="bottom"/>
            <w:shd w:val="clear" w:color="auto" w:fill="0B3C61"/>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60" w:type="dxa"/>
            <w:vAlign w:val="bottom"/>
            <w:shd w:val="clear" w:color="auto" w:fill="0B3C61"/>
          </w:tcPr>
          <w:p>
            <w:pPr>
              <w:spacing w:after="0"/>
              <w:rPr>
                <w:sz w:val="6"/>
                <w:szCs w:val="6"/>
                <w:color w:val="auto"/>
              </w:rPr>
            </w:pPr>
          </w:p>
        </w:tc>
        <w:tc>
          <w:tcPr>
            <w:tcW w:w="940" w:type="dxa"/>
            <w:vAlign w:val="bottom"/>
            <w:shd w:val="clear" w:color="auto" w:fill="0B3C61"/>
          </w:tcPr>
          <w:p>
            <w:pPr>
              <w:spacing w:after="0"/>
              <w:rPr>
                <w:sz w:val="6"/>
                <w:szCs w:val="6"/>
                <w:color w:val="auto"/>
              </w:rPr>
            </w:pPr>
          </w:p>
        </w:tc>
        <w:tc>
          <w:tcPr>
            <w:tcW w:w="140" w:type="dxa"/>
            <w:vAlign w:val="bottom"/>
            <w:shd w:val="clear" w:color="auto" w:fill="0B3C61"/>
          </w:tcPr>
          <w:p>
            <w:pPr>
              <w:spacing w:after="0"/>
              <w:rPr>
                <w:sz w:val="6"/>
                <w:szCs w:val="6"/>
                <w:color w:val="auto"/>
              </w:rPr>
            </w:pPr>
          </w:p>
        </w:tc>
        <w:tc>
          <w:tcPr>
            <w:tcW w:w="260" w:type="dxa"/>
            <w:vAlign w:val="bottom"/>
            <w:shd w:val="clear" w:color="auto" w:fill="0B3C61"/>
          </w:tcPr>
          <w:p>
            <w:pPr>
              <w:spacing w:after="0"/>
              <w:rPr>
                <w:sz w:val="6"/>
                <w:szCs w:val="6"/>
                <w:color w:val="auto"/>
              </w:rPr>
            </w:pPr>
          </w:p>
        </w:tc>
        <w:tc>
          <w:tcPr>
            <w:tcW w:w="180" w:type="dxa"/>
            <w:vAlign w:val="bottom"/>
            <w:shd w:val="clear" w:color="auto" w:fill="0B3C61"/>
          </w:tcPr>
          <w:p>
            <w:pPr>
              <w:spacing w:after="0"/>
              <w:rPr>
                <w:sz w:val="6"/>
                <w:szCs w:val="6"/>
                <w:color w:val="auto"/>
              </w:rPr>
            </w:pPr>
          </w:p>
        </w:tc>
        <w:tc>
          <w:tcPr>
            <w:tcW w:w="580" w:type="dxa"/>
            <w:vAlign w:val="bottom"/>
            <w:shd w:val="clear" w:color="auto" w:fill="0B3C61"/>
          </w:tcPr>
          <w:p>
            <w:pPr>
              <w:spacing w:after="0"/>
              <w:rPr>
                <w:sz w:val="6"/>
                <w:szCs w:val="6"/>
                <w:color w:val="auto"/>
              </w:rPr>
            </w:pPr>
          </w:p>
        </w:tc>
        <w:tc>
          <w:tcPr>
            <w:tcW w:w="500" w:type="dxa"/>
            <w:vAlign w:val="bottom"/>
            <w:shd w:val="clear" w:color="auto" w:fill="0B3C61"/>
          </w:tcPr>
          <w:p>
            <w:pPr>
              <w:spacing w:after="0"/>
              <w:rPr>
                <w:sz w:val="6"/>
                <w:szCs w:val="6"/>
                <w:color w:val="auto"/>
              </w:rPr>
            </w:pPr>
          </w:p>
        </w:tc>
        <w:tc>
          <w:tcPr>
            <w:tcW w:w="580" w:type="dxa"/>
            <w:vAlign w:val="bottom"/>
            <w:shd w:val="clear" w:color="auto" w:fill="0B3C61"/>
          </w:tcPr>
          <w:p>
            <w:pPr>
              <w:spacing w:after="0"/>
              <w:rPr>
                <w:sz w:val="6"/>
                <w:szCs w:val="6"/>
                <w:color w:val="auto"/>
              </w:rPr>
            </w:pPr>
          </w:p>
        </w:tc>
        <w:tc>
          <w:tcPr>
            <w:tcW w:w="560" w:type="dxa"/>
            <w:vAlign w:val="bottom"/>
            <w:shd w:val="clear" w:color="auto" w:fill="0B3C61"/>
          </w:tcPr>
          <w:p>
            <w:pPr>
              <w:spacing w:after="0"/>
              <w:rPr>
                <w:sz w:val="6"/>
                <w:szCs w:val="6"/>
                <w:color w:val="auto"/>
              </w:rPr>
            </w:pPr>
          </w:p>
        </w:tc>
        <w:tc>
          <w:tcPr>
            <w:tcW w:w="520" w:type="dxa"/>
            <w:vAlign w:val="bottom"/>
            <w:shd w:val="clear" w:color="auto" w:fill="0B3C61"/>
          </w:tcPr>
          <w:p>
            <w:pPr>
              <w:spacing w:after="0"/>
              <w:rPr>
                <w:sz w:val="6"/>
                <w:szCs w:val="6"/>
                <w:color w:val="auto"/>
              </w:rPr>
            </w:pPr>
          </w:p>
        </w:tc>
        <w:tc>
          <w:tcPr>
            <w:tcW w:w="600" w:type="dxa"/>
            <w:vAlign w:val="bottom"/>
            <w:shd w:val="clear" w:color="auto" w:fill="0B3C61"/>
          </w:tcPr>
          <w:p>
            <w:pPr>
              <w:spacing w:after="0"/>
              <w:rPr>
                <w:sz w:val="6"/>
                <w:szCs w:val="6"/>
                <w:color w:val="auto"/>
              </w:rPr>
            </w:pPr>
          </w:p>
        </w:tc>
        <w:tc>
          <w:tcPr>
            <w:tcW w:w="560" w:type="dxa"/>
            <w:vAlign w:val="bottom"/>
            <w:shd w:val="clear" w:color="auto" w:fill="0B3C61"/>
          </w:tcPr>
          <w:p>
            <w:pPr>
              <w:spacing w:after="0"/>
              <w:rPr>
                <w:sz w:val="6"/>
                <w:szCs w:val="6"/>
                <w:color w:val="auto"/>
              </w:rPr>
            </w:pPr>
          </w:p>
        </w:tc>
        <w:tc>
          <w:tcPr>
            <w:tcW w:w="500" w:type="dxa"/>
            <w:vAlign w:val="bottom"/>
            <w:shd w:val="clear" w:color="auto" w:fill="0B3C61"/>
          </w:tcPr>
          <w:p>
            <w:pPr>
              <w:spacing w:after="0"/>
              <w:rPr>
                <w:sz w:val="6"/>
                <w:szCs w:val="6"/>
                <w:color w:val="auto"/>
              </w:rPr>
            </w:pPr>
          </w:p>
        </w:tc>
        <w:tc>
          <w:tcPr>
            <w:tcW w:w="580" w:type="dxa"/>
            <w:vAlign w:val="bottom"/>
            <w:shd w:val="clear" w:color="auto" w:fill="0B3C61"/>
          </w:tcPr>
          <w:p>
            <w:pPr>
              <w:spacing w:after="0"/>
              <w:rPr>
                <w:sz w:val="6"/>
                <w:szCs w:val="6"/>
                <w:color w:val="auto"/>
              </w:rPr>
            </w:pPr>
          </w:p>
        </w:tc>
        <w:tc>
          <w:tcPr>
            <w:tcW w:w="580" w:type="dxa"/>
            <w:vAlign w:val="bottom"/>
            <w:shd w:val="clear" w:color="auto" w:fill="0B3C61"/>
          </w:tcPr>
          <w:p>
            <w:pPr>
              <w:spacing w:after="0"/>
              <w:rPr>
                <w:sz w:val="6"/>
                <w:szCs w:val="6"/>
                <w:color w:val="auto"/>
              </w:rPr>
            </w:pPr>
          </w:p>
        </w:tc>
        <w:tc>
          <w:tcPr>
            <w:tcW w:w="500" w:type="dxa"/>
            <w:vAlign w:val="bottom"/>
            <w:shd w:val="clear" w:color="auto" w:fill="0B3C61"/>
          </w:tcPr>
          <w:p>
            <w:pPr>
              <w:spacing w:after="0"/>
              <w:rPr>
                <w:sz w:val="6"/>
                <w:szCs w:val="6"/>
                <w:color w:val="auto"/>
              </w:rPr>
            </w:pPr>
          </w:p>
        </w:tc>
        <w:tc>
          <w:tcPr>
            <w:tcW w:w="580" w:type="dxa"/>
            <w:vAlign w:val="bottom"/>
            <w:shd w:val="clear" w:color="auto" w:fill="0B3C61"/>
          </w:tcPr>
          <w:p>
            <w:pPr>
              <w:spacing w:after="0"/>
              <w:rPr>
                <w:sz w:val="6"/>
                <w:szCs w:val="6"/>
                <w:color w:val="auto"/>
              </w:rPr>
            </w:pPr>
          </w:p>
        </w:tc>
        <w:tc>
          <w:tcPr>
            <w:tcW w:w="580" w:type="dxa"/>
            <w:vAlign w:val="bottom"/>
            <w:shd w:val="clear" w:color="auto" w:fill="0B3C61"/>
          </w:tcPr>
          <w:p>
            <w:pPr>
              <w:spacing w:after="0"/>
              <w:rPr>
                <w:sz w:val="6"/>
                <w:szCs w:val="6"/>
                <w:color w:val="auto"/>
              </w:rPr>
            </w:pPr>
          </w:p>
        </w:tc>
        <w:tc>
          <w:tcPr>
            <w:tcW w:w="500" w:type="dxa"/>
            <w:vAlign w:val="bottom"/>
            <w:shd w:val="clear" w:color="auto" w:fill="0B3C61"/>
          </w:tcPr>
          <w:p>
            <w:pPr>
              <w:spacing w:after="0"/>
              <w:rPr>
                <w:sz w:val="6"/>
                <w:szCs w:val="6"/>
                <w:color w:val="auto"/>
              </w:rPr>
            </w:pPr>
          </w:p>
        </w:tc>
        <w:tc>
          <w:tcPr>
            <w:tcW w:w="100" w:type="dxa"/>
            <w:vAlign w:val="bottom"/>
            <w:shd w:val="clear" w:color="auto" w:fill="0B3C61"/>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1"/>
                <w:szCs w:val="11"/>
                <w:color w:val="54565B"/>
              </w:rPr>
              <w:t>Summary</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940" w:type="dxa"/>
            <w:vAlign w:val="bottom"/>
          </w:tcPr>
          <w:p>
            <w:pPr>
              <w:ind w:left="80"/>
              <w:spacing w:after="0" w:line="122" w:lineRule="exact"/>
              <w:rPr>
                <w:sz w:val="20"/>
                <w:szCs w:val="20"/>
                <w:color w:val="auto"/>
              </w:rPr>
            </w:pPr>
            <w:r>
              <w:rPr>
                <w:rFonts w:ascii="Arial" w:cs="Arial" w:eastAsia="Arial" w:hAnsi="Arial"/>
                <w:sz w:val="11"/>
                <w:szCs w:val="11"/>
                <w:color w:val="54565B"/>
              </w:rPr>
              <w:t>Compensation</w:t>
            </w:r>
          </w:p>
        </w:tc>
        <w:tc>
          <w:tcPr>
            <w:tcW w:w="400" w:type="dxa"/>
            <w:vAlign w:val="bottom"/>
            <w:gridSpan w:val="2"/>
          </w:tcPr>
          <w:p>
            <w:pPr>
              <w:ind w:left="80"/>
              <w:spacing w:after="0" w:line="122" w:lineRule="exact"/>
              <w:rPr>
                <w:sz w:val="20"/>
                <w:szCs w:val="20"/>
                <w:color w:val="auto"/>
              </w:rPr>
            </w:pPr>
            <w:r>
              <w:rPr>
                <w:rFonts w:ascii="Arial" w:cs="Arial" w:eastAsia="Arial" w:hAnsi="Arial"/>
                <w:sz w:val="11"/>
                <w:szCs w:val="11"/>
                <w:color w:val="54565B"/>
                <w:w w:val="89"/>
              </w:rPr>
              <w:t>11,042​</w:t>
            </w:r>
          </w:p>
        </w:tc>
        <w:tc>
          <w:tcPr>
            <w:tcW w:w="180" w:type="dxa"/>
            <w:vAlign w:val="bottom"/>
          </w:tcPr>
          <w:p>
            <w:pPr>
              <w:jc w:val="right"/>
              <w:ind w:right="51"/>
              <w:spacing w:after="0"/>
              <w:rPr>
                <w:sz w:val="20"/>
                <w:szCs w:val="20"/>
                <w:color w:val="auto"/>
              </w:rPr>
            </w:pPr>
            <w:r>
              <w:rPr>
                <w:rFonts w:ascii="Arial" w:cs="Arial" w:eastAsia="Arial" w:hAnsi="Arial"/>
                <w:sz w:val="10"/>
                <w:szCs w:val="10"/>
                <w:color w:val="54565B"/>
                <w:w w:val="71"/>
              </w:rPr>
              <w:t>.5</w:t>
            </w:r>
          </w:p>
        </w:tc>
        <w:tc>
          <w:tcPr>
            <w:tcW w:w="580" w:type="dxa"/>
            <w:vAlign w:val="bottom"/>
          </w:tcPr>
          <w:p>
            <w:pPr>
              <w:jc w:val="right"/>
              <w:ind w:right="69"/>
              <w:spacing w:after="0" w:line="122" w:lineRule="exact"/>
              <w:rPr>
                <w:sz w:val="20"/>
                <w:szCs w:val="20"/>
                <w:color w:val="auto"/>
              </w:rPr>
            </w:pPr>
            <w:r>
              <w:rPr>
                <w:rFonts w:ascii="Arial" w:cs="Arial" w:eastAsia="Arial" w:hAnsi="Arial"/>
                <w:sz w:val="11"/>
                <w:szCs w:val="11"/>
                <w:color w:val="54565B"/>
              </w:rPr>
              <w:t>11,148.3</w:t>
            </w:r>
          </w:p>
        </w:tc>
        <w:tc>
          <w:tcPr>
            <w:tcW w:w="500" w:type="dxa"/>
            <w:vAlign w:val="bottom"/>
          </w:tcPr>
          <w:p>
            <w:pPr>
              <w:jc w:val="right"/>
              <w:ind w:right="9"/>
              <w:spacing w:after="0" w:line="122" w:lineRule="exact"/>
              <w:rPr>
                <w:sz w:val="20"/>
                <w:szCs w:val="20"/>
                <w:color w:val="auto"/>
              </w:rPr>
            </w:pPr>
            <w:r>
              <w:rPr>
                <w:rFonts w:ascii="Arial" w:cs="Arial" w:eastAsia="Arial" w:hAnsi="Arial"/>
                <w:sz w:val="11"/>
                <w:szCs w:val="11"/>
                <w:color w:val="54565B"/>
              </w:rPr>
              <w:t>3,172.5</w:t>
            </w:r>
          </w:p>
        </w:tc>
        <w:tc>
          <w:tcPr>
            <w:tcW w:w="580" w:type="dxa"/>
            <w:vAlign w:val="bottom"/>
          </w:tcPr>
          <w:p>
            <w:pPr>
              <w:jc w:val="right"/>
              <w:ind w:right="49"/>
              <w:spacing w:after="0" w:line="122" w:lineRule="exact"/>
              <w:rPr>
                <w:sz w:val="20"/>
                <w:szCs w:val="20"/>
                <w:color w:val="auto"/>
              </w:rPr>
            </w:pPr>
            <w:r>
              <w:rPr>
                <w:rFonts w:ascii="Arial" w:cs="Arial" w:eastAsia="Arial" w:hAnsi="Arial"/>
                <w:sz w:val="11"/>
                <w:szCs w:val="11"/>
                <w:color w:val="54565B"/>
              </w:rPr>
              <w:t>11,570.1</w:t>
            </w:r>
          </w:p>
        </w:tc>
        <w:tc>
          <w:tcPr>
            <w:tcW w:w="560" w:type="dxa"/>
            <w:vAlign w:val="bottom"/>
          </w:tcPr>
          <w:p>
            <w:pPr>
              <w:jc w:val="right"/>
              <w:ind w:right="49"/>
              <w:spacing w:after="0" w:line="122" w:lineRule="exact"/>
              <w:rPr>
                <w:sz w:val="20"/>
                <w:szCs w:val="20"/>
                <w:color w:val="auto"/>
              </w:rPr>
            </w:pPr>
            <w:r>
              <w:rPr>
                <w:rFonts w:ascii="Arial" w:cs="Arial" w:eastAsia="Arial" w:hAnsi="Arial"/>
                <w:sz w:val="11"/>
                <w:szCs w:val="11"/>
                <w:color w:val="54565B"/>
              </w:rPr>
              <w:t>11,545.8</w:t>
            </w:r>
          </w:p>
        </w:tc>
        <w:tc>
          <w:tcPr>
            <w:tcW w:w="520" w:type="dxa"/>
            <w:vAlign w:val="bottom"/>
          </w:tcPr>
          <w:p>
            <w:pPr>
              <w:jc w:val="right"/>
              <w:ind w:right="9"/>
              <w:spacing w:after="0" w:line="122" w:lineRule="exact"/>
              <w:rPr>
                <w:sz w:val="20"/>
                <w:szCs w:val="20"/>
                <w:color w:val="auto"/>
              </w:rPr>
            </w:pPr>
            <w:r>
              <w:rPr>
                <w:rFonts w:ascii="Arial" w:cs="Arial" w:eastAsia="Arial" w:hAnsi="Arial"/>
                <w:sz w:val="11"/>
                <w:szCs w:val="11"/>
                <w:color w:val="54565B"/>
              </w:rPr>
              <w:t>3,038.7</w:t>
            </w:r>
          </w:p>
        </w:tc>
        <w:tc>
          <w:tcPr>
            <w:tcW w:w="600" w:type="dxa"/>
            <w:vAlign w:val="bottom"/>
          </w:tcPr>
          <w:p>
            <w:pPr>
              <w:jc w:val="right"/>
              <w:ind w:right="69"/>
              <w:spacing w:after="0" w:line="122" w:lineRule="exact"/>
              <w:rPr>
                <w:sz w:val="20"/>
                <w:szCs w:val="20"/>
                <w:color w:val="auto"/>
              </w:rPr>
            </w:pPr>
            <w:r>
              <w:rPr>
                <w:rFonts w:ascii="Arial" w:cs="Arial" w:eastAsia="Arial" w:hAnsi="Arial"/>
                <w:sz w:val="11"/>
                <w:szCs w:val="11"/>
                <w:color w:val="54565B"/>
              </w:rPr>
              <w:t>9,844.1</w:t>
            </w:r>
          </w:p>
        </w:tc>
        <w:tc>
          <w:tcPr>
            <w:tcW w:w="560" w:type="dxa"/>
            <w:vAlign w:val="bottom"/>
          </w:tcPr>
          <w:p>
            <w:pPr>
              <w:jc w:val="right"/>
              <w:ind w:right="69"/>
              <w:spacing w:after="0" w:line="122" w:lineRule="exact"/>
              <w:rPr>
                <w:sz w:val="20"/>
                <w:szCs w:val="20"/>
                <w:color w:val="auto"/>
              </w:rPr>
            </w:pPr>
            <w:r>
              <w:rPr>
                <w:rFonts w:ascii="Arial" w:cs="Arial" w:eastAsia="Arial" w:hAnsi="Arial"/>
                <w:sz w:val="11"/>
                <w:szCs w:val="11"/>
                <w:color w:val="54565B"/>
              </w:rPr>
              <w:t>9,914.6</w:t>
            </w:r>
          </w:p>
        </w:tc>
        <w:tc>
          <w:tcPr>
            <w:tcW w:w="500" w:type="dxa"/>
            <w:vAlign w:val="bottom"/>
          </w:tcPr>
          <w:p>
            <w:pPr>
              <w:jc w:val="right"/>
              <w:ind w:right="9"/>
              <w:spacing w:after="0" w:line="122" w:lineRule="exact"/>
              <w:rPr>
                <w:sz w:val="20"/>
                <w:szCs w:val="20"/>
                <w:color w:val="auto"/>
              </w:rPr>
            </w:pPr>
            <w:r>
              <w:rPr>
                <w:rFonts w:ascii="Arial" w:cs="Arial" w:eastAsia="Arial" w:hAnsi="Arial"/>
                <w:sz w:val="11"/>
                <w:szCs w:val="11"/>
                <w:color w:val="54565B"/>
              </w:rPr>
              <w:t>2,919.1</w:t>
            </w:r>
          </w:p>
        </w:tc>
        <w:tc>
          <w:tcPr>
            <w:tcW w:w="580" w:type="dxa"/>
            <w:vAlign w:val="bottom"/>
          </w:tcPr>
          <w:p>
            <w:pPr>
              <w:jc w:val="right"/>
              <w:ind w:right="29"/>
              <w:spacing w:after="0" w:line="122" w:lineRule="exact"/>
              <w:rPr>
                <w:sz w:val="20"/>
                <w:szCs w:val="20"/>
                <w:color w:val="auto"/>
              </w:rPr>
            </w:pPr>
            <w:r>
              <w:rPr>
                <w:rFonts w:ascii="Arial" w:cs="Arial" w:eastAsia="Arial" w:hAnsi="Arial"/>
                <w:sz w:val="11"/>
                <w:szCs w:val="11"/>
                <w:color w:val="54565B"/>
              </w:rPr>
              <w:t>12,670.4</w:t>
            </w:r>
          </w:p>
        </w:tc>
        <w:tc>
          <w:tcPr>
            <w:tcW w:w="580" w:type="dxa"/>
            <w:vAlign w:val="bottom"/>
          </w:tcPr>
          <w:p>
            <w:pPr>
              <w:jc w:val="right"/>
              <w:ind w:right="49"/>
              <w:spacing w:after="0" w:line="122" w:lineRule="exact"/>
              <w:rPr>
                <w:sz w:val="20"/>
                <w:szCs w:val="20"/>
                <w:color w:val="auto"/>
              </w:rPr>
            </w:pPr>
            <w:r>
              <w:rPr>
                <w:rFonts w:ascii="Arial" w:cs="Arial" w:eastAsia="Arial" w:hAnsi="Arial"/>
                <w:sz w:val="11"/>
                <w:szCs w:val="11"/>
                <w:color w:val="54565B"/>
              </w:rPr>
              <w:t>12,637.9</w:t>
            </w:r>
          </w:p>
        </w:tc>
        <w:tc>
          <w:tcPr>
            <w:tcW w:w="500" w:type="dxa"/>
            <w:vAlign w:val="bottom"/>
          </w:tcPr>
          <w:p>
            <w:pPr>
              <w:jc w:val="right"/>
              <w:ind w:right="9"/>
              <w:spacing w:after="0" w:line="122" w:lineRule="exact"/>
              <w:rPr>
                <w:sz w:val="20"/>
                <w:szCs w:val="20"/>
                <w:color w:val="auto"/>
              </w:rPr>
            </w:pPr>
            <w:r>
              <w:rPr>
                <w:rFonts w:ascii="Arial" w:cs="Arial" w:eastAsia="Arial" w:hAnsi="Arial"/>
                <w:sz w:val="11"/>
                <w:szCs w:val="11"/>
                <w:color w:val="54565B"/>
              </w:rPr>
              <w:t>2,854.1</w:t>
            </w:r>
          </w:p>
        </w:tc>
        <w:tc>
          <w:tcPr>
            <w:tcW w:w="580" w:type="dxa"/>
            <w:vAlign w:val="bottom"/>
          </w:tcPr>
          <w:p>
            <w:pPr>
              <w:jc w:val="right"/>
              <w:ind w:right="29"/>
              <w:spacing w:after="0" w:line="122" w:lineRule="exact"/>
              <w:rPr>
                <w:sz w:val="20"/>
                <w:szCs w:val="20"/>
                <w:color w:val="auto"/>
              </w:rPr>
            </w:pPr>
            <w:r>
              <w:rPr>
                <w:rFonts w:ascii="Arial" w:cs="Arial" w:eastAsia="Arial" w:hAnsi="Arial"/>
                <w:sz w:val="11"/>
                <w:szCs w:val="11"/>
                <w:color w:val="54565B"/>
              </w:rPr>
              <w:t>12,449.6</w:t>
            </w:r>
          </w:p>
        </w:tc>
        <w:tc>
          <w:tcPr>
            <w:tcW w:w="580" w:type="dxa"/>
            <w:vAlign w:val="bottom"/>
          </w:tcPr>
          <w:p>
            <w:pPr>
              <w:jc w:val="right"/>
              <w:ind w:right="49"/>
              <w:spacing w:after="0" w:line="122" w:lineRule="exact"/>
              <w:rPr>
                <w:sz w:val="20"/>
                <w:szCs w:val="20"/>
                <w:color w:val="auto"/>
              </w:rPr>
            </w:pPr>
            <w:r>
              <w:rPr>
                <w:rFonts w:ascii="Arial" w:cs="Arial" w:eastAsia="Arial" w:hAnsi="Arial"/>
                <w:sz w:val="11"/>
                <w:szCs w:val="11"/>
                <w:color w:val="54565B"/>
              </w:rPr>
              <w:t>12,341.7</w:t>
            </w:r>
          </w:p>
        </w:tc>
        <w:tc>
          <w:tcPr>
            <w:tcW w:w="500" w:type="dxa"/>
            <w:vAlign w:val="bottom"/>
          </w:tcPr>
          <w:p>
            <w:pPr>
              <w:jc w:val="right"/>
              <w:ind w:right="9"/>
              <w:spacing w:after="0" w:line="122" w:lineRule="exact"/>
              <w:rPr>
                <w:sz w:val="20"/>
                <w:szCs w:val="20"/>
                <w:color w:val="auto"/>
              </w:rPr>
            </w:pPr>
            <w:r>
              <w:rPr>
                <w:rFonts w:ascii="Arial" w:cs="Arial" w:eastAsia="Arial" w:hAnsi="Arial"/>
                <w:sz w:val="11"/>
                <w:szCs w:val="11"/>
                <w:color w:val="54565B"/>
              </w:rPr>
              <w:t>2,639.6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940" w:type="dxa"/>
            <w:vAlign w:val="bottom"/>
          </w:tcPr>
          <w:p>
            <w:pPr>
              <w:ind w:left="80"/>
              <w:spacing w:after="0"/>
              <w:rPr>
                <w:sz w:val="20"/>
                <w:szCs w:val="20"/>
                <w:color w:val="auto"/>
              </w:rPr>
            </w:pPr>
            <w:r>
              <w:rPr>
                <w:rFonts w:ascii="Arial" w:cs="Arial" w:eastAsia="Arial" w:hAnsi="Arial"/>
                <w:sz w:val="11"/>
                <w:szCs w:val="11"/>
                <w:color w:val="54565B"/>
              </w:rPr>
              <w:t>Table “Total”</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EAF7FA"/>
          </w:tcPr>
          <w:p>
            <w:pPr>
              <w:spacing w:after="0"/>
              <w:rPr>
                <w:sz w:val="14"/>
                <w:szCs w:val="14"/>
                <w:color w:val="auto"/>
              </w:rPr>
            </w:pPr>
          </w:p>
        </w:tc>
        <w:tc>
          <w:tcPr>
            <w:tcW w:w="940" w:type="dxa"/>
            <w:vAlign w:val="bottom"/>
            <w:shd w:val="clear" w:color="auto" w:fill="EAF7FA"/>
          </w:tcPr>
          <w:p>
            <w:pPr>
              <w:ind w:left="80"/>
              <w:spacing w:after="0"/>
              <w:rPr>
                <w:sz w:val="20"/>
                <w:szCs w:val="20"/>
                <w:color w:val="auto"/>
              </w:rPr>
            </w:pPr>
            <w:r>
              <w:rPr>
                <w:rFonts w:ascii="Arial" w:cs="Arial" w:eastAsia="Arial" w:hAnsi="Arial"/>
                <w:sz w:val="11"/>
                <w:szCs w:val="11"/>
                <w:color w:val="54565B"/>
              </w:rPr>
              <w:t>Less: Stock</w:t>
            </w:r>
          </w:p>
        </w:tc>
        <w:tc>
          <w:tcPr>
            <w:tcW w:w="140" w:type="dxa"/>
            <w:vAlign w:val="bottom"/>
            <w:shd w:val="clear" w:color="auto" w:fill="EAF7FA"/>
          </w:tcPr>
          <w:p>
            <w:pPr>
              <w:spacing w:after="0"/>
              <w:rPr>
                <w:sz w:val="14"/>
                <w:szCs w:val="14"/>
                <w:color w:val="auto"/>
              </w:rPr>
            </w:pPr>
          </w:p>
        </w:tc>
        <w:tc>
          <w:tcPr>
            <w:tcW w:w="260" w:type="dxa"/>
            <w:vAlign w:val="bottom"/>
            <w:shd w:val="clear" w:color="auto" w:fill="EAF7FA"/>
          </w:tcPr>
          <w:p>
            <w:pPr>
              <w:spacing w:after="0"/>
              <w:rPr>
                <w:sz w:val="14"/>
                <w:szCs w:val="14"/>
                <w:color w:val="auto"/>
              </w:rPr>
            </w:pPr>
          </w:p>
        </w:tc>
        <w:tc>
          <w:tcPr>
            <w:tcW w:w="180" w:type="dxa"/>
            <w:vAlign w:val="bottom"/>
            <w:shd w:val="clear" w:color="auto" w:fill="EAF7FA"/>
          </w:tcPr>
          <w:p>
            <w:pPr>
              <w:spacing w:after="0"/>
              <w:rPr>
                <w:sz w:val="14"/>
                <w:szCs w:val="14"/>
                <w:color w:val="auto"/>
              </w:rPr>
            </w:pPr>
          </w:p>
        </w:tc>
        <w:tc>
          <w:tcPr>
            <w:tcW w:w="580" w:type="dxa"/>
            <w:vAlign w:val="bottom"/>
            <w:shd w:val="clear" w:color="auto" w:fill="EAF7FA"/>
          </w:tcPr>
          <w:p>
            <w:pPr>
              <w:spacing w:after="0"/>
              <w:rPr>
                <w:sz w:val="14"/>
                <w:szCs w:val="14"/>
                <w:color w:val="auto"/>
              </w:rPr>
            </w:pPr>
          </w:p>
        </w:tc>
        <w:tc>
          <w:tcPr>
            <w:tcW w:w="500" w:type="dxa"/>
            <w:vAlign w:val="bottom"/>
            <w:shd w:val="clear" w:color="auto" w:fill="EAF7FA"/>
          </w:tcPr>
          <w:p>
            <w:pPr>
              <w:spacing w:after="0"/>
              <w:rPr>
                <w:sz w:val="14"/>
                <w:szCs w:val="14"/>
                <w:color w:val="auto"/>
              </w:rPr>
            </w:pPr>
          </w:p>
        </w:tc>
        <w:tc>
          <w:tcPr>
            <w:tcW w:w="580" w:type="dxa"/>
            <w:vAlign w:val="bottom"/>
            <w:shd w:val="clear" w:color="auto" w:fill="EAF7FA"/>
          </w:tcPr>
          <w:p>
            <w:pPr>
              <w:spacing w:after="0"/>
              <w:rPr>
                <w:sz w:val="14"/>
                <w:szCs w:val="14"/>
                <w:color w:val="auto"/>
              </w:rPr>
            </w:pPr>
          </w:p>
        </w:tc>
        <w:tc>
          <w:tcPr>
            <w:tcW w:w="560" w:type="dxa"/>
            <w:vAlign w:val="bottom"/>
            <w:shd w:val="clear" w:color="auto" w:fill="EAF7FA"/>
          </w:tcPr>
          <w:p>
            <w:pPr>
              <w:spacing w:after="0"/>
              <w:rPr>
                <w:sz w:val="14"/>
                <w:szCs w:val="14"/>
                <w:color w:val="auto"/>
              </w:rPr>
            </w:pPr>
          </w:p>
        </w:tc>
        <w:tc>
          <w:tcPr>
            <w:tcW w:w="520" w:type="dxa"/>
            <w:vAlign w:val="bottom"/>
            <w:shd w:val="clear" w:color="auto" w:fill="EAF7FA"/>
          </w:tcPr>
          <w:p>
            <w:pPr>
              <w:spacing w:after="0"/>
              <w:rPr>
                <w:sz w:val="14"/>
                <w:szCs w:val="14"/>
                <w:color w:val="auto"/>
              </w:rPr>
            </w:pPr>
          </w:p>
        </w:tc>
        <w:tc>
          <w:tcPr>
            <w:tcW w:w="600" w:type="dxa"/>
            <w:vAlign w:val="bottom"/>
            <w:shd w:val="clear" w:color="auto" w:fill="EAF7FA"/>
          </w:tcPr>
          <w:p>
            <w:pPr>
              <w:spacing w:after="0"/>
              <w:rPr>
                <w:sz w:val="14"/>
                <w:szCs w:val="14"/>
                <w:color w:val="auto"/>
              </w:rPr>
            </w:pPr>
          </w:p>
        </w:tc>
        <w:tc>
          <w:tcPr>
            <w:tcW w:w="560" w:type="dxa"/>
            <w:vAlign w:val="bottom"/>
            <w:shd w:val="clear" w:color="auto" w:fill="EAF7FA"/>
          </w:tcPr>
          <w:p>
            <w:pPr>
              <w:spacing w:after="0"/>
              <w:rPr>
                <w:sz w:val="14"/>
                <w:szCs w:val="14"/>
                <w:color w:val="auto"/>
              </w:rPr>
            </w:pPr>
          </w:p>
        </w:tc>
        <w:tc>
          <w:tcPr>
            <w:tcW w:w="500" w:type="dxa"/>
            <w:vAlign w:val="bottom"/>
            <w:shd w:val="clear" w:color="auto" w:fill="EAF7FA"/>
          </w:tcPr>
          <w:p>
            <w:pPr>
              <w:spacing w:after="0"/>
              <w:rPr>
                <w:sz w:val="14"/>
                <w:szCs w:val="14"/>
                <w:color w:val="auto"/>
              </w:rPr>
            </w:pPr>
          </w:p>
        </w:tc>
        <w:tc>
          <w:tcPr>
            <w:tcW w:w="580" w:type="dxa"/>
            <w:vAlign w:val="bottom"/>
            <w:shd w:val="clear" w:color="auto" w:fill="EAF7FA"/>
          </w:tcPr>
          <w:p>
            <w:pPr>
              <w:spacing w:after="0"/>
              <w:rPr>
                <w:sz w:val="14"/>
                <w:szCs w:val="14"/>
                <w:color w:val="auto"/>
              </w:rPr>
            </w:pPr>
          </w:p>
        </w:tc>
        <w:tc>
          <w:tcPr>
            <w:tcW w:w="580" w:type="dxa"/>
            <w:vAlign w:val="bottom"/>
            <w:shd w:val="clear" w:color="auto" w:fill="EAF7FA"/>
          </w:tcPr>
          <w:p>
            <w:pPr>
              <w:spacing w:after="0"/>
              <w:rPr>
                <w:sz w:val="14"/>
                <w:szCs w:val="14"/>
                <w:color w:val="auto"/>
              </w:rPr>
            </w:pPr>
          </w:p>
        </w:tc>
        <w:tc>
          <w:tcPr>
            <w:tcW w:w="500" w:type="dxa"/>
            <w:vAlign w:val="bottom"/>
            <w:shd w:val="clear" w:color="auto" w:fill="EAF7FA"/>
          </w:tcPr>
          <w:p>
            <w:pPr>
              <w:spacing w:after="0"/>
              <w:rPr>
                <w:sz w:val="14"/>
                <w:szCs w:val="14"/>
                <w:color w:val="auto"/>
              </w:rPr>
            </w:pPr>
          </w:p>
        </w:tc>
        <w:tc>
          <w:tcPr>
            <w:tcW w:w="580" w:type="dxa"/>
            <w:vAlign w:val="bottom"/>
            <w:shd w:val="clear" w:color="auto" w:fill="EAF7FA"/>
          </w:tcPr>
          <w:p>
            <w:pPr>
              <w:spacing w:after="0"/>
              <w:rPr>
                <w:sz w:val="14"/>
                <w:szCs w:val="14"/>
                <w:color w:val="auto"/>
              </w:rPr>
            </w:pPr>
          </w:p>
        </w:tc>
        <w:tc>
          <w:tcPr>
            <w:tcW w:w="580" w:type="dxa"/>
            <w:vAlign w:val="bottom"/>
            <w:shd w:val="clear" w:color="auto" w:fill="EAF7FA"/>
          </w:tcPr>
          <w:p>
            <w:pPr>
              <w:spacing w:after="0"/>
              <w:rPr>
                <w:sz w:val="14"/>
                <w:szCs w:val="14"/>
                <w:color w:val="auto"/>
              </w:rPr>
            </w:pPr>
          </w:p>
        </w:tc>
        <w:tc>
          <w:tcPr>
            <w:tcW w:w="500" w:type="dxa"/>
            <w:vAlign w:val="bottom"/>
            <w:shd w:val="clear" w:color="auto" w:fill="EAF7FA"/>
          </w:tcPr>
          <w:p>
            <w:pPr>
              <w:spacing w:after="0"/>
              <w:rPr>
                <w:sz w:val="14"/>
                <w:szCs w:val="14"/>
                <w:color w:val="auto"/>
              </w:rPr>
            </w:pPr>
          </w:p>
        </w:tc>
        <w:tc>
          <w:tcPr>
            <w:tcW w:w="100" w:type="dxa"/>
            <w:vAlign w:val="bottom"/>
            <w:shd w:val="clear" w:color="auto" w:fill="EAF7FA"/>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60" w:type="dxa"/>
            <w:vAlign w:val="bottom"/>
            <w:shd w:val="clear" w:color="auto" w:fill="EAF7FA"/>
          </w:tcPr>
          <w:p>
            <w:pPr>
              <w:spacing w:after="0"/>
              <w:rPr>
                <w:sz w:val="10"/>
                <w:szCs w:val="10"/>
                <w:color w:val="auto"/>
              </w:rPr>
            </w:pPr>
          </w:p>
        </w:tc>
        <w:tc>
          <w:tcPr>
            <w:tcW w:w="940" w:type="dxa"/>
            <w:vAlign w:val="bottom"/>
            <w:shd w:val="clear" w:color="auto" w:fill="EAF7FA"/>
          </w:tcPr>
          <w:p>
            <w:pPr>
              <w:ind w:left="80"/>
              <w:spacing w:after="0" w:line="122" w:lineRule="exact"/>
              <w:rPr>
                <w:sz w:val="20"/>
                <w:szCs w:val="20"/>
                <w:color w:val="auto"/>
              </w:rPr>
            </w:pPr>
            <w:r>
              <w:rPr>
                <w:rFonts w:ascii="Arial" w:cs="Arial" w:eastAsia="Arial" w:hAnsi="Arial"/>
                <w:sz w:val="11"/>
                <w:szCs w:val="11"/>
                <w:color w:val="54565B"/>
              </w:rPr>
              <w:t>Award Values</w:t>
            </w:r>
          </w:p>
        </w:tc>
        <w:tc>
          <w:tcPr>
            <w:tcW w:w="140" w:type="dxa"/>
            <w:vAlign w:val="bottom"/>
            <w:shd w:val="clear" w:color="auto" w:fill="EAF7FA"/>
          </w:tcPr>
          <w:p>
            <w:pPr>
              <w:spacing w:after="0"/>
              <w:rPr>
                <w:sz w:val="10"/>
                <w:szCs w:val="10"/>
                <w:color w:val="auto"/>
              </w:rPr>
            </w:pPr>
          </w:p>
        </w:tc>
        <w:tc>
          <w:tcPr>
            <w:tcW w:w="260" w:type="dxa"/>
            <w:vAlign w:val="bottom"/>
            <w:shd w:val="clear" w:color="auto" w:fill="EAF7FA"/>
          </w:tcPr>
          <w:p>
            <w:pPr>
              <w:spacing w:after="0"/>
              <w:rPr>
                <w:sz w:val="10"/>
                <w:szCs w:val="10"/>
                <w:color w:val="auto"/>
              </w:rPr>
            </w:pPr>
          </w:p>
        </w:tc>
        <w:tc>
          <w:tcPr>
            <w:tcW w:w="1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60" w:type="dxa"/>
            <w:vAlign w:val="bottom"/>
            <w:shd w:val="clear" w:color="auto" w:fill="EAF7FA"/>
          </w:tcPr>
          <w:p>
            <w:pPr>
              <w:spacing w:after="0"/>
              <w:rPr>
                <w:sz w:val="10"/>
                <w:szCs w:val="10"/>
                <w:color w:val="auto"/>
              </w:rPr>
            </w:pPr>
          </w:p>
        </w:tc>
        <w:tc>
          <w:tcPr>
            <w:tcW w:w="520" w:type="dxa"/>
            <w:vAlign w:val="bottom"/>
            <w:shd w:val="clear" w:color="auto" w:fill="EAF7FA"/>
          </w:tcPr>
          <w:p>
            <w:pPr>
              <w:spacing w:after="0"/>
              <w:rPr>
                <w:sz w:val="10"/>
                <w:szCs w:val="10"/>
                <w:color w:val="auto"/>
              </w:rPr>
            </w:pPr>
          </w:p>
        </w:tc>
        <w:tc>
          <w:tcPr>
            <w:tcW w:w="600" w:type="dxa"/>
            <w:vAlign w:val="bottom"/>
            <w:shd w:val="clear" w:color="auto" w:fill="EAF7FA"/>
          </w:tcPr>
          <w:p>
            <w:pPr>
              <w:spacing w:after="0"/>
              <w:rPr>
                <w:sz w:val="10"/>
                <w:szCs w:val="10"/>
                <w:color w:val="auto"/>
              </w:rPr>
            </w:pPr>
          </w:p>
        </w:tc>
        <w:tc>
          <w:tcPr>
            <w:tcW w:w="56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100" w:type="dxa"/>
            <w:vAlign w:val="bottom"/>
            <w:shd w:val="clear" w:color="auto" w:fill="EAF7FA"/>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shd w:val="clear" w:color="auto" w:fill="EAF7FA"/>
          </w:tcPr>
          <w:p>
            <w:pPr>
              <w:spacing w:after="0"/>
              <w:rPr>
                <w:sz w:val="10"/>
                <w:szCs w:val="10"/>
                <w:color w:val="auto"/>
              </w:rPr>
            </w:pPr>
          </w:p>
        </w:tc>
        <w:tc>
          <w:tcPr>
            <w:tcW w:w="940" w:type="dxa"/>
            <w:vAlign w:val="bottom"/>
            <w:shd w:val="clear" w:color="auto" w:fill="EAF7FA"/>
          </w:tcPr>
          <w:p>
            <w:pPr>
              <w:ind w:left="80"/>
              <w:spacing w:after="0" w:line="122" w:lineRule="exact"/>
              <w:rPr>
                <w:sz w:val="20"/>
                <w:szCs w:val="20"/>
                <w:color w:val="auto"/>
              </w:rPr>
            </w:pPr>
            <w:r>
              <w:rPr>
                <w:rFonts w:ascii="Arial" w:cs="Arial" w:eastAsia="Arial" w:hAnsi="Arial"/>
                <w:sz w:val="11"/>
                <w:szCs w:val="11"/>
                <w:color w:val="54565B"/>
              </w:rPr>
              <w:t>Reported in</w:t>
            </w:r>
          </w:p>
        </w:tc>
        <w:tc>
          <w:tcPr>
            <w:tcW w:w="140" w:type="dxa"/>
            <w:vAlign w:val="bottom"/>
            <w:shd w:val="clear" w:color="auto" w:fill="EAF7FA"/>
          </w:tcPr>
          <w:p>
            <w:pPr>
              <w:spacing w:after="0"/>
              <w:rPr>
                <w:sz w:val="10"/>
                <w:szCs w:val="10"/>
                <w:color w:val="auto"/>
              </w:rPr>
            </w:pPr>
          </w:p>
        </w:tc>
        <w:tc>
          <w:tcPr>
            <w:tcW w:w="260" w:type="dxa"/>
            <w:vAlign w:val="bottom"/>
            <w:shd w:val="clear" w:color="auto" w:fill="EAF7FA"/>
          </w:tcPr>
          <w:p>
            <w:pPr>
              <w:spacing w:after="0"/>
              <w:rPr>
                <w:sz w:val="10"/>
                <w:szCs w:val="10"/>
                <w:color w:val="auto"/>
              </w:rPr>
            </w:pPr>
          </w:p>
        </w:tc>
        <w:tc>
          <w:tcPr>
            <w:tcW w:w="1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60" w:type="dxa"/>
            <w:vAlign w:val="bottom"/>
            <w:shd w:val="clear" w:color="auto" w:fill="EAF7FA"/>
          </w:tcPr>
          <w:p>
            <w:pPr>
              <w:spacing w:after="0"/>
              <w:rPr>
                <w:sz w:val="10"/>
                <w:szCs w:val="10"/>
                <w:color w:val="auto"/>
              </w:rPr>
            </w:pPr>
          </w:p>
        </w:tc>
        <w:tc>
          <w:tcPr>
            <w:tcW w:w="520" w:type="dxa"/>
            <w:vAlign w:val="bottom"/>
            <w:shd w:val="clear" w:color="auto" w:fill="EAF7FA"/>
          </w:tcPr>
          <w:p>
            <w:pPr>
              <w:spacing w:after="0"/>
              <w:rPr>
                <w:sz w:val="10"/>
                <w:szCs w:val="10"/>
                <w:color w:val="auto"/>
              </w:rPr>
            </w:pPr>
          </w:p>
        </w:tc>
        <w:tc>
          <w:tcPr>
            <w:tcW w:w="600" w:type="dxa"/>
            <w:vAlign w:val="bottom"/>
            <w:shd w:val="clear" w:color="auto" w:fill="EAF7FA"/>
          </w:tcPr>
          <w:p>
            <w:pPr>
              <w:spacing w:after="0"/>
              <w:rPr>
                <w:sz w:val="10"/>
                <w:szCs w:val="10"/>
                <w:color w:val="auto"/>
              </w:rPr>
            </w:pPr>
          </w:p>
        </w:tc>
        <w:tc>
          <w:tcPr>
            <w:tcW w:w="56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100" w:type="dxa"/>
            <w:vAlign w:val="bottom"/>
            <w:shd w:val="clear" w:color="auto" w:fill="EAF7FA"/>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shd w:val="clear" w:color="auto" w:fill="EAF7FA"/>
          </w:tcPr>
          <w:p>
            <w:pPr>
              <w:spacing w:after="0"/>
              <w:rPr>
                <w:sz w:val="10"/>
                <w:szCs w:val="10"/>
                <w:color w:val="auto"/>
              </w:rPr>
            </w:pPr>
          </w:p>
        </w:tc>
        <w:tc>
          <w:tcPr>
            <w:tcW w:w="940" w:type="dxa"/>
            <w:vAlign w:val="bottom"/>
            <w:shd w:val="clear" w:color="auto" w:fill="EAF7FA"/>
          </w:tcPr>
          <w:p>
            <w:pPr>
              <w:ind w:left="80"/>
              <w:spacing w:after="0" w:line="122" w:lineRule="exact"/>
              <w:rPr>
                <w:sz w:val="20"/>
                <w:szCs w:val="20"/>
                <w:color w:val="auto"/>
              </w:rPr>
            </w:pPr>
            <w:r>
              <w:rPr>
                <w:rFonts w:ascii="Arial" w:cs="Arial" w:eastAsia="Arial" w:hAnsi="Arial"/>
                <w:sz w:val="11"/>
                <w:szCs w:val="11"/>
                <w:color w:val="54565B"/>
              </w:rPr>
              <w:t>Summary</w:t>
            </w:r>
          </w:p>
        </w:tc>
        <w:tc>
          <w:tcPr>
            <w:tcW w:w="580" w:type="dxa"/>
            <w:vAlign w:val="bottom"/>
            <w:gridSpan w:val="3"/>
            <w:shd w:val="clear" w:color="auto" w:fill="EAF7FA"/>
          </w:tcPr>
          <w:p>
            <w:pPr>
              <w:ind w:left="80"/>
              <w:spacing w:after="0" w:line="122" w:lineRule="exact"/>
              <w:rPr>
                <w:sz w:val="20"/>
                <w:szCs w:val="20"/>
                <w:color w:val="auto"/>
              </w:rPr>
            </w:pPr>
            <w:r>
              <w:rPr>
                <w:rFonts w:ascii="Arial" w:cs="Arial" w:eastAsia="Arial" w:hAnsi="Arial"/>
                <w:sz w:val="11"/>
                <w:szCs w:val="11"/>
                <w:color w:val="54565B"/>
              </w:rPr>
              <w:t>​(1,500.0)</w:t>
            </w:r>
          </w:p>
        </w:tc>
        <w:tc>
          <w:tcPr>
            <w:tcW w:w="580" w:type="dxa"/>
            <w:vAlign w:val="bottom"/>
            <w:shd w:val="clear" w:color="auto" w:fill="EAF7FA"/>
          </w:tcPr>
          <w:p>
            <w:pPr>
              <w:jc w:val="right"/>
              <w:ind w:right="29"/>
              <w:spacing w:after="0" w:line="122" w:lineRule="exact"/>
              <w:rPr>
                <w:sz w:val="20"/>
                <w:szCs w:val="20"/>
                <w:color w:val="auto"/>
              </w:rPr>
            </w:pPr>
            <w:r>
              <w:rPr>
                <w:rFonts w:ascii="Arial" w:cs="Arial" w:eastAsia="Arial" w:hAnsi="Arial"/>
                <w:sz w:val="11"/>
                <w:szCs w:val="11"/>
                <w:color w:val="54565B"/>
              </w:rPr>
              <w:t>(1,500.0)</w:t>
            </w:r>
          </w:p>
        </w:tc>
        <w:tc>
          <w:tcPr>
            <w:tcW w:w="500" w:type="dxa"/>
            <w:vAlign w:val="bottom"/>
            <w:shd w:val="clear" w:color="auto" w:fill="EAF7FA"/>
          </w:tcPr>
          <w:p>
            <w:pPr>
              <w:jc w:val="right"/>
              <w:spacing w:after="0" w:line="122" w:lineRule="exact"/>
              <w:rPr>
                <w:sz w:val="20"/>
                <w:szCs w:val="20"/>
                <w:color w:val="auto"/>
              </w:rPr>
            </w:pPr>
            <w:r>
              <w:rPr>
                <w:rFonts w:ascii="Arial" w:cs="Arial" w:eastAsia="Arial" w:hAnsi="Arial"/>
                <w:sz w:val="11"/>
                <w:szCs w:val="11"/>
                <w:color w:val="54565B"/>
              </w:rPr>
              <w:t>(643.8)</w:t>
            </w:r>
          </w:p>
        </w:tc>
        <w:tc>
          <w:tcPr>
            <w:tcW w:w="580" w:type="dxa"/>
            <w:vAlign w:val="bottom"/>
            <w:shd w:val="clear" w:color="auto" w:fill="EAF7FA"/>
          </w:tcPr>
          <w:p>
            <w:pPr>
              <w:jc w:val="right"/>
              <w:spacing w:after="0" w:line="122" w:lineRule="exact"/>
              <w:rPr>
                <w:sz w:val="20"/>
                <w:szCs w:val="20"/>
                <w:color w:val="auto"/>
              </w:rPr>
            </w:pPr>
            <w:r>
              <w:rPr>
                <w:rFonts w:ascii="Arial" w:cs="Arial" w:eastAsia="Arial" w:hAnsi="Arial"/>
                <w:sz w:val="11"/>
                <w:szCs w:val="11"/>
                <w:color w:val="54565B"/>
              </w:rPr>
              <w:t>(1,500.0)</w:t>
            </w:r>
          </w:p>
        </w:tc>
        <w:tc>
          <w:tcPr>
            <w:tcW w:w="560" w:type="dxa"/>
            <w:vAlign w:val="bottom"/>
            <w:shd w:val="clear" w:color="auto" w:fill="EAF7FA"/>
          </w:tcPr>
          <w:p>
            <w:pPr>
              <w:jc w:val="right"/>
              <w:ind w:right="9"/>
              <w:spacing w:after="0" w:line="122" w:lineRule="exact"/>
              <w:rPr>
                <w:sz w:val="20"/>
                <w:szCs w:val="20"/>
                <w:color w:val="auto"/>
              </w:rPr>
            </w:pPr>
            <w:r>
              <w:rPr>
                <w:rFonts w:ascii="Arial" w:cs="Arial" w:eastAsia="Arial" w:hAnsi="Arial"/>
                <w:sz w:val="11"/>
                <w:szCs w:val="11"/>
                <w:color w:val="54565B"/>
              </w:rPr>
              <w:t>(1,500.0)</w:t>
            </w:r>
          </w:p>
        </w:tc>
        <w:tc>
          <w:tcPr>
            <w:tcW w:w="520" w:type="dxa"/>
            <w:vAlign w:val="bottom"/>
            <w:shd w:val="clear" w:color="auto" w:fill="EAF7FA"/>
          </w:tcPr>
          <w:p>
            <w:pPr>
              <w:jc w:val="right"/>
              <w:spacing w:after="0" w:line="122" w:lineRule="exact"/>
              <w:rPr>
                <w:sz w:val="20"/>
                <w:szCs w:val="20"/>
                <w:color w:val="auto"/>
              </w:rPr>
            </w:pPr>
            <w:r>
              <w:rPr>
                <w:rFonts w:ascii="Arial" w:cs="Arial" w:eastAsia="Arial" w:hAnsi="Arial"/>
                <w:sz w:val="11"/>
                <w:szCs w:val="11"/>
                <w:color w:val="54565B"/>
              </w:rPr>
              <w:t>(626.3)</w:t>
            </w:r>
          </w:p>
        </w:tc>
        <w:tc>
          <w:tcPr>
            <w:tcW w:w="600" w:type="dxa"/>
            <w:vAlign w:val="bottom"/>
            <w:shd w:val="clear" w:color="auto" w:fill="EAF7FA"/>
          </w:tcPr>
          <w:p>
            <w:pPr>
              <w:jc w:val="right"/>
              <w:ind w:right="9"/>
              <w:spacing w:after="0" w:line="122" w:lineRule="exact"/>
              <w:rPr>
                <w:sz w:val="20"/>
                <w:szCs w:val="20"/>
                <w:color w:val="auto"/>
              </w:rPr>
            </w:pPr>
            <w:r>
              <w:rPr>
                <w:rFonts w:ascii="Arial" w:cs="Arial" w:eastAsia="Arial" w:hAnsi="Arial"/>
                <w:sz w:val="11"/>
                <w:szCs w:val="11"/>
                <w:color w:val="54565B"/>
              </w:rPr>
              <w:t>(1,500.1)</w:t>
            </w:r>
          </w:p>
        </w:tc>
        <w:tc>
          <w:tcPr>
            <w:tcW w:w="560" w:type="dxa"/>
            <w:vAlign w:val="bottom"/>
            <w:shd w:val="clear" w:color="auto" w:fill="EAF7FA"/>
          </w:tcPr>
          <w:p>
            <w:pPr>
              <w:jc w:val="right"/>
              <w:ind w:right="9"/>
              <w:spacing w:after="0" w:line="122" w:lineRule="exact"/>
              <w:rPr>
                <w:sz w:val="20"/>
                <w:szCs w:val="20"/>
                <w:color w:val="auto"/>
              </w:rPr>
            </w:pPr>
            <w:r>
              <w:rPr>
                <w:rFonts w:ascii="Arial" w:cs="Arial" w:eastAsia="Arial" w:hAnsi="Arial"/>
                <w:sz w:val="11"/>
                <w:szCs w:val="11"/>
                <w:color w:val="54565B"/>
              </w:rPr>
              <w:t>(1,500.1)</w:t>
            </w:r>
          </w:p>
        </w:tc>
        <w:tc>
          <w:tcPr>
            <w:tcW w:w="500" w:type="dxa"/>
            <w:vAlign w:val="bottom"/>
            <w:shd w:val="clear" w:color="auto" w:fill="EAF7FA"/>
          </w:tcPr>
          <w:p>
            <w:pPr>
              <w:jc w:val="right"/>
              <w:spacing w:after="0" w:line="122" w:lineRule="exact"/>
              <w:rPr>
                <w:sz w:val="20"/>
                <w:szCs w:val="20"/>
                <w:color w:val="auto"/>
              </w:rPr>
            </w:pPr>
            <w:r>
              <w:rPr>
                <w:rFonts w:ascii="Arial" w:cs="Arial" w:eastAsia="Arial" w:hAnsi="Arial"/>
                <w:sz w:val="11"/>
                <w:szCs w:val="11"/>
                <w:color w:val="54565B"/>
              </w:rPr>
              <w:t>(1,066.4)</w:t>
            </w:r>
          </w:p>
        </w:tc>
        <w:tc>
          <w:tcPr>
            <w:tcW w:w="580" w:type="dxa"/>
            <w:vAlign w:val="bottom"/>
            <w:shd w:val="clear" w:color="auto" w:fill="EAF7FA"/>
          </w:tcPr>
          <w:p>
            <w:pPr>
              <w:jc w:val="right"/>
              <w:spacing w:after="0" w:line="122" w:lineRule="exact"/>
              <w:rPr>
                <w:sz w:val="20"/>
                <w:szCs w:val="20"/>
                <w:color w:val="auto"/>
              </w:rPr>
            </w:pPr>
            <w:r>
              <w:rPr>
                <w:rFonts w:ascii="Arial" w:cs="Arial" w:eastAsia="Arial" w:hAnsi="Arial"/>
                <w:sz w:val="11"/>
                <w:szCs w:val="11"/>
                <w:color w:val="54565B"/>
              </w:rPr>
              <w:t>(1,500.1)</w:t>
            </w:r>
          </w:p>
        </w:tc>
        <w:tc>
          <w:tcPr>
            <w:tcW w:w="580" w:type="dxa"/>
            <w:vAlign w:val="bottom"/>
            <w:shd w:val="clear" w:color="auto" w:fill="EAF7FA"/>
          </w:tcPr>
          <w:p>
            <w:pPr>
              <w:jc w:val="right"/>
              <w:ind w:right="29"/>
              <w:spacing w:after="0" w:line="122" w:lineRule="exact"/>
              <w:rPr>
                <w:sz w:val="20"/>
                <w:szCs w:val="20"/>
                <w:color w:val="auto"/>
              </w:rPr>
            </w:pPr>
            <w:r>
              <w:rPr>
                <w:rFonts w:ascii="Arial" w:cs="Arial" w:eastAsia="Arial" w:hAnsi="Arial"/>
                <w:sz w:val="11"/>
                <w:szCs w:val="11"/>
                <w:color w:val="54565B"/>
              </w:rPr>
              <w:t>(1,500.1)</w:t>
            </w:r>
          </w:p>
        </w:tc>
        <w:tc>
          <w:tcPr>
            <w:tcW w:w="500" w:type="dxa"/>
            <w:vAlign w:val="bottom"/>
            <w:shd w:val="clear" w:color="auto" w:fill="EAF7FA"/>
          </w:tcPr>
          <w:p>
            <w:pPr>
              <w:jc w:val="right"/>
              <w:spacing w:after="0" w:line="122" w:lineRule="exact"/>
              <w:rPr>
                <w:sz w:val="20"/>
                <w:szCs w:val="20"/>
                <w:color w:val="auto"/>
              </w:rPr>
            </w:pPr>
            <w:r>
              <w:rPr>
                <w:rFonts w:ascii="Arial" w:cs="Arial" w:eastAsia="Arial" w:hAnsi="Arial"/>
                <w:sz w:val="11"/>
                <w:szCs w:val="11"/>
                <w:color w:val="54565B"/>
              </w:rPr>
              <w:t>(592.6)</w:t>
            </w:r>
          </w:p>
        </w:tc>
        <w:tc>
          <w:tcPr>
            <w:tcW w:w="580" w:type="dxa"/>
            <w:vAlign w:val="bottom"/>
            <w:shd w:val="clear" w:color="auto" w:fill="EAF7FA"/>
          </w:tcPr>
          <w:p>
            <w:pPr>
              <w:jc w:val="right"/>
              <w:spacing w:after="0" w:line="122" w:lineRule="exact"/>
              <w:rPr>
                <w:sz w:val="20"/>
                <w:szCs w:val="20"/>
                <w:color w:val="auto"/>
              </w:rPr>
            </w:pPr>
            <w:r>
              <w:rPr>
                <w:rFonts w:ascii="Arial" w:cs="Arial" w:eastAsia="Arial" w:hAnsi="Arial"/>
                <w:sz w:val="11"/>
                <w:szCs w:val="11"/>
                <w:color w:val="54565B"/>
              </w:rPr>
              <w:t>(1,500.1)</w:t>
            </w:r>
          </w:p>
        </w:tc>
        <w:tc>
          <w:tcPr>
            <w:tcW w:w="580" w:type="dxa"/>
            <w:vAlign w:val="bottom"/>
            <w:shd w:val="clear" w:color="auto" w:fill="EAF7FA"/>
          </w:tcPr>
          <w:p>
            <w:pPr>
              <w:jc w:val="right"/>
              <w:ind w:right="29"/>
              <w:spacing w:after="0" w:line="122" w:lineRule="exact"/>
              <w:rPr>
                <w:sz w:val="20"/>
                <w:szCs w:val="20"/>
                <w:color w:val="auto"/>
              </w:rPr>
            </w:pPr>
            <w:r>
              <w:rPr>
                <w:rFonts w:ascii="Arial" w:cs="Arial" w:eastAsia="Arial" w:hAnsi="Arial"/>
                <w:sz w:val="11"/>
                <w:szCs w:val="11"/>
                <w:color w:val="54565B"/>
              </w:rPr>
              <w:t>(1,500.1)</w:t>
            </w:r>
          </w:p>
        </w:tc>
        <w:tc>
          <w:tcPr>
            <w:tcW w:w="500" w:type="dxa"/>
            <w:vAlign w:val="bottom"/>
            <w:shd w:val="clear" w:color="auto" w:fill="EAF7FA"/>
          </w:tcPr>
          <w:p>
            <w:pPr>
              <w:jc w:val="right"/>
              <w:spacing w:after="0" w:line="122" w:lineRule="exact"/>
              <w:rPr>
                <w:sz w:val="20"/>
                <w:szCs w:val="20"/>
                <w:color w:val="auto"/>
              </w:rPr>
            </w:pPr>
            <w:r>
              <w:rPr>
                <w:rFonts w:ascii="Arial" w:cs="Arial" w:eastAsia="Arial" w:hAnsi="Arial"/>
                <w:sz w:val="11"/>
                <w:szCs w:val="11"/>
                <w:color w:val="54565B"/>
              </w:rPr>
              <w:t>(538.8)</w:t>
            </w:r>
          </w:p>
        </w:tc>
        <w:tc>
          <w:tcPr>
            <w:tcW w:w="100" w:type="dxa"/>
            <w:vAlign w:val="bottom"/>
            <w:shd w:val="clear" w:color="auto" w:fill="EAF7FA"/>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0" w:type="dxa"/>
            <w:vAlign w:val="bottom"/>
            <w:shd w:val="clear" w:color="auto" w:fill="EAF7FA"/>
          </w:tcPr>
          <w:p>
            <w:pPr>
              <w:spacing w:after="0"/>
              <w:rPr>
                <w:sz w:val="10"/>
                <w:szCs w:val="10"/>
                <w:color w:val="auto"/>
              </w:rPr>
            </w:pPr>
          </w:p>
        </w:tc>
        <w:tc>
          <w:tcPr>
            <w:tcW w:w="940" w:type="dxa"/>
            <w:vAlign w:val="bottom"/>
            <w:shd w:val="clear" w:color="auto" w:fill="EAF7FA"/>
          </w:tcPr>
          <w:p>
            <w:pPr>
              <w:ind w:left="80"/>
              <w:spacing w:after="0" w:line="122" w:lineRule="exact"/>
              <w:rPr>
                <w:sz w:val="20"/>
                <w:szCs w:val="20"/>
                <w:color w:val="auto"/>
              </w:rPr>
            </w:pPr>
            <w:r>
              <w:rPr>
                <w:rFonts w:ascii="Arial" w:cs="Arial" w:eastAsia="Arial" w:hAnsi="Arial"/>
                <w:sz w:val="11"/>
                <w:szCs w:val="11"/>
                <w:color w:val="54565B"/>
              </w:rPr>
              <w:t>Compensation</w:t>
            </w:r>
          </w:p>
        </w:tc>
        <w:tc>
          <w:tcPr>
            <w:tcW w:w="140" w:type="dxa"/>
            <w:vAlign w:val="bottom"/>
            <w:shd w:val="clear" w:color="auto" w:fill="EAF7FA"/>
          </w:tcPr>
          <w:p>
            <w:pPr>
              <w:spacing w:after="0"/>
              <w:rPr>
                <w:sz w:val="10"/>
                <w:szCs w:val="10"/>
                <w:color w:val="auto"/>
              </w:rPr>
            </w:pPr>
          </w:p>
        </w:tc>
        <w:tc>
          <w:tcPr>
            <w:tcW w:w="260" w:type="dxa"/>
            <w:vAlign w:val="bottom"/>
            <w:shd w:val="clear" w:color="auto" w:fill="EAF7FA"/>
          </w:tcPr>
          <w:p>
            <w:pPr>
              <w:spacing w:after="0"/>
              <w:rPr>
                <w:sz w:val="10"/>
                <w:szCs w:val="10"/>
                <w:color w:val="auto"/>
              </w:rPr>
            </w:pPr>
          </w:p>
        </w:tc>
        <w:tc>
          <w:tcPr>
            <w:tcW w:w="1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60" w:type="dxa"/>
            <w:vAlign w:val="bottom"/>
            <w:shd w:val="clear" w:color="auto" w:fill="EAF7FA"/>
          </w:tcPr>
          <w:p>
            <w:pPr>
              <w:spacing w:after="0"/>
              <w:rPr>
                <w:sz w:val="10"/>
                <w:szCs w:val="10"/>
                <w:color w:val="auto"/>
              </w:rPr>
            </w:pPr>
          </w:p>
        </w:tc>
        <w:tc>
          <w:tcPr>
            <w:tcW w:w="520" w:type="dxa"/>
            <w:vAlign w:val="bottom"/>
            <w:shd w:val="clear" w:color="auto" w:fill="EAF7FA"/>
          </w:tcPr>
          <w:p>
            <w:pPr>
              <w:spacing w:after="0"/>
              <w:rPr>
                <w:sz w:val="10"/>
                <w:szCs w:val="10"/>
                <w:color w:val="auto"/>
              </w:rPr>
            </w:pPr>
          </w:p>
        </w:tc>
        <w:tc>
          <w:tcPr>
            <w:tcW w:w="600" w:type="dxa"/>
            <w:vAlign w:val="bottom"/>
            <w:shd w:val="clear" w:color="auto" w:fill="EAF7FA"/>
          </w:tcPr>
          <w:p>
            <w:pPr>
              <w:spacing w:after="0"/>
              <w:rPr>
                <w:sz w:val="10"/>
                <w:szCs w:val="10"/>
                <w:color w:val="auto"/>
              </w:rPr>
            </w:pPr>
          </w:p>
        </w:tc>
        <w:tc>
          <w:tcPr>
            <w:tcW w:w="56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100" w:type="dxa"/>
            <w:vAlign w:val="bottom"/>
            <w:shd w:val="clear" w:color="auto" w:fill="EAF7FA"/>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shd w:val="clear" w:color="auto" w:fill="EAF7FA"/>
          </w:tcPr>
          <w:p>
            <w:pPr>
              <w:spacing w:after="0"/>
              <w:rPr>
                <w:sz w:val="10"/>
                <w:szCs w:val="10"/>
                <w:color w:val="auto"/>
              </w:rPr>
            </w:pPr>
          </w:p>
        </w:tc>
        <w:tc>
          <w:tcPr>
            <w:tcW w:w="940" w:type="dxa"/>
            <w:vAlign w:val="bottom"/>
            <w:shd w:val="clear" w:color="auto" w:fill="EAF7FA"/>
          </w:tcPr>
          <w:p>
            <w:pPr>
              <w:ind w:left="80"/>
              <w:spacing w:after="0" w:line="122" w:lineRule="exact"/>
              <w:rPr>
                <w:sz w:val="20"/>
                <w:szCs w:val="20"/>
                <w:color w:val="auto"/>
              </w:rPr>
            </w:pPr>
            <w:r>
              <w:rPr>
                <w:rFonts w:ascii="Arial" w:cs="Arial" w:eastAsia="Arial" w:hAnsi="Arial"/>
                <w:sz w:val="11"/>
                <w:szCs w:val="11"/>
                <w:color w:val="54565B"/>
              </w:rPr>
              <w:t>Table for</w:t>
            </w:r>
          </w:p>
        </w:tc>
        <w:tc>
          <w:tcPr>
            <w:tcW w:w="140" w:type="dxa"/>
            <w:vAlign w:val="bottom"/>
            <w:shd w:val="clear" w:color="auto" w:fill="EAF7FA"/>
          </w:tcPr>
          <w:p>
            <w:pPr>
              <w:spacing w:after="0"/>
              <w:rPr>
                <w:sz w:val="10"/>
                <w:szCs w:val="10"/>
                <w:color w:val="auto"/>
              </w:rPr>
            </w:pPr>
          </w:p>
        </w:tc>
        <w:tc>
          <w:tcPr>
            <w:tcW w:w="260" w:type="dxa"/>
            <w:vAlign w:val="bottom"/>
            <w:shd w:val="clear" w:color="auto" w:fill="EAF7FA"/>
          </w:tcPr>
          <w:p>
            <w:pPr>
              <w:spacing w:after="0"/>
              <w:rPr>
                <w:sz w:val="10"/>
                <w:szCs w:val="10"/>
                <w:color w:val="auto"/>
              </w:rPr>
            </w:pPr>
          </w:p>
        </w:tc>
        <w:tc>
          <w:tcPr>
            <w:tcW w:w="1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60" w:type="dxa"/>
            <w:vAlign w:val="bottom"/>
            <w:shd w:val="clear" w:color="auto" w:fill="EAF7FA"/>
          </w:tcPr>
          <w:p>
            <w:pPr>
              <w:spacing w:after="0"/>
              <w:rPr>
                <w:sz w:val="10"/>
                <w:szCs w:val="10"/>
                <w:color w:val="auto"/>
              </w:rPr>
            </w:pPr>
          </w:p>
        </w:tc>
        <w:tc>
          <w:tcPr>
            <w:tcW w:w="520" w:type="dxa"/>
            <w:vAlign w:val="bottom"/>
            <w:shd w:val="clear" w:color="auto" w:fill="EAF7FA"/>
          </w:tcPr>
          <w:p>
            <w:pPr>
              <w:spacing w:after="0"/>
              <w:rPr>
                <w:sz w:val="10"/>
                <w:szCs w:val="10"/>
                <w:color w:val="auto"/>
              </w:rPr>
            </w:pPr>
          </w:p>
        </w:tc>
        <w:tc>
          <w:tcPr>
            <w:tcW w:w="600" w:type="dxa"/>
            <w:vAlign w:val="bottom"/>
            <w:shd w:val="clear" w:color="auto" w:fill="EAF7FA"/>
          </w:tcPr>
          <w:p>
            <w:pPr>
              <w:spacing w:after="0"/>
              <w:rPr>
                <w:sz w:val="10"/>
                <w:szCs w:val="10"/>
                <w:color w:val="auto"/>
              </w:rPr>
            </w:pPr>
          </w:p>
        </w:tc>
        <w:tc>
          <w:tcPr>
            <w:tcW w:w="56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100" w:type="dxa"/>
            <w:vAlign w:val="bottom"/>
            <w:shd w:val="clear" w:color="auto" w:fill="EAF7FA"/>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0" w:type="dxa"/>
            <w:vAlign w:val="bottom"/>
            <w:tcBorders>
              <w:bottom w:val="single" w:sz="8" w:color="EAF7FA"/>
            </w:tcBorders>
            <w:shd w:val="clear" w:color="auto" w:fill="EAF7FA"/>
          </w:tcPr>
          <w:p>
            <w:pPr>
              <w:spacing w:after="0"/>
              <w:rPr>
                <w:sz w:val="14"/>
                <w:szCs w:val="14"/>
                <w:color w:val="auto"/>
              </w:rPr>
            </w:pPr>
          </w:p>
        </w:tc>
        <w:tc>
          <w:tcPr>
            <w:tcW w:w="940" w:type="dxa"/>
            <w:vAlign w:val="bottom"/>
            <w:tcBorders>
              <w:bottom w:val="single" w:sz="8" w:color="EAF7FA"/>
            </w:tcBorders>
            <w:shd w:val="clear" w:color="auto" w:fill="EAF7FA"/>
          </w:tcPr>
          <w:p>
            <w:pPr>
              <w:ind w:left="80"/>
              <w:spacing w:after="0"/>
              <w:rPr>
                <w:sz w:val="20"/>
                <w:szCs w:val="20"/>
                <w:color w:val="auto"/>
              </w:rPr>
            </w:pPr>
            <w:r>
              <w:rPr>
                <w:rFonts w:ascii="Arial" w:cs="Arial" w:eastAsia="Arial" w:hAnsi="Arial"/>
                <w:sz w:val="11"/>
                <w:szCs w:val="11"/>
                <w:color w:val="54565B"/>
              </w:rPr>
              <w:t>Covered Year</w:t>
            </w:r>
          </w:p>
        </w:tc>
        <w:tc>
          <w:tcPr>
            <w:tcW w:w="140" w:type="dxa"/>
            <w:vAlign w:val="bottom"/>
            <w:tcBorders>
              <w:bottom w:val="single" w:sz="8" w:color="EAF7FA"/>
            </w:tcBorders>
            <w:shd w:val="clear" w:color="auto" w:fill="EAF7FA"/>
          </w:tcPr>
          <w:p>
            <w:pPr>
              <w:spacing w:after="0"/>
              <w:rPr>
                <w:sz w:val="14"/>
                <w:szCs w:val="14"/>
                <w:color w:val="auto"/>
              </w:rPr>
            </w:pPr>
          </w:p>
        </w:tc>
        <w:tc>
          <w:tcPr>
            <w:tcW w:w="260" w:type="dxa"/>
            <w:vAlign w:val="bottom"/>
            <w:tcBorders>
              <w:bottom w:val="single" w:sz="8" w:color="EAF7FA"/>
            </w:tcBorders>
            <w:shd w:val="clear" w:color="auto" w:fill="EAF7FA"/>
          </w:tcPr>
          <w:p>
            <w:pPr>
              <w:spacing w:after="0"/>
              <w:rPr>
                <w:sz w:val="14"/>
                <w:szCs w:val="14"/>
                <w:color w:val="auto"/>
              </w:rPr>
            </w:pPr>
          </w:p>
        </w:tc>
        <w:tc>
          <w:tcPr>
            <w:tcW w:w="180" w:type="dxa"/>
            <w:vAlign w:val="bottom"/>
            <w:tcBorders>
              <w:bottom w:val="single" w:sz="8" w:color="EAF7FA"/>
            </w:tcBorders>
            <w:shd w:val="clear" w:color="auto" w:fill="EAF7FA"/>
          </w:tcPr>
          <w:p>
            <w:pPr>
              <w:spacing w:after="0"/>
              <w:rPr>
                <w:sz w:val="14"/>
                <w:szCs w:val="14"/>
                <w:color w:val="auto"/>
              </w:rPr>
            </w:pPr>
          </w:p>
        </w:tc>
        <w:tc>
          <w:tcPr>
            <w:tcW w:w="580" w:type="dxa"/>
            <w:vAlign w:val="bottom"/>
            <w:tcBorders>
              <w:bottom w:val="single" w:sz="8" w:color="EAF7FA"/>
            </w:tcBorders>
            <w:shd w:val="clear" w:color="auto" w:fill="EAF7FA"/>
          </w:tcPr>
          <w:p>
            <w:pPr>
              <w:spacing w:after="0"/>
              <w:rPr>
                <w:sz w:val="14"/>
                <w:szCs w:val="14"/>
                <w:color w:val="auto"/>
              </w:rPr>
            </w:pPr>
          </w:p>
        </w:tc>
        <w:tc>
          <w:tcPr>
            <w:tcW w:w="500" w:type="dxa"/>
            <w:vAlign w:val="bottom"/>
            <w:tcBorders>
              <w:bottom w:val="single" w:sz="8" w:color="EAF7FA"/>
            </w:tcBorders>
            <w:shd w:val="clear" w:color="auto" w:fill="EAF7FA"/>
          </w:tcPr>
          <w:p>
            <w:pPr>
              <w:spacing w:after="0"/>
              <w:rPr>
                <w:sz w:val="14"/>
                <w:szCs w:val="14"/>
                <w:color w:val="auto"/>
              </w:rPr>
            </w:pPr>
          </w:p>
        </w:tc>
        <w:tc>
          <w:tcPr>
            <w:tcW w:w="580" w:type="dxa"/>
            <w:vAlign w:val="bottom"/>
            <w:tcBorders>
              <w:bottom w:val="single" w:sz="8" w:color="EAF7FA"/>
            </w:tcBorders>
            <w:shd w:val="clear" w:color="auto" w:fill="EAF7FA"/>
          </w:tcPr>
          <w:p>
            <w:pPr>
              <w:spacing w:after="0"/>
              <w:rPr>
                <w:sz w:val="14"/>
                <w:szCs w:val="14"/>
                <w:color w:val="auto"/>
              </w:rPr>
            </w:pPr>
          </w:p>
        </w:tc>
        <w:tc>
          <w:tcPr>
            <w:tcW w:w="560" w:type="dxa"/>
            <w:vAlign w:val="bottom"/>
            <w:tcBorders>
              <w:bottom w:val="single" w:sz="8" w:color="EAF7FA"/>
            </w:tcBorders>
            <w:shd w:val="clear" w:color="auto" w:fill="EAF7FA"/>
          </w:tcPr>
          <w:p>
            <w:pPr>
              <w:spacing w:after="0"/>
              <w:rPr>
                <w:sz w:val="14"/>
                <w:szCs w:val="14"/>
                <w:color w:val="auto"/>
              </w:rPr>
            </w:pPr>
          </w:p>
        </w:tc>
        <w:tc>
          <w:tcPr>
            <w:tcW w:w="520" w:type="dxa"/>
            <w:vAlign w:val="bottom"/>
            <w:tcBorders>
              <w:bottom w:val="single" w:sz="8" w:color="EAF7FA"/>
            </w:tcBorders>
            <w:shd w:val="clear" w:color="auto" w:fill="EAF7FA"/>
          </w:tcPr>
          <w:p>
            <w:pPr>
              <w:spacing w:after="0"/>
              <w:rPr>
                <w:sz w:val="14"/>
                <w:szCs w:val="14"/>
                <w:color w:val="auto"/>
              </w:rPr>
            </w:pPr>
          </w:p>
        </w:tc>
        <w:tc>
          <w:tcPr>
            <w:tcW w:w="600" w:type="dxa"/>
            <w:vAlign w:val="bottom"/>
            <w:tcBorders>
              <w:bottom w:val="single" w:sz="8" w:color="EAF7FA"/>
            </w:tcBorders>
            <w:shd w:val="clear" w:color="auto" w:fill="EAF7FA"/>
          </w:tcPr>
          <w:p>
            <w:pPr>
              <w:spacing w:after="0"/>
              <w:rPr>
                <w:sz w:val="14"/>
                <w:szCs w:val="14"/>
                <w:color w:val="auto"/>
              </w:rPr>
            </w:pPr>
          </w:p>
        </w:tc>
        <w:tc>
          <w:tcPr>
            <w:tcW w:w="560" w:type="dxa"/>
            <w:vAlign w:val="bottom"/>
            <w:tcBorders>
              <w:bottom w:val="single" w:sz="8" w:color="EAF7FA"/>
            </w:tcBorders>
            <w:shd w:val="clear" w:color="auto" w:fill="EAF7FA"/>
          </w:tcPr>
          <w:p>
            <w:pPr>
              <w:spacing w:after="0"/>
              <w:rPr>
                <w:sz w:val="14"/>
                <w:szCs w:val="14"/>
                <w:color w:val="auto"/>
              </w:rPr>
            </w:pPr>
          </w:p>
        </w:tc>
        <w:tc>
          <w:tcPr>
            <w:tcW w:w="500" w:type="dxa"/>
            <w:vAlign w:val="bottom"/>
            <w:tcBorders>
              <w:bottom w:val="single" w:sz="8" w:color="EAF7FA"/>
            </w:tcBorders>
            <w:shd w:val="clear" w:color="auto" w:fill="EAF7FA"/>
          </w:tcPr>
          <w:p>
            <w:pPr>
              <w:spacing w:after="0"/>
              <w:rPr>
                <w:sz w:val="14"/>
                <w:szCs w:val="14"/>
                <w:color w:val="auto"/>
              </w:rPr>
            </w:pPr>
          </w:p>
        </w:tc>
        <w:tc>
          <w:tcPr>
            <w:tcW w:w="580" w:type="dxa"/>
            <w:vAlign w:val="bottom"/>
            <w:tcBorders>
              <w:bottom w:val="single" w:sz="8" w:color="EAF7FA"/>
            </w:tcBorders>
            <w:shd w:val="clear" w:color="auto" w:fill="EAF7FA"/>
          </w:tcPr>
          <w:p>
            <w:pPr>
              <w:spacing w:after="0"/>
              <w:rPr>
                <w:sz w:val="14"/>
                <w:szCs w:val="14"/>
                <w:color w:val="auto"/>
              </w:rPr>
            </w:pPr>
          </w:p>
        </w:tc>
        <w:tc>
          <w:tcPr>
            <w:tcW w:w="580" w:type="dxa"/>
            <w:vAlign w:val="bottom"/>
            <w:tcBorders>
              <w:bottom w:val="single" w:sz="8" w:color="EAF7FA"/>
            </w:tcBorders>
            <w:shd w:val="clear" w:color="auto" w:fill="EAF7FA"/>
          </w:tcPr>
          <w:p>
            <w:pPr>
              <w:spacing w:after="0"/>
              <w:rPr>
                <w:sz w:val="14"/>
                <w:szCs w:val="14"/>
                <w:color w:val="auto"/>
              </w:rPr>
            </w:pPr>
          </w:p>
        </w:tc>
        <w:tc>
          <w:tcPr>
            <w:tcW w:w="500" w:type="dxa"/>
            <w:vAlign w:val="bottom"/>
            <w:tcBorders>
              <w:bottom w:val="single" w:sz="8" w:color="EAF7FA"/>
            </w:tcBorders>
            <w:shd w:val="clear" w:color="auto" w:fill="EAF7FA"/>
          </w:tcPr>
          <w:p>
            <w:pPr>
              <w:spacing w:after="0"/>
              <w:rPr>
                <w:sz w:val="14"/>
                <w:szCs w:val="14"/>
                <w:color w:val="auto"/>
              </w:rPr>
            </w:pPr>
          </w:p>
        </w:tc>
        <w:tc>
          <w:tcPr>
            <w:tcW w:w="580" w:type="dxa"/>
            <w:vAlign w:val="bottom"/>
            <w:tcBorders>
              <w:bottom w:val="single" w:sz="8" w:color="EAF7FA"/>
            </w:tcBorders>
            <w:shd w:val="clear" w:color="auto" w:fill="EAF7FA"/>
          </w:tcPr>
          <w:p>
            <w:pPr>
              <w:spacing w:after="0"/>
              <w:rPr>
                <w:sz w:val="14"/>
                <w:szCs w:val="14"/>
                <w:color w:val="auto"/>
              </w:rPr>
            </w:pPr>
          </w:p>
        </w:tc>
        <w:tc>
          <w:tcPr>
            <w:tcW w:w="580" w:type="dxa"/>
            <w:vAlign w:val="bottom"/>
            <w:tcBorders>
              <w:bottom w:val="single" w:sz="8" w:color="EAF7FA"/>
            </w:tcBorders>
            <w:shd w:val="clear" w:color="auto" w:fill="EAF7FA"/>
          </w:tcPr>
          <w:p>
            <w:pPr>
              <w:spacing w:after="0"/>
              <w:rPr>
                <w:sz w:val="14"/>
                <w:szCs w:val="14"/>
                <w:color w:val="auto"/>
              </w:rPr>
            </w:pPr>
          </w:p>
        </w:tc>
        <w:tc>
          <w:tcPr>
            <w:tcW w:w="500" w:type="dxa"/>
            <w:vAlign w:val="bottom"/>
            <w:tcBorders>
              <w:bottom w:val="single" w:sz="8" w:color="EAF7FA"/>
            </w:tcBorders>
            <w:shd w:val="clear" w:color="auto" w:fill="EAF7FA"/>
          </w:tcPr>
          <w:p>
            <w:pPr>
              <w:spacing w:after="0"/>
              <w:rPr>
                <w:sz w:val="14"/>
                <w:szCs w:val="14"/>
                <w:color w:val="auto"/>
              </w:rPr>
            </w:pPr>
          </w:p>
        </w:tc>
        <w:tc>
          <w:tcPr>
            <w:tcW w:w="100" w:type="dxa"/>
            <w:vAlign w:val="bottom"/>
            <w:tcBorders>
              <w:bottom w:val="single" w:sz="8" w:color="EAF7FA"/>
            </w:tcBorders>
            <w:shd w:val="clear" w:color="auto" w:fill="EAF7F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1"/>
                <w:szCs w:val="11"/>
                <w:color w:val="54565B"/>
              </w:rPr>
              <w:t>Plus: Fair Value</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940" w:type="dxa"/>
            <w:vAlign w:val="bottom"/>
          </w:tcPr>
          <w:p>
            <w:pPr>
              <w:ind w:left="80"/>
              <w:spacing w:after="0" w:line="122" w:lineRule="exact"/>
              <w:rPr>
                <w:sz w:val="20"/>
                <w:szCs w:val="20"/>
                <w:color w:val="auto"/>
              </w:rPr>
            </w:pPr>
            <w:r>
              <w:rPr>
                <w:rFonts w:ascii="Arial" w:cs="Arial" w:eastAsia="Arial" w:hAnsi="Arial"/>
                <w:sz w:val="11"/>
                <w:szCs w:val="11"/>
                <w:color w:val="54565B"/>
              </w:rPr>
              <w:t>of Stock Awards</w:t>
            </w:r>
          </w:p>
        </w:tc>
        <w:tc>
          <w:tcPr>
            <w:tcW w:w="580" w:type="dxa"/>
            <w:vAlign w:val="bottom"/>
            <w:gridSpan w:val="3"/>
            <w:vMerge w:val="restart"/>
          </w:tcPr>
          <w:p>
            <w:pPr>
              <w:ind w:left="80"/>
              <w:spacing w:after="0"/>
              <w:rPr>
                <w:sz w:val="20"/>
                <w:szCs w:val="20"/>
                <w:color w:val="auto"/>
              </w:rPr>
            </w:pPr>
            <w:r>
              <w:rPr>
                <w:rFonts w:ascii="Arial" w:cs="Arial" w:eastAsia="Arial" w:hAnsi="Arial"/>
                <w:sz w:val="11"/>
                <w:szCs w:val="11"/>
                <w:color w:val="54565B"/>
              </w:rPr>
              <w:t>​ 1,682.0</w:t>
            </w:r>
          </w:p>
        </w:tc>
        <w:tc>
          <w:tcPr>
            <w:tcW w:w="580" w:type="dxa"/>
            <w:vAlign w:val="bottom"/>
            <w:vMerge w:val="restart"/>
          </w:tcPr>
          <w:p>
            <w:pPr>
              <w:jc w:val="right"/>
              <w:ind w:right="69"/>
              <w:spacing w:after="0"/>
              <w:rPr>
                <w:sz w:val="20"/>
                <w:szCs w:val="20"/>
                <w:color w:val="auto"/>
              </w:rPr>
            </w:pPr>
            <w:r>
              <w:rPr>
                <w:rFonts w:ascii="Arial" w:cs="Arial" w:eastAsia="Arial" w:hAnsi="Arial"/>
                <w:sz w:val="11"/>
                <w:szCs w:val="11"/>
                <w:color w:val="54565B"/>
              </w:rPr>
              <w:t>1,682.0</w:t>
            </w:r>
          </w:p>
        </w:tc>
        <w:tc>
          <w:tcPr>
            <w:tcW w:w="500" w:type="dxa"/>
            <w:vAlign w:val="bottom"/>
            <w:vMerge w:val="restart"/>
          </w:tcPr>
          <w:p>
            <w:pPr>
              <w:jc w:val="right"/>
              <w:ind w:right="9"/>
              <w:spacing w:after="0"/>
              <w:rPr>
                <w:sz w:val="20"/>
                <w:szCs w:val="20"/>
                <w:color w:val="auto"/>
              </w:rPr>
            </w:pPr>
            <w:r>
              <w:rPr>
                <w:rFonts w:ascii="Arial" w:cs="Arial" w:eastAsia="Arial" w:hAnsi="Arial"/>
                <w:sz w:val="11"/>
                <w:szCs w:val="11"/>
                <w:color w:val="54565B"/>
              </w:rPr>
              <w:t>721.9</w:t>
            </w:r>
          </w:p>
        </w:tc>
        <w:tc>
          <w:tcPr>
            <w:tcW w:w="580" w:type="dxa"/>
            <w:vAlign w:val="bottom"/>
            <w:vMerge w:val="restart"/>
          </w:tcPr>
          <w:p>
            <w:pPr>
              <w:jc w:val="right"/>
              <w:ind w:right="49"/>
              <w:spacing w:after="0"/>
              <w:rPr>
                <w:sz w:val="20"/>
                <w:szCs w:val="20"/>
                <w:color w:val="auto"/>
              </w:rPr>
            </w:pPr>
            <w:r>
              <w:rPr>
                <w:rFonts w:ascii="Arial" w:cs="Arial" w:eastAsia="Arial" w:hAnsi="Arial"/>
                <w:sz w:val="11"/>
                <w:szCs w:val="11"/>
                <w:color w:val="54565B"/>
              </w:rPr>
              <w:t>1,627.0</w:t>
            </w:r>
          </w:p>
        </w:tc>
        <w:tc>
          <w:tcPr>
            <w:tcW w:w="560" w:type="dxa"/>
            <w:vAlign w:val="bottom"/>
            <w:vMerge w:val="restart"/>
          </w:tcPr>
          <w:p>
            <w:pPr>
              <w:jc w:val="right"/>
              <w:ind w:right="49"/>
              <w:spacing w:after="0"/>
              <w:rPr>
                <w:sz w:val="20"/>
                <w:szCs w:val="20"/>
                <w:color w:val="auto"/>
              </w:rPr>
            </w:pPr>
            <w:r>
              <w:rPr>
                <w:rFonts w:ascii="Arial" w:cs="Arial" w:eastAsia="Arial" w:hAnsi="Arial"/>
                <w:sz w:val="11"/>
                <w:szCs w:val="11"/>
                <w:color w:val="54565B"/>
              </w:rPr>
              <w:t>1,627.0</w:t>
            </w:r>
          </w:p>
        </w:tc>
        <w:tc>
          <w:tcPr>
            <w:tcW w:w="520" w:type="dxa"/>
            <w:vAlign w:val="bottom"/>
            <w:vMerge w:val="restart"/>
          </w:tcPr>
          <w:p>
            <w:pPr>
              <w:jc w:val="right"/>
              <w:ind w:right="9"/>
              <w:spacing w:after="0"/>
              <w:rPr>
                <w:sz w:val="20"/>
                <w:szCs w:val="20"/>
                <w:color w:val="auto"/>
              </w:rPr>
            </w:pPr>
            <w:r>
              <w:rPr>
                <w:rFonts w:ascii="Arial" w:cs="Arial" w:eastAsia="Arial" w:hAnsi="Arial"/>
                <w:sz w:val="11"/>
                <w:szCs w:val="11"/>
                <w:color w:val="54565B"/>
              </w:rPr>
              <w:t>679.3</w:t>
            </w:r>
          </w:p>
        </w:tc>
        <w:tc>
          <w:tcPr>
            <w:tcW w:w="600" w:type="dxa"/>
            <w:vAlign w:val="bottom"/>
            <w:vMerge w:val="restart"/>
          </w:tcPr>
          <w:p>
            <w:pPr>
              <w:jc w:val="right"/>
              <w:ind w:right="69"/>
              <w:spacing w:after="0"/>
              <w:rPr>
                <w:sz w:val="20"/>
                <w:szCs w:val="20"/>
                <w:color w:val="auto"/>
              </w:rPr>
            </w:pPr>
            <w:r>
              <w:rPr>
                <w:rFonts w:ascii="Arial" w:cs="Arial" w:eastAsia="Arial" w:hAnsi="Arial"/>
                <w:sz w:val="11"/>
                <w:szCs w:val="11"/>
                <w:color w:val="54565B"/>
              </w:rPr>
              <w:t>1,349.3</w:t>
            </w:r>
          </w:p>
        </w:tc>
        <w:tc>
          <w:tcPr>
            <w:tcW w:w="560" w:type="dxa"/>
            <w:vAlign w:val="bottom"/>
            <w:vMerge w:val="restart"/>
          </w:tcPr>
          <w:p>
            <w:pPr>
              <w:jc w:val="right"/>
              <w:ind w:right="69"/>
              <w:spacing w:after="0"/>
              <w:rPr>
                <w:sz w:val="20"/>
                <w:szCs w:val="20"/>
                <w:color w:val="auto"/>
              </w:rPr>
            </w:pPr>
            <w:r>
              <w:rPr>
                <w:rFonts w:ascii="Arial" w:cs="Arial" w:eastAsia="Arial" w:hAnsi="Arial"/>
                <w:sz w:val="11"/>
                <w:szCs w:val="11"/>
                <w:color w:val="54565B"/>
              </w:rPr>
              <w:t>1,349.3</w:t>
            </w:r>
          </w:p>
        </w:tc>
        <w:tc>
          <w:tcPr>
            <w:tcW w:w="500" w:type="dxa"/>
            <w:vAlign w:val="bottom"/>
            <w:vMerge w:val="restart"/>
          </w:tcPr>
          <w:p>
            <w:pPr>
              <w:jc w:val="right"/>
              <w:ind w:right="9"/>
              <w:spacing w:after="0"/>
              <w:rPr>
                <w:sz w:val="20"/>
                <w:szCs w:val="20"/>
                <w:color w:val="auto"/>
              </w:rPr>
            </w:pPr>
            <w:r>
              <w:rPr>
                <w:rFonts w:ascii="Arial" w:cs="Arial" w:eastAsia="Arial" w:hAnsi="Arial"/>
                <w:sz w:val="11"/>
                <w:szCs w:val="11"/>
                <w:color w:val="54565B"/>
              </w:rPr>
              <w:t>1,018.1</w:t>
            </w:r>
          </w:p>
        </w:tc>
        <w:tc>
          <w:tcPr>
            <w:tcW w:w="580" w:type="dxa"/>
            <w:vAlign w:val="bottom"/>
            <w:vMerge w:val="restart"/>
          </w:tcPr>
          <w:p>
            <w:pPr>
              <w:jc w:val="right"/>
              <w:ind w:right="29"/>
              <w:spacing w:after="0"/>
              <w:rPr>
                <w:sz w:val="20"/>
                <w:szCs w:val="20"/>
                <w:color w:val="auto"/>
              </w:rPr>
            </w:pPr>
            <w:r>
              <w:rPr>
                <w:rFonts w:ascii="Arial" w:cs="Arial" w:eastAsia="Arial" w:hAnsi="Arial"/>
                <w:sz w:val="11"/>
                <w:szCs w:val="11"/>
                <w:color w:val="54565B"/>
              </w:rPr>
              <w:t>1,537.5</w:t>
            </w:r>
          </w:p>
        </w:tc>
        <w:tc>
          <w:tcPr>
            <w:tcW w:w="580" w:type="dxa"/>
            <w:vAlign w:val="bottom"/>
            <w:vMerge w:val="restart"/>
          </w:tcPr>
          <w:p>
            <w:pPr>
              <w:jc w:val="right"/>
              <w:ind w:right="69"/>
              <w:spacing w:after="0"/>
              <w:rPr>
                <w:sz w:val="20"/>
                <w:szCs w:val="20"/>
                <w:color w:val="auto"/>
              </w:rPr>
            </w:pPr>
            <w:r>
              <w:rPr>
                <w:rFonts w:ascii="Arial" w:cs="Arial" w:eastAsia="Arial" w:hAnsi="Arial"/>
                <w:sz w:val="11"/>
                <w:szCs w:val="11"/>
                <w:color w:val="54565B"/>
              </w:rPr>
              <w:t>1,537.5</w:t>
            </w:r>
          </w:p>
        </w:tc>
        <w:tc>
          <w:tcPr>
            <w:tcW w:w="500" w:type="dxa"/>
            <w:vAlign w:val="bottom"/>
            <w:vMerge w:val="restart"/>
          </w:tcPr>
          <w:p>
            <w:pPr>
              <w:jc w:val="right"/>
              <w:ind w:right="9"/>
              <w:spacing w:after="0"/>
              <w:rPr>
                <w:sz w:val="20"/>
                <w:szCs w:val="20"/>
                <w:color w:val="auto"/>
              </w:rPr>
            </w:pPr>
            <w:r>
              <w:rPr>
                <w:rFonts w:ascii="Arial" w:cs="Arial" w:eastAsia="Arial" w:hAnsi="Arial"/>
                <w:sz w:val="11"/>
                <w:szCs w:val="11"/>
                <w:color w:val="54565B"/>
              </w:rPr>
              <w:t>607.4</w:t>
            </w:r>
          </w:p>
        </w:tc>
        <w:tc>
          <w:tcPr>
            <w:tcW w:w="580" w:type="dxa"/>
            <w:vAlign w:val="bottom"/>
            <w:vMerge w:val="restart"/>
          </w:tcPr>
          <w:p>
            <w:pPr>
              <w:jc w:val="right"/>
              <w:ind w:right="29"/>
              <w:spacing w:after="0"/>
              <w:rPr>
                <w:sz w:val="20"/>
                <w:szCs w:val="20"/>
                <w:color w:val="auto"/>
              </w:rPr>
            </w:pPr>
            <w:r>
              <w:rPr>
                <w:rFonts w:ascii="Arial" w:cs="Arial" w:eastAsia="Arial" w:hAnsi="Arial"/>
                <w:sz w:val="11"/>
                <w:szCs w:val="11"/>
                <w:color w:val="54565B"/>
              </w:rPr>
              <w:t>1,853.5</w:t>
            </w:r>
          </w:p>
        </w:tc>
        <w:tc>
          <w:tcPr>
            <w:tcW w:w="580" w:type="dxa"/>
            <w:vAlign w:val="bottom"/>
            <w:vMerge w:val="restart"/>
          </w:tcPr>
          <w:p>
            <w:pPr>
              <w:jc w:val="right"/>
              <w:ind w:right="69"/>
              <w:spacing w:after="0"/>
              <w:rPr>
                <w:sz w:val="20"/>
                <w:szCs w:val="20"/>
                <w:color w:val="auto"/>
              </w:rPr>
            </w:pPr>
            <w:r>
              <w:rPr>
                <w:rFonts w:ascii="Arial" w:cs="Arial" w:eastAsia="Arial" w:hAnsi="Arial"/>
                <w:sz w:val="11"/>
                <w:szCs w:val="11"/>
                <w:color w:val="54565B"/>
              </w:rPr>
              <w:t>1,853.5</w:t>
            </w:r>
          </w:p>
        </w:tc>
        <w:tc>
          <w:tcPr>
            <w:tcW w:w="500" w:type="dxa"/>
            <w:vAlign w:val="bottom"/>
            <w:vMerge w:val="restart"/>
          </w:tcPr>
          <w:p>
            <w:pPr>
              <w:ind w:left="160"/>
              <w:spacing w:after="0"/>
              <w:rPr>
                <w:sz w:val="20"/>
                <w:szCs w:val="20"/>
                <w:color w:val="auto"/>
              </w:rPr>
            </w:pPr>
            <w:r>
              <w:rPr>
                <w:rFonts w:ascii="Arial" w:cs="Arial" w:eastAsia="Arial" w:hAnsi="Arial"/>
                <w:sz w:val="11"/>
                <w:szCs w:val="11"/>
                <w:color w:val="54565B"/>
              </w:rPr>
              <w:t>665.8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940" w:type="dxa"/>
            <w:vAlign w:val="bottom"/>
            <w:vMerge w:val="restart"/>
          </w:tcPr>
          <w:p>
            <w:pPr>
              <w:ind w:left="80"/>
              <w:spacing w:after="0" w:line="122" w:lineRule="exact"/>
              <w:rPr>
                <w:sz w:val="20"/>
                <w:szCs w:val="20"/>
                <w:color w:val="auto"/>
              </w:rPr>
            </w:pPr>
            <w:r>
              <w:rPr>
                <w:rFonts w:ascii="Arial" w:cs="Arial" w:eastAsia="Arial" w:hAnsi="Arial"/>
                <w:sz w:val="11"/>
                <w:szCs w:val="11"/>
                <w:color w:val="54565B"/>
              </w:rPr>
              <w:t>Granted in</w:t>
            </w:r>
          </w:p>
        </w:tc>
        <w:tc>
          <w:tcPr>
            <w:tcW w:w="58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940" w:type="dxa"/>
            <w:vAlign w:val="bottom"/>
          </w:tcPr>
          <w:p>
            <w:pPr>
              <w:ind w:left="80"/>
              <w:spacing w:after="0"/>
              <w:rPr>
                <w:sz w:val="20"/>
                <w:szCs w:val="20"/>
                <w:color w:val="auto"/>
              </w:rPr>
            </w:pPr>
            <w:r>
              <w:rPr>
                <w:rFonts w:ascii="Arial" w:cs="Arial" w:eastAsia="Arial" w:hAnsi="Arial"/>
                <w:sz w:val="11"/>
                <w:szCs w:val="11"/>
                <w:color w:val="54565B"/>
              </w:rPr>
              <w:t>Covered Year</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EAF7FA"/>
          </w:tcPr>
          <w:p>
            <w:pPr>
              <w:spacing w:after="0"/>
              <w:rPr>
                <w:sz w:val="14"/>
                <w:szCs w:val="14"/>
                <w:color w:val="auto"/>
              </w:rPr>
            </w:pPr>
          </w:p>
        </w:tc>
        <w:tc>
          <w:tcPr>
            <w:tcW w:w="940" w:type="dxa"/>
            <w:vAlign w:val="bottom"/>
            <w:shd w:val="clear" w:color="auto" w:fill="EAF7FA"/>
          </w:tcPr>
          <w:p>
            <w:pPr>
              <w:ind w:left="80"/>
              <w:spacing w:after="0"/>
              <w:rPr>
                <w:sz w:val="20"/>
                <w:szCs w:val="20"/>
                <w:color w:val="auto"/>
              </w:rPr>
            </w:pPr>
            <w:r>
              <w:rPr>
                <w:rFonts w:ascii="Arial" w:cs="Arial" w:eastAsia="Arial" w:hAnsi="Arial"/>
                <w:sz w:val="11"/>
                <w:szCs w:val="11"/>
                <w:color w:val="54565B"/>
              </w:rPr>
              <w:t>Change in Fair</w:t>
            </w:r>
          </w:p>
        </w:tc>
        <w:tc>
          <w:tcPr>
            <w:tcW w:w="140" w:type="dxa"/>
            <w:vAlign w:val="bottom"/>
            <w:shd w:val="clear" w:color="auto" w:fill="EAF7FA"/>
          </w:tcPr>
          <w:p>
            <w:pPr>
              <w:spacing w:after="0"/>
              <w:rPr>
                <w:sz w:val="14"/>
                <w:szCs w:val="14"/>
                <w:color w:val="auto"/>
              </w:rPr>
            </w:pPr>
          </w:p>
        </w:tc>
        <w:tc>
          <w:tcPr>
            <w:tcW w:w="260" w:type="dxa"/>
            <w:vAlign w:val="bottom"/>
            <w:shd w:val="clear" w:color="auto" w:fill="EAF7FA"/>
          </w:tcPr>
          <w:p>
            <w:pPr>
              <w:spacing w:after="0"/>
              <w:rPr>
                <w:sz w:val="14"/>
                <w:szCs w:val="14"/>
                <w:color w:val="auto"/>
              </w:rPr>
            </w:pPr>
          </w:p>
        </w:tc>
        <w:tc>
          <w:tcPr>
            <w:tcW w:w="180" w:type="dxa"/>
            <w:vAlign w:val="bottom"/>
            <w:shd w:val="clear" w:color="auto" w:fill="EAF7FA"/>
          </w:tcPr>
          <w:p>
            <w:pPr>
              <w:spacing w:after="0"/>
              <w:rPr>
                <w:sz w:val="14"/>
                <w:szCs w:val="14"/>
                <w:color w:val="auto"/>
              </w:rPr>
            </w:pPr>
          </w:p>
        </w:tc>
        <w:tc>
          <w:tcPr>
            <w:tcW w:w="580" w:type="dxa"/>
            <w:vAlign w:val="bottom"/>
            <w:shd w:val="clear" w:color="auto" w:fill="EAF7FA"/>
          </w:tcPr>
          <w:p>
            <w:pPr>
              <w:spacing w:after="0"/>
              <w:rPr>
                <w:sz w:val="14"/>
                <w:szCs w:val="14"/>
                <w:color w:val="auto"/>
              </w:rPr>
            </w:pPr>
          </w:p>
        </w:tc>
        <w:tc>
          <w:tcPr>
            <w:tcW w:w="500" w:type="dxa"/>
            <w:vAlign w:val="bottom"/>
            <w:shd w:val="clear" w:color="auto" w:fill="EAF7FA"/>
          </w:tcPr>
          <w:p>
            <w:pPr>
              <w:spacing w:after="0"/>
              <w:rPr>
                <w:sz w:val="14"/>
                <w:szCs w:val="14"/>
                <w:color w:val="auto"/>
              </w:rPr>
            </w:pPr>
          </w:p>
        </w:tc>
        <w:tc>
          <w:tcPr>
            <w:tcW w:w="580" w:type="dxa"/>
            <w:vAlign w:val="bottom"/>
            <w:shd w:val="clear" w:color="auto" w:fill="EAF7FA"/>
          </w:tcPr>
          <w:p>
            <w:pPr>
              <w:spacing w:after="0"/>
              <w:rPr>
                <w:sz w:val="14"/>
                <w:szCs w:val="14"/>
                <w:color w:val="auto"/>
              </w:rPr>
            </w:pPr>
          </w:p>
        </w:tc>
        <w:tc>
          <w:tcPr>
            <w:tcW w:w="560" w:type="dxa"/>
            <w:vAlign w:val="bottom"/>
            <w:shd w:val="clear" w:color="auto" w:fill="EAF7FA"/>
          </w:tcPr>
          <w:p>
            <w:pPr>
              <w:spacing w:after="0"/>
              <w:rPr>
                <w:sz w:val="14"/>
                <w:szCs w:val="14"/>
                <w:color w:val="auto"/>
              </w:rPr>
            </w:pPr>
          </w:p>
        </w:tc>
        <w:tc>
          <w:tcPr>
            <w:tcW w:w="520" w:type="dxa"/>
            <w:vAlign w:val="bottom"/>
            <w:shd w:val="clear" w:color="auto" w:fill="EAF7FA"/>
          </w:tcPr>
          <w:p>
            <w:pPr>
              <w:spacing w:after="0"/>
              <w:rPr>
                <w:sz w:val="14"/>
                <w:szCs w:val="14"/>
                <w:color w:val="auto"/>
              </w:rPr>
            </w:pPr>
          </w:p>
        </w:tc>
        <w:tc>
          <w:tcPr>
            <w:tcW w:w="600" w:type="dxa"/>
            <w:vAlign w:val="bottom"/>
            <w:shd w:val="clear" w:color="auto" w:fill="EAF7FA"/>
          </w:tcPr>
          <w:p>
            <w:pPr>
              <w:spacing w:after="0"/>
              <w:rPr>
                <w:sz w:val="14"/>
                <w:szCs w:val="14"/>
                <w:color w:val="auto"/>
              </w:rPr>
            </w:pPr>
          </w:p>
        </w:tc>
        <w:tc>
          <w:tcPr>
            <w:tcW w:w="560" w:type="dxa"/>
            <w:vAlign w:val="bottom"/>
            <w:shd w:val="clear" w:color="auto" w:fill="EAF7FA"/>
          </w:tcPr>
          <w:p>
            <w:pPr>
              <w:spacing w:after="0"/>
              <w:rPr>
                <w:sz w:val="14"/>
                <w:szCs w:val="14"/>
                <w:color w:val="auto"/>
              </w:rPr>
            </w:pPr>
          </w:p>
        </w:tc>
        <w:tc>
          <w:tcPr>
            <w:tcW w:w="500" w:type="dxa"/>
            <w:vAlign w:val="bottom"/>
            <w:shd w:val="clear" w:color="auto" w:fill="EAF7FA"/>
          </w:tcPr>
          <w:p>
            <w:pPr>
              <w:spacing w:after="0"/>
              <w:rPr>
                <w:sz w:val="14"/>
                <w:szCs w:val="14"/>
                <w:color w:val="auto"/>
              </w:rPr>
            </w:pPr>
          </w:p>
        </w:tc>
        <w:tc>
          <w:tcPr>
            <w:tcW w:w="580" w:type="dxa"/>
            <w:vAlign w:val="bottom"/>
            <w:shd w:val="clear" w:color="auto" w:fill="EAF7FA"/>
          </w:tcPr>
          <w:p>
            <w:pPr>
              <w:spacing w:after="0"/>
              <w:rPr>
                <w:sz w:val="14"/>
                <w:szCs w:val="14"/>
                <w:color w:val="auto"/>
              </w:rPr>
            </w:pPr>
          </w:p>
        </w:tc>
        <w:tc>
          <w:tcPr>
            <w:tcW w:w="580" w:type="dxa"/>
            <w:vAlign w:val="bottom"/>
            <w:shd w:val="clear" w:color="auto" w:fill="EAF7FA"/>
          </w:tcPr>
          <w:p>
            <w:pPr>
              <w:spacing w:after="0"/>
              <w:rPr>
                <w:sz w:val="14"/>
                <w:szCs w:val="14"/>
                <w:color w:val="auto"/>
              </w:rPr>
            </w:pPr>
          </w:p>
        </w:tc>
        <w:tc>
          <w:tcPr>
            <w:tcW w:w="500" w:type="dxa"/>
            <w:vAlign w:val="bottom"/>
            <w:shd w:val="clear" w:color="auto" w:fill="EAF7FA"/>
          </w:tcPr>
          <w:p>
            <w:pPr>
              <w:spacing w:after="0"/>
              <w:rPr>
                <w:sz w:val="14"/>
                <w:szCs w:val="14"/>
                <w:color w:val="auto"/>
              </w:rPr>
            </w:pPr>
          </w:p>
        </w:tc>
        <w:tc>
          <w:tcPr>
            <w:tcW w:w="580" w:type="dxa"/>
            <w:vAlign w:val="bottom"/>
            <w:shd w:val="clear" w:color="auto" w:fill="EAF7FA"/>
          </w:tcPr>
          <w:p>
            <w:pPr>
              <w:spacing w:after="0"/>
              <w:rPr>
                <w:sz w:val="14"/>
                <w:szCs w:val="14"/>
                <w:color w:val="auto"/>
              </w:rPr>
            </w:pPr>
          </w:p>
        </w:tc>
        <w:tc>
          <w:tcPr>
            <w:tcW w:w="580" w:type="dxa"/>
            <w:vAlign w:val="bottom"/>
            <w:shd w:val="clear" w:color="auto" w:fill="EAF7FA"/>
          </w:tcPr>
          <w:p>
            <w:pPr>
              <w:spacing w:after="0"/>
              <w:rPr>
                <w:sz w:val="14"/>
                <w:szCs w:val="14"/>
                <w:color w:val="auto"/>
              </w:rPr>
            </w:pPr>
          </w:p>
        </w:tc>
        <w:tc>
          <w:tcPr>
            <w:tcW w:w="500" w:type="dxa"/>
            <w:vAlign w:val="bottom"/>
            <w:shd w:val="clear" w:color="auto" w:fill="EAF7FA"/>
          </w:tcPr>
          <w:p>
            <w:pPr>
              <w:spacing w:after="0"/>
              <w:rPr>
                <w:sz w:val="14"/>
                <w:szCs w:val="14"/>
                <w:color w:val="auto"/>
              </w:rPr>
            </w:pPr>
          </w:p>
        </w:tc>
        <w:tc>
          <w:tcPr>
            <w:tcW w:w="100" w:type="dxa"/>
            <w:vAlign w:val="bottom"/>
            <w:shd w:val="clear" w:color="auto" w:fill="EAF7FA"/>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60" w:type="dxa"/>
            <w:vAlign w:val="bottom"/>
            <w:shd w:val="clear" w:color="auto" w:fill="EAF7FA"/>
          </w:tcPr>
          <w:p>
            <w:pPr>
              <w:spacing w:after="0"/>
              <w:rPr>
                <w:sz w:val="10"/>
                <w:szCs w:val="10"/>
                <w:color w:val="auto"/>
              </w:rPr>
            </w:pPr>
          </w:p>
        </w:tc>
        <w:tc>
          <w:tcPr>
            <w:tcW w:w="940" w:type="dxa"/>
            <w:vAlign w:val="bottom"/>
            <w:shd w:val="clear" w:color="auto" w:fill="EAF7FA"/>
          </w:tcPr>
          <w:p>
            <w:pPr>
              <w:ind w:left="80"/>
              <w:spacing w:after="0" w:line="122" w:lineRule="exact"/>
              <w:rPr>
                <w:sz w:val="20"/>
                <w:szCs w:val="20"/>
                <w:color w:val="auto"/>
              </w:rPr>
            </w:pPr>
            <w:r>
              <w:rPr>
                <w:rFonts w:ascii="Arial" w:cs="Arial" w:eastAsia="Arial" w:hAnsi="Arial"/>
                <w:sz w:val="11"/>
                <w:szCs w:val="11"/>
                <w:color w:val="54565B"/>
              </w:rPr>
              <w:t>Value of</w:t>
            </w:r>
          </w:p>
        </w:tc>
        <w:tc>
          <w:tcPr>
            <w:tcW w:w="140" w:type="dxa"/>
            <w:vAlign w:val="bottom"/>
            <w:shd w:val="clear" w:color="auto" w:fill="EAF7FA"/>
          </w:tcPr>
          <w:p>
            <w:pPr>
              <w:spacing w:after="0"/>
              <w:rPr>
                <w:sz w:val="10"/>
                <w:szCs w:val="10"/>
                <w:color w:val="auto"/>
              </w:rPr>
            </w:pPr>
          </w:p>
        </w:tc>
        <w:tc>
          <w:tcPr>
            <w:tcW w:w="260" w:type="dxa"/>
            <w:vAlign w:val="bottom"/>
            <w:shd w:val="clear" w:color="auto" w:fill="EAF7FA"/>
          </w:tcPr>
          <w:p>
            <w:pPr>
              <w:spacing w:after="0"/>
              <w:rPr>
                <w:sz w:val="10"/>
                <w:szCs w:val="10"/>
                <w:color w:val="auto"/>
              </w:rPr>
            </w:pPr>
          </w:p>
        </w:tc>
        <w:tc>
          <w:tcPr>
            <w:tcW w:w="1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60" w:type="dxa"/>
            <w:vAlign w:val="bottom"/>
            <w:shd w:val="clear" w:color="auto" w:fill="EAF7FA"/>
          </w:tcPr>
          <w:p>
            <w:pPr>
              <w:spacing w:after="0"/>
              <w:rPr>
                <w:sz w:val="10"/>
                <w:szCs w:val="10"/>
                <w:color w:val="auto"/>
              </w:rPr>
            </w:pPr>
          </w:p>
        </w:tc>
        <w:tc>
          <w:tcPr>
            <w:tcW w:w="520" w:type="dxa"/>
            <w:vAlign w:val="bottom"/>
            <w:shd w:val="clear" w:color="auto" w:fill="EAF7FA"/>
          </w:tcPr>
          <w:p>
            <w:pPr>
              <w:spacing w:after="0"/>
              <w:rPr>
                <w:sz w:val="10"/>
                <w:szCs w:val="10"/>
                <w:color w:val="auto"/>
              </w:rPr>
            </w:pPr>
          </w:p>
        </w:tc>
        <w:tc>
          <w:tcPr>
            <w:tcW w:w="600" w:type="dxa"/>
            <w:vAlign w:val="bottom"/>
            <w:shd w:val="clear" w:color="auto" w:fill="EAF7FA"/>
          </w:tcPr>
          <w:p>
            <w:pPr>
              <w:spacing w:after="0"/>
              <w:rPr>
                <w:sz w:val="10"/>
                <w:szCs w:val="10"/>
                <w:color w:val="auto"/>
              </w:rPr>
            </w:pPr>
          </w:p>
        </w:tc>
        <w:tc>
          <w:tcPr>
            <w:tcW w:w="56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100" w:type="dxa"/>
            <w:vAlign w:val="bottom"/>
            <w:shd w:val="clear" w:color="auto" w:fill="EAF7FA"/>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shd w:val="clear" w:color="auto" w:fill="EAF7FA"/>
          </w:tcPr>
          <w:p>
            <w:pPr>
              <w:spacing w:after="0"/>
              <w:rPr>
                <w:sz w:val="10"/>
                <w:szCs w:val="10"/>
                <w:color w:val="auto"/>
              </w:rPr>
            </w:pPr>
          </w:p>
        </w:tc>
        <w:tc>
          <w:tcPr>
            <w:tcW w:w="940" w:type="dxa"/>
            <w:vAlign w:val="bottom"/>
            <w:shd w:val="clear" w:color="auto" w:fill="EAF7FA"/>
          </w:tcPr>
          <w:p>
            <w:pPr>
              <w:ind w:left="80"/>
              <w:spacing w:after="0" w:line="122" w:lineRule="exact"/>
              <w:rPr>
                <w:sz w:val="20"/>
                <w:szCs w:val="20"/>
                <w:color w:val="auto"/>
              </w:rPr>
            </w:pPr>
            <w:r>
              <w:rPr>
                <w:rFonts w:ascii="Arial" w:cs="Arial" w:eastAsia="Arial" w:hAnsi="Arial"/>
                <w:sz w:val="11"/>
                <w:szCs w:val="11"/>
                <w:color w:val="54565B"/>
              </w:rPr>
              <w:t>Outstanding</w:t>
            </w:r>
          </w:p>
        </w:tc>
        <w:tc>
          <w:tcPr>
            <w:tcW w:w="140" w:type="dxa"/>
            <w:vAlign w:val="bottom"/>
            <w:shd w:val="clear" w:color="auto" w:fill="EAF7FA"/>
          </w:tcPr>
          <w:p>
            <w:pPr>
              <w:spacing w:after="0"/>
              <w:rPr>
                <w:sz w:val="10"/>
                <w:szCs w:val="10"/>
                <w:color w:val="auto"/>
              </w:rPr>
            </w:pPr>
          </w:p>
        </w:tc>
        <w:tc>
          <w:tcPr>
            <w:tcW w:w="260" w:type="dxa"/>
            <w:vAlign w:val="bottom"/>
            <w:shd w:val="clear" w:color="auto" w:fill="EAF7FA"/>
          </w:tcPr>
          <w:p>
            <w:pPr>
              <w:spacing w:after="0"/>
              <w:rPr>
                <w:sz w:val="10"/>
                <w:szCs w:val="10"/>
                <w:color w:val="auto"/>
              </w:rPr>
            </w:pPr>
          </w:p>
        </w:tc>
        <w:tc>
          <w:tcPr>
            <w:tcW w:w="1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60" w:type="dxa"/>
            <w:vAlign w:val="bottom"/>
            <w:shd w:val="clear" w:color="auto" w:fill="EAF7FA"/>
          </w:tcPr>
          <w:p>
            <w:pPr>
              <w:spacing w:after="0"/>
              <w:rPr>
                <w:sz w:val="10"/>
                <w:szCs w:val="10"/>
                <w:color w:val="auto"/>
              </w:rPr>
            </w:pPr>
          </w:p>
        </w:tc>
        <w:tc>
          <w:tcPr>
            <w:tcW w:w="520" w:type="dxa"/>
            <w:vAlign w:val="bottom"/>
            <w:shd w:val="clear" w:color="auto" w:fill="EAF7FA"/>
          </w:tcPr>
          <w:p>
            <w:pPr>
              <w:spacing w:after="0"/>
              <w:rPr>
                <w:sz w:val="10"/>
                <w:szCs w:val="10"/>
                <w:color w:val="auto"/>
              </w:rPr>
            </w:pPr>
          </w:p>
        </w:tc>
        <w:tc>
          <w:tcPr>
            <w:tcW w:w="600" w:type="dxa"/>
            <w:vAlign w:val="bottom"/>
            <w:shd w:val="clear" w:color="auto" w:fill="EAF7FA"/>
          </w:tcPr>
          <w:p>
            <w:pPr>
              <w:spacing w:after="0"/>
              <w:rPr>
                <w:sz w:val="10"/>
                <w:szCs w:val="10"/>
                <w:color w:val="auto"/>
              </w:rPr>
            </w:pPr>
          </w:p>
        </w:tc>
        <w:tc>
          <w:tcPr>
            <w:tcW w:w="56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100" w:type="dxa"/>
            <w:vAlign w:val="bottom"/>
            <w:shd w:val="clear" w:color="auto" w:fill="EAF7FA"/>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0" w:type="dxa"/>
            <w:vAlign w:val="bottom"/>
            <w:shd w:val="clear" w:color="auto" w:fill="EAF7FA"/>
          </w:tcPr>
          <w:p>
            <w:pPr>
              <w:spacing w:after="0"/>
              <w:rPr>
                <w:sz w:val="10"/>
                <w:szCs w:val="10"/>
                <w:color w:val="auto"/>
              </w:rPr>
            </w:pPr>
          </w:p>
        </w:tc>
        <w:tc>
          <w:tcPr>
            <w:tcW w:w="940" w:type="dxa"/>
            <w:vAlign w:val="bottom"/>
            <w:shd w:val="clear" w:color="auto" w:fill="EAF7FA"/>
          </w:tcPr>
          <w:p>
            <w:pPr>
              <w:ind w:left="80"/>
              <w:spacing w:after="0" w:line="122" w:lineRule="exact"/>
              <w:rPr>
                <w:sz w:val="20"/>
                <w:szCs w:val="20"/>
                <w:color w:val="auto"/>
              </w:rPr>
            </w:pPr>
            <w:r>
              <w:rPr>
                <w:rFonts w:ascii="Arial" w:cs="Arial" w:eastAsia="Arial" w:hAnsi="Arial"/>
                <w:sz w:val="11"/>
                <w:szCs w:val="11"/>
                <w:color w:val="54565B"/>
              </w:rPr>
              <w:t>Unvested Stock</w:t>
            </w:r>
          </w:p>
        </w:tc>
        <w:tc>
          <w:tcPr>
            <w:tcW w:w="140" w:type="dxa"/>
            <w:vAlign w:val="bottom"/>
            <w:shd w:val="clear" w:color="auto" w:fill="EAF7FA"/>
          </w:tcPr>
          <w:p>
            <w:pPr>
              <w:ind w:left="80"/>
              <w:spacing w:after="0" w:line="122" w:lineRule="exact"/>
              <w:rPr>
                <w:sz w:val="20"/>
                <w:szCs w:val="20"/>
                <w:color w:val="auto"/>
              </w:rPr>
            </w:pPr>
            <w:r>
              <w:rPr>
                <w:rFonts w:ascii="Arial" w:cs="Arial" w:eastAsia="Arial" w:hAnsi="Arial"/>
                <w:sz w:val="11"/>
                <w:szCs w:val="11"/>
                <w:color w:val="54565B"/>
              </w:rPr>
              <w:t>​</w:t>
            </w:r>
          </w:p>
        </w:tc>
        <w:tc>
          <w:tcPr>
            <w:tcW w:w="440" w:type="dxa"/>
            <w:vAlign w:val="bottom"/>
            <w:gridSpan w:val="2"/>
            <w:shd w:val="clear" w:color="auto" w:fill="EAF7FA"/>
          </w:tcPr>
          <w:p>
            <w:pPr>
              <w:jc w:val="right"/>
              <w:spacing w:after="0" w:line="122" w:lineRule="exact"/>
              <w:rPr>
                <w:sz w:val="20"/>
                <w:szCs w:val="20"/>
                <w:color w:val="auto"/>
              </w:rPr>
            </w:pPr>
            <w:r>
              <w:rPr>
                <w:rFonts w:ascii="Arial" w:cs="Arial" w:eastAsia="Arial" w:hAnsi="Arial"/>
                <w:sz w:val="11"/>
                <w:szCs w:val="11"/>
                <w:color w:val="54565B"/>
              </w:rPr>
              <w:t>(8.6)</w:t>
            </w:r>
          </w:p>
        </w:tc>
        <w:tc>
          <w:tcPr>
            <w:tcW w:w="580" w:type="dxa"/>
            <w:vAlign w:val="bottom"/>
            <w:shd w:val="clear" w:color="auto" w:fill="EAF7FA"/>
          </w:tcPr>
          <w:p>
            <w:pPr>
              <w:jc w:val="right"/>
              <w:ind w:right="9"/>
              <w:spacing w:after="0" w:line="122" w:lineRule="exact"/>
              <w:rPr>
                <w:sz w:val="20"/>
                <w:szCs w:val="20"/>
                <w:color w:val="auto"/>
              </w:rPr>
            </w:pPr>
            <w:r>
              <w:rPr>
                <w:rFonts w:ascii="Arial" w:cs="Arial" w:eastAsia="Arial" w:hAnsi="Arial"/>
                <w:sz w:val="11"/>
                <w:szCs w:val="11"/>
                <w:color w:val="54565B"/>
              </w:rPr>
              <w:t>(8.6)</w:t>
            </w:r>
          </w:p>
        </w:tc>
        <w:tc>
          <w:tcPr>
            <w:tcW w:w="500" w:type="dxa"/>
            <w:vAlign w:val="bottom"/>
            <w:shd w:val="clear" w:color="auto" w:fill="EAF7FA"/>
          </w:tcPr>
          <w:p>
            <w:pPr>
              <w:jc w:val="right"/>
              <w:spacing w:after="0" w:line="122" w:lineRule="exact"/>
              <w:rPr>
                <w:sz w:val="20"/>
                <w:szCs w:val="20"/>
                <w:color w:val="auto"/>
              </w:rPr>
            </w:pPr>
            <w:r>
              <w:rPr>
                <w:rFonts w:ascii="Arial" w:cs="Arial" w:eastAsia="Arial" w:hAnsi="Arial"/>
                <w:sz w:val="11"/>
                <w:szCs w:val="11"/>
                <w:color w:val="54565B"/>
              </w:rPr>
              <w:t>(4.3)</w:t>
            </w:r>
          </w:p>
        </w:tc>
        <w:tc>
          <w:tcPr>
            <w:tcW w:w="580" w:type="dxa"/>
            <w:vAlign w:val="bottom"/>
            <w:shd w:val="clear" w:color="auto" w:fill="EAF7FA"/>
          </w:tcPr>
          <w:p>
            <w:pPr>
              <w:jc w:val="right"/>
              <w:ind w:right="29"/>
              <w:spacing w:after="0" w:line="122" w:lineRule="exact"/>
              <w:rPr>
                <w:sz w:val="20"/>
                <w:szCs w:val="20"/>
                <w:color w:val="auto"/>
              </w:rPr>
            </w:pPr>
            <w:r>
              <w:rPr>
                <w:rFonts w:ascii="Arial" w:cs="Arial" w:eastAsia="Arial" w:hAnsi="Arial"/>
                <w:sz w:val="11"/>
                <w:szCs w:val="11"/>
                <w:color w:val="54565B"/>
              </w:rPr>
              <w:t>650.3</w:t>
            </w:r>
          </w:p>
        </w:tc>
        <w:tc>
          <w:tcPr>
            <w:tcW w:w="560" w:type="dxa"/>
            <w:vAlign w:val="bottom"/>
            <w:shd w:val="clear" w:color="auto" w:fill="EAF7FA"/>
          </w:tcPr>
          <w:p>
            <w:pPr>
              <w:jc w:val="right"/>
              <w:ind w:right="49"/>
              <w:spacing w:after="0" w:line="122" w:lineRule="exact"/>
              <w:rPr>
                <w:sz w:val="20"/>
                <w:szCs w:val="20"/>
                <w:color w:val="auto"/>
              </w:rPr>
            </w:pPr>
            <w:r>
              <w:rPr>
                <w:rFonts w:ascii="Arial" w:cs="Arial" w:eastAsia="Arial" w:hAnsi="Arial"/>
                <w:sz w:val="11"/>
                <w:szCs w:val="11"/>
                <w:color w:val="54565B"/>
              </w:rPr>
              <w:t>650.3</w:t>
            </w:r>
          </w:p>
        </w:tc>
        <w:tc>
          <w:tcPr>
            <w:tcW w:w="520" w:type="dxa"/>
            <w:vAlign w:val="bottom"/>
            <w:shd w:val="clear" w:color="auto" w:fill="EAF7FA"/>
          </w:tcPr>
          <w:p>
            <w:pPr>
              <w:jc w:val="right"/>
              <w:ind w:right="9"/>
              <w:spacing w:after="0" w:line="122" w:lineRule="exact"/>
              <w:rPr>
                <w:sz w:val="20"/>
                <w:szCs w:val="20"/>
                <w:color w:val="auto"/>
              </w:rPr>
            </w:pPr>
            <w:r>
              <w:rPr>
                <w:rFonts w:ascii="Arial" w:cs="Arial" w:eastAsia="Arial" w:hAnsi="Arial"/>
                <w:sz w:val="11"/>
                <w:szCs w:val="11"/>
                <w:color w:val="54565B"/>
              </w:rPr>
              <w:t>292.5</w:t>
            </w:r>
          </w:p>
        </w:tc>
        <w:tc>
          <w:tcPr>
            <w:tcW w:w="600" w:type="dxa"/>
            <w:vAlign w:val="bottom"/>
            <w:shd w:val="clear" w:color="auto" w:fill="EAF7FA"/>
          </w:tcPr>
          <w:p>
            <w:pPr>
              <w:jc w:val="right"/>
              <w:ind w:right="9"/>
              <w:spacing w:after="0" w:line="122" w:lineRule="exact"/>
              <w:rPr>
                <w:sz w:val="20"/>
                <w:szCs w:val="20"/>
                <w:color w:val="auto"/>
              </w:rPr>
            </w:pPr>
            <w:r>
              <w:rPr>
                <w:rFonts w:ascii="Arial" w:cs="Arial" w:eastAsia="Arial" w:hAnsi="Arial"/>
                <w:sz w:val="11"/>
                <w:szCs w:val="11"/>
                <w:color w:val="54565B"/>
              </w:rPr>
              <w:t>(718.8)</w:t>
            </w:r>
          </w:p>
        </w:tc>
        <w:tc>
          <w:tcPr>
            <w:tcW w:w="560" w:type="dxa"/>
            <w:vAlign w:val="bottom"/>
            <w:shd w:val="clear" w:color="auto" w:fill="EAF7FA"/>
          </w:tcPr>
          <w:p>
            <w:pPr>
              <w:jc w:val="right"/>
              <w:ind w:right="29"/>
              <w:spacing w:after="0" w:line="122" w:lineRule="exact"/>
              <w:rPr>
                <w:sz w:val="20"/>
                <w:szCs w:val="20"/>
                <w:color w:val="auto"/>
              </w:rPr>
            </w:pPr>
            <w:r>
              <w:rPr>
                <w:rFonts w:ascii="Arial" w:cs="Arial" w:eastAsia="Arial" w:hAnsi="Arial"/>
                <w:sz w:val="11"/>
                <w:szCs w:val="11"/>
                <w:color w:val="54565B"/>
              </w:rPr>
              <w:t>(718.8)</w:t>
            </w:r>
          </w:p>
        </w:tc>
        <w:tc>
          <w:tcPr>
            <w:tcW w:w="500" w:type="dxa"/>
            <w:vAlign w:val="bottom"/>
            <w:shd w:val="clear" w:color="auto" w:fill="EAF7FA"/>
          </w:tcPr>
          <w:p>
            <w:pPr>
              <w:jc w:val="right"/>
              <w:spacing w:after="0" w:line="122" w:lineRule="exact"/>
              <w:rPr>
                <w:sz w:val="20"/>
                <w:szCs w:val="20"/>
                <w:color w:val="auto"/>
              </w:rPr>
            </w:pPr>
            <w:r>
              <w:rPr>
                <w:rFonts w:ascii="Arial" w:cs="Arial" w:eastAsia="Arial" w:hAnsi="Arial"/>
                <w:sz w:val="11"/>
                <w:szCs w:val="11"/>
                <w:color w:val="54565B"/>
              </w:rPr>
              <w:t>(210.0)</w:t>
            </w:r>
          </w:p>
        </w:tc>
        <w:tc>
          <w:tcPr>
            <w:tcW w:w="580" w:type="dxa"/>
            <w:vAlign w:val="bottom"/>
            <w:shd w:val="clear" w:color="auto" w:fill="EAF7FA"/>
          </w:tcPr>
          <w:p>
            <w:pPr>
              <w:jc w:val="right"/>
              <w:spacing w:after="0" w:line="122" w:lineRule="exact"/>
              <w:rPr>
                <w:sz w:val="20"/>
                <w:szCs w:val="20"/>
                <w:color w:val="auto"/>
              </w:rPr>
            </w:pPr>
            <w:r>
              <w:rPr>
                <w:rFonts w:ascii="Arial" w:cs="Arial" w:eastAsia="Arial" w:hAnsi="Arial"/>
                <w:sz w:val="11"/>
                <w:szCs w:val="11"/>
                <w:color w:val="54565B"/>
              </w:rPr>
              <w:t>(1.7)</w:t>
            </w:r>
          </w:p>
        </w:tc>
        <w:tc>
          <w:tcPr>
            <w:tcW w:w="580" w:type="dxa"/>
            <w:vAlign w:val="bottom"/>
            <w:shd w:val="clear" w:color="auto" w:fill="EAF7FA"/>
          </w:tcPr>
          <w:p>
            <w:pPr>
              <w:jc w:val="right"/>
              <w:ind w:right="9"/>
              <w:spacing w:after="0" w:line="122" w:lineRule="exact"/>
              <w:rPr>
                <w:sz w:val="20"/>
                <w:szCs w:val="20"/>
                <w:color w:val="auto"/>
              </w:rPr>
            </w:pPr>
            <w:r>
              <w:rPr>
                <w:rFonts w:ascii="Arial" w:cs="Arial" w:eastAsia="Arial" w:hAnsi="Arial"/>
                <w:sz w:val="11"/>
                <w:szCs w:val="11"/>
                <w:color w:val="54565B"/>
              </w:rPr>
              <w:t>(1.7)</w:t>
            </w:r>
          </w:p>
        </w:tc>
        <w:tc>
          <w:tcPr>
            <w:tcW w:w="500" w:type="dxa"/>
            <w:vAlign w:val="bottom"/>
            <w:shd w:val="clear" w:color="auto" w:fill="EAF7FA"/>
          </w:tcPr>
          <w:p>
            <w:pPr>
              <w:jc w:val="right"/>
              <w:spacing w:after="0" w:line="122" w:lineRule="exact"/>
              <w:rPr>
                <w:sz w:val="20"/>
                <w:szCs w:val="20"/>
                <w:color w:val="auto"/>
              </w:rPr>
            </w:pPr>
            <w:r>
              <w:rPr>
                <w:rFonts w:ascii="Arial" w:cs="Arial" w:eastAsia="Arial" w:hAnsi="Arial"/>
                <w:sz w:val="11"/>
                <w:szCs w:val="11"/>
                <w:color w:val="54565B"/>
              </w:rPr>
              <w:t>(0.6)</w:t>
            </w:r>
          </w:p>
        </w:tc>
        <w:tc>
          <w:tcPr>
            <w:tcW w:w="580" w:type="dxa"/>
            <w:vAlign w:val="bottom"/>
            <w:shd w:val="clear" w:color="auto" w:fill="EAF7FA"/>
          </w:tcPr>
          <w:p>
            <w:pPr>
              <w:jc w:val="right"/>
              <w:ind w:right="29"/>
              <w:spacing w:after="0" w:line="122" w:lineRule="exact"/>
              <w:rPr>
                <w:sz w:val="20"/>
                <w:szCs w:val="20"/>
                <w:color w:val="auto"/>
              </w:rPr>
            </w:pPr>
            <w:r>
              <w:rPr>
                <w:rFonts w:ascii="Arial" w:cs="Arial" w:eastAsia="Arial" w:hAnsi="Arial"/>
                <w:sz w:val="11"/>
                <w:szCs w:val="11"/>
                <w:color w:val="54565B"/>
              </w:rPr>
              <w:t>2,126.9</w:t>
            </w:r>
          </w:p>
        </w:tc>
        <w:tc>
          <w:tcPr>
            <w:tcW w:w="580" w:type="dxa"/>
            <w:vAlign w:val="bottom"/>
            <w:shd w:val="clear" w:color="auto" w:fill="EAF7FA"/>
          </w:tcPr>
          <w:p>
            <w:pPr>
              <w:jc w:val="right"/>
              <w:ind w:right="69"/>
              <w:spacing w:after="0" w:line="122" w:lineRule="exact"/>
              <w:rPr>
                <w:sz w:val="20"/>
                <w:szCs w:val="20"/>
                <w:color w:val="auto"/>
              </w:rPr>
            </w:pPr>
            <w:r>
              <w:rPr>
                <w:rFonts w:ascii="Arial" w:cs="Arial" w:eastAsia="Arial" w:hAnsi="Arial"/>
                <w:sz w:val="11"/>
                <w:szCs w:val="11"/>
                <w:color w:val="54565B"/>
              </w:rPr>
              <w:t>2,126.9</w:t>
            </w:r>
          </w:p>
        </w:tc>
        <w:tc>
          <w:tcPr>
            <w:tcW w:w="500" w:type="dxa"/>
            <w:vAlign w:val="bottom"/>
            <w:shd w:val="clear" w:color="auto" w:fill="EAF7FA"/>
          </w:tcPr>
          <w:p>
            <w:pPr>
              <w:ind w:left="160"/>
              <w:spacing w:after="0" w:line="122" w:lineRule="exact"/>
              <w:rPr>
                <w:sz w:val="20"/>
                <w:szCs w:val="20"/>
                <w:color w:val="auto"/>
              </w:rPr>
            </w:pPr>
            <w:r>
              <w:rPr>
                <w:rFonts w:ascii="Arial" w:cs="Arial" w:eastAsia="Arial" w:hAnsi="Arial"/>
                <w:sz w:val="11"/>
                <w:szCs w:val="11"/>
                <w:color w:val="54565B"/>
              </w:rPr>
              <w:t>718.0</w:t>
            </w:r>
          </w:p>
        </w:tc>
        <w:tc>
          <w:tcPr>
            <w:tcW w:w="100" w:type="dxa"/>
            <w:vAlign w:val="bottom"/>
            <w:shd w:val="clear" w:color="auto" w:fill="EAF7FA"/>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shd w:val="clear" w:color="auto" w:fill="EAF7FA"/>
          </w:tcPr>
          <w:p>
            <w:pPr>
              <w:spacing w:after="0"/>
              <w:rPr>
                <w:sz w:val="10"/>
                <w:szCs w:val="10"/>
                <w:color w:val="auto"/>
              </w:rPr>
            </w:pPr>
          </w:p>
        </w:tc>
        <w:tc>
          <w:tcPr>
            <w:tcW w:w="940" w:type="dxa"/>
            <w:vAlign w:val="bottom"/>
            <w:shd w:val="clear" w:color="auto" w:fill="EAF7FA"/>
          </w:tcPr>
          <w:p>
            <w:pPr>
              <w:ind w:left="80"/>
              <w:spacing w:after="0" w:line="122" w:lineRule="exact"/>
              <w:rPr>
                <w:sz w:val="20"/>
                <w:szCs w:val="20"/>
                <w:color w:val="auto"/>
              </w:rPr>
            </w:pPr>
            <w:r>
              <w:rPr>
                <w:rFonts w:ascii="Arial" w:cs="Arial" w:eastAsia="Arial" w:hAnsi="Arial"/>
                <w:sz w:val="11"/>
                <w:szCs w:val="11"/>
                <w:color w:val="54565B"/>
              </w:rPr>
              <w:t>and Option</w:t>
            </w:r>
          </w:p>
        </w:tc>
        <w:tc>
          <w:tcPr>
            <w:tcW w:w="140" w:type="dxa"/>
            <w:vAlign w:val="bottom"/>
            <w:shd w:val="clear" w:color="auto" w:fill="EAF7FA"/>
          </w:tcPr>
          <w:p>
            <w:pPr>
              <w:spacing w:after="0"/>
              <w:rPr>
                <w:sz w:val="10"/>
                <w:szCs w:val="10"/>
                <w:color w:val="auto"/>
              </w:rPr>
            </w:pPr>
          </w:p>
        </w:tc>
        <w:tc>
          <w:tcPr>
            <w:tcW w:w="260" w:type="dxa"/>
            <w:vAlign w:val="bottom"/>
            <w:shd w:val="clear" w:color="auto" w:fill="EAF7FA"/>
          </w:tcPr>
          <w:p>
            <w:pPr>
              <w:spacing w:after="0"/>
              <w:rPr>
                <w:sz w:val="10"/>
                <w:szCs w:val="10"/>
                <w:color w:val="auto"/>
              </w:rPr>
            </w:pPr>
          </w:p>
        </w:tc>
        <w:tc>
          <w:tcPr>
            <w:tcW w:w="1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60" w:type="dxa"/>
            <w:vAlign w:val="bottom"/>
            <w:shd w:val="clear" w:color="auto" w:fill="EAF7FA"/>
          </w:tcPr>
          <w:p>
            <w:pPr>
              <w:spacing w:after="0"/>
              <w:rPr>
                <w:sz w:val="10"/>
                <w:szCs w:val="10"/>
                <w:color w:val="auto"/>
              </w:rPr>
            </w:pPr>
          </w:p>
        </w:tc>
        <w:tc>
          <w:tcPr>
            <w:tcW w:w="520" w:type="dxa"/>
            <w:vAlign w:val="bottom"/>
            <w:shd w:val="clear" w:color="auto" w:fill="EAF7FA"/>
          </w:tcPr>
          <w:p>
            <w:pPr>
              <w:spacing w:after="0"/>
              <w:rPr>
                <w:sz w:val="10"/>
                <w:szCs w:val="10"/>
                <w:color w:val="auto"/>
              </w:rPr>
            </w:pPr>
          </w:p>
        </w:tc>
        <w:tc>
          <w:tcPr>
            <w:tcW w:w="600" w:type="dxa"/>
            <w:vAlign w:val="bottom"/>
            <w:shd w:val="clear" w:color="auto" w:fill="EAF7FA"/>
          </w:tcPr>
          <w:p>
            <w:pPr>
              <w:spacing w:after="0"/>
              <w:rPr>
                <w:sz w:val="10"/>
                <w:szCs w:val="10"/>
                <w:color w:val="auto"/>
              </w:rPr>
            </w:pPr>
          </w:p>
        </w:tc>
        <w:tc>
          <w:tcPr>
            <w:tcW w:w="56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100" w:type="dxa"/>
            <w:vAlign w:val="bottom"/>
            <w:shd w:val="clear" w:color="auto" w:fill="EAF7FA"/>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0" w:type="dxa"/>
            <w:vAlign w:val="bottom"/>
            <w:shd w:val="clear" w:color="auto" w:fill="EAF7FA"/>
          </w:tcPr>
          <w:p>
            <w:pPr>
              <w:spacing w:after="0"/>
              <w:rPr>
                <w:sz w:val="10"/>
                <w:szCs w:val="10"/>
                <w:color w:val="auto"/>
              </w:rPr>
            </w:pPr>
          </w:p>
        </w:tc>
        <w:tc>
          <w:tcPr>
            <w:tcW w:w="940" w:type="dxa"/>
            <w:vAlign w:val="bottom"/>
            <w:shd w:val="clear" w:color="auto" w:fill="EAF7FA"/>
          </w:tcPr>
          <w:p>
            <w:pPr>
              <w:ind w:left="80"/>
              <w:spacing w:after="0" w:line="122" w:lineRule="exact"/>
              <w:rPr>
                <w:sz w:val="20"/>
                <w:szCs w:val="20"/>
                <w:color w:val="auto"/>
              </w:rPr>
            </w:pPr>
            <w:r>
              <w:rPr>
                <w:rFonts w:ascii="Arial" w:cs="Arial" w:eastAsia="Arial" w:hAnsi="Arial"/>
                <w:sz w:val="11"/>
                <w:szCs w:val="11"/>
                <w:color w:val="54565B"/>
              </w:rPr>
              <w:t>Awards from</w:t>
            </w:r>
          </w:p>
        </w:tc>
        <w:tc>
          <w:tcPr>
            <w:tcW w:w="140" w:type="dxa"/>
            <w:vAlign w:val="bottom"/>
            <w:shd w:val="clear" w:color="auto" w:fill="EAF7FA"/>
          </w:tcPr>
          <w:p>
            <w:pPr>
              <w:spacing w:after="0"/>
              <w:rPr>
                <w:sz w:val="10"/>
                <w:szCs w:val="10"/>
                <w:color w:val="auto"/>
              </w:rPr>
            </w:pPr>
          </w:p>
        </w:tc>
        <w:tc>
          <w:tcPr>
            <w:tcW w:w="260" w:type="dxa"/>
            <w:vAlign w:val="bottom"/>
            <w:shd w:val="clear" w:color="auto" w:fill="EAF7FA"/>
          </w:tcPr>
          <w:p>
            <w:pPr>
              <w:spacing w:after="0"/>
              <w:rPr>
                <w:sz w:val="10"/>
                <w:szCs w:val="10"/>
                <w:color w:val="auto"/>
              </w:rPr>
            </w:pPr>
          </w:p>
        </w:tc>
        <w:tc>
          <w:tcPr>
            <w:tcW w:w="1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60" w:type="dxa"/>
            <w:vAlign w:val="bottom"/>
            <w:shd w:val="clear" w:color="auto" w:fill="EAF7FA"/>
          </w:tcPr>
          <w:p>
            <w:pPr>
              <w:spacing w:after="0"/>
              <w:rPr>
                <w:sz w:val="10"/>
                <w:szCs w:val="10"/>
                <w:color w:val="auto"/>
              </w:rPr>
            </w:pPr>
          </w:p>
        </w:tc>
        <w:tc>
          <w:tcPr>
            <w:tcW w:w="520" w:type="dxa"/>
            <w:vAlign w:val="bottom"/>
            <w:shd w:val="clear" w:color="auto" w:fill="EAF7FA"/>
          </w:tcPr>
          <w:p>
            <w:pPr>
              <w:spacing w:after="0"/>
              <w:rPr>
                <w:sz w:val="10"/>
                <w:szCs w:val="10"/>
                <w:color w:val="auto"/>
              </w:rPr>
            </w:pPr>
          </w:p>
        </w:tc>
        <w:tc>
          <w:tcPr>
            <w:tcW w:w="600" w:type="dxa"/>
            <w:vAlign w:val="bottom"/>
            <w:shd w:val="clear" w:color="auto" w:fill="EAF7FA"/>
          </w:tcPr>
          <w:p>
            <w:pPr>
              <w:spacing w:after="0"/>
              <w:rPr>
                <w:sz w:val="10"/>
                <w:szCs w:val="10"/>
                <w:color w:val="auto"/>
              </w:rPr>
            </w:pPr>
          </w:p>
        </w:tc>
        <w:tc>
          <w:tcPr>
            <w:tcW w:w="56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100" w:type="dxa"/>
            <w:vAlign w:val="bottom"/>
            <w:shd w:val="clear" w:color="auto" w:fill="EAF7FA"/>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0" w:type="dxa"/>
            <w:vAlign w:val="bottom"/>
            <w:tcBorders>
              <w:bottom w:val="single" w:sz="8" w:color="EAF7FA"/>
            </w:tcBorders>
            <w:shd w:val="clear" w:color="auto" w:fill="EAF7FA"/>
          </w:tcPr>
          <w:p>
            <w:pPr>
              <w:spacing w:after="0"/>
              <w:rPr>
                <w:sz w:val="14"/>
                <w:szCs w:val="14"/>
                <w:color w:val="auto"/>
              </w:rPr>
            </w:pPr>
          </w:p>
        </w:tc>
        <w:tc>
          <w:tcPr>
            <w:tcW w:w="940" w:type="dxa"/>
            <w:vAlign w:val="bottom"/>
            <w:tcBorders>
              <w:bottom w:val="single" w:sz="8" w:color="EAF7FA"/>
            </w:tcBorders>
            <w:shd w:val="clear" w:color="auto" w:fill="EAF7FA"/>
          </w:tcPr>
          <w:p>
            <w:pPr>
              <w:ind w:left="80"/>
              <w:spacing w:after="0"/>
              <w:rPr>
                <w:sz w:val="20"/>
                <w:szCs w:val="20"/>
                <w:color w:val="auto"/>
              </w:rPr>
            </w:pPr>
            <w:r>
              <w:rPr>
                <w:rFonts w:ascii="Arial" w:cs="Arial" w:eastAsia="Arial" w:hAnsi="Arial"/>
                <w:sz w:val="11"/>
                <w:szCs w:val="11"/>
                <w:color w:val="54565B"/>
              </w:rPr>
              <w:t>Prior Years</w:t>
            </w:r>
          </w:p>
        </w:tc>
        <w:tc>
          <w:tcPr>
            <w:tcW w:w="140" w:type="dxa"/>
            <w:vAlign w:val="bottom"/>
            <w:tcBorders>
              <w:bottom w:val="single" w:sz="8" w:color="EAF7FA"/>
            </w:tcBorders>
            <w:shd w:val="clear" w:color="auto" w:fill="EAF7FA"/>
          </w:tcPr>
          <w:p>
            <w:pPr>
              <w:spacing w:after="0"/>
              <w:rPr>
                <w:sz w:val="14"/>
                <w:szCs w:val="14"/>
                <w:color w:val="auto"/>
              </w:rPr>
            </w:pPr>
          </w:p>
        </w:tc>
        <w:tc>
          <w:tcPr>
            <w:tcW w:w="260" w:type="dxa"/>
            <w:vAlign w:val="bottom"/>
            <w:tcBorders>
              <w:bottom w:val="single" w:sz="8" w:color="EAF7FA"/>
            </w:tcBorders>
            <w:shd w:val="clear" w:color="auto" w:fill="EAF7FA"/>
          </w:tcPr>
          <w:p>
            <w:pPr>
              <w:spacing w:after="0"/>
              <w:rPr>
                <w:sz w:val="14"/>
                <w:szCs w:val="14"/>
                <w:color w:val="auto"/>
              </w:rPr>
            </w:pPr>
          </w:p>
        </w:tc>
        <w:tc>
          <w:tcPr>
            <w:tcW w:w="180" w:type="dxa"/>
            <w:vAlign w:val="bottom"/>
            <w:tcBorders>
              <w:bottom w:val="single" w:sz="8" w:color="EAF7FA"/>
            </w:tcBorders>
            <w:shd w:val="clear" w:color="auto" w:fill="EAF7FA"/>
          </w:tcPr>
          <w:p>
            <w:pPr>
              <w:spacing w:after="0"/>
              <w:rPr>
                <w:sz w:val="14"/>
                <w:szCs w:val="14"/>
                <w:color w:val="auto"/>
              </w:rPr>
            </w:pPr>
          </w:p>
        </w:tc>
        <w:tc>
          <w:tcPr>
            <w:tcW w:w="580" w:type="dxa"/>
            <w:vAlign w:val="bottom"/>
            <w:tcBorders>
              <w:bottom w:val="single" w:sz="8" w:color="EAF7FA"/>
            </w:tcBorders>
            <w:shd w:val="clear" w:color="auto" w:fill="EAF7FA"/>
          </w:tcPr>
          <w:p>
            <w:pPr>
              <w:spacing w:after="0"/>
              <w:rPr>
                <w:sz w:val="14"/>
                <w:szCs w:val="14"/>
                <w:color w:val="auto"/>
              </w:rPr>
            </w:pPr>
          </w:p>
        </w:tc>
        <w:tc>
          <w:tcPr>
            <w:tcW w:w="500" w:type="dxa"/>
            <w:vAlign w:val="bottom"/>
            <w:tcBorders>
              <w:bottom w:val="single" w:sz="8" w:color="EAF7FA"/>
            </w:tcBorders>
            <w:shd w:val="clear" w:color="auto" w:fill="EAF7FA"/>
          </w:tcPr>
          <w:p>
            <w:pPr>
              <w:spacing w:after="0"/>
              <w:rPr>
                <w:sz w:val="14"/>
                <w:szCs w:val="14"/>
                <w:color w:val="auto"/>
              </w:rPr>
            </w:pPr>
          </w:p>
        </w:tc>
        <w:tc>
          <w:tcPr>
            <w:tcW w:w="580" w:type="dxa"/>
            <w:vAlign w:val="bottom"/>
            <w:tcBorders>
              <w:bottom w:val="single" w:sz="8" w:color="EAF7FA"/>
            </w:tcBorders>
            <w:shd w:val="clear" w:color="auto" w:fill="EAF7FA"/>
          </w:tcPr>
          <w:p>
            <w:pPr>
              <w:spacing w:after="0"/>
              <w:rPr>
                <w:sz w:val="14"/>
                <w:szCs w:val="14"/>
                <w:color w:val="auto"/>
              </w:rPr>
            </w:pPr>
          </w:p>
        </w:tc>
        <w:tc>
          <w:tcPr>
            <w:tcW w:w="560" w:type="dxa"/>
            <w:vAlign w:val="bottom"/>
            <w:tcBorders>
              <w:bottom w:val="single" w:sz="8" w:color="EAF7FA"/>
            </w:tcBorders>
            <w:shd w:val="clear" w:color="auto" w:fill="EAF7FA"/>
          </w:tcPr>
          <w:p>
            <w:pPr>
              <w:spacing w:after="0"/>
              <w:rPr>
                <w:sz w:val="14"/>
                <w:szCs w:val="14"/>
                <w:color w:val="auto"/>
              </w:rPr>
            </w:pPr>
          </w:p>
        </w:tc>
        <w:tc>
          <w:tcPr>
            <w:tcW w:w="520" w:type="dxa"/>
            <w:vAlign w:val="bottom"/>
            <w:tcBorders>
              <w:bottom w:val="single" w:sz="8" w:color="EAF7FA"/>
            </w:tcBorders>
            <w:shd w:val="clear" w:color="auto" w:fill="EAF7FA"/>
          </w:tcPr>
          <w:p>
            <w:pPr>
              <w:spacing w:after="0"/>
              <w:rPr>
                <w:sz w:val="14"/>
                <w:szCs w:val="14"/>
                <w:color w:val="auto"/>
              </w:rPr>
            </w:pPr>
          </w:p>
        </w:tc>
        <w:tc>
          <w:tcPr>
            <w:tcW w:w="600" w:type="dxa"/>
            <w:vAlign w:val="bottom"/>
            <w:tcBorders>
              <w:bottom w:val="single" w:sz="8" w:color="EAF7FA"/>
            </w:tcBorders>
            <w:shd w:val="clear" w:color="auto" w:fill="EAF7FA"/>
          </w:tcPr>
          <w:p>
            <w:pPr>
              <w:spacing w:after="0"/>
              <w:rPr>
                <w:sz w:val="14"/>
                <w:szCs w:val="14"/>
                <w:color w:val="auto"/>
              </w:rPr>
            </w:pPr>
          </w:p>
        </w:tc>
        <w:tc>
          <w:tcPr>
            <w:tcW w:w="560" w:type="dxa"/>
            <w:vAlign w:val="bottom"/>
            <w:tcBorders>
              <w:bottom w:val="single" w:sz="8" w:color="EAF7FA"/>
            </w:tcBorders>
            <w:shd w:val="clear" w:color="auto" w:fill="EAF7FA"/>
          </w:tcPr>
          <w:p>
            <w:pPr>
              <w:spacing w:after="0"/>
              <w:rPr>
                <w:sz w:val="14"/>
                <w:szCs w:val="14"/>
                <w:color w:val="auto"/>
              </w:rPr>
            </w:pPr>
          </w:p>
        </w:tc>
        <w:tc>
          <w:tcPr>
            <w:tcW w:w="500" w:type="dxa"/>
            <w:vAlign w:val="bottom"/>
            <w:tcBorders>
              <w:bottom w:val="single" w:sz="8" w:color="EAF7FA"/>
            </w:tcBorders>
            <w:shd w:val="clear" w:color="auto" w:fill="EAF7FA"/>
          </w:tcPr>
          <w:p>
            <w:pPr>
              <w:spacing w:after="0"/>
              <w:rPr>
                <w:sz w:val="14"/>
                <w:szCs w:val="14"/>
                <w:color w:val="auto"/>
              </w:rPr>
            </w:pPr>
          </w:p>
        </w:tc>
        <w:tc>
          <w:tcPr>
            <w:tcW w:w="580" w:type="dxa"/>
            <w:vAlign w:val="bottom"/>
            <w:tcBorders>
              <w:bottom w:val="single" w:sz="8" w:color="EAF7FA"/>
            </w:tcBorders>
            <w:shd w:val="clear" w:color="auto" w:fill="EAF7FA"/>
          </w:tcPr>
          <w:p>
            <w:pPr>
              <w:spacing w:after="0"/>
              <w:rPr>
                <w:sz w:val="14"/>
                <w:szCs w:val="14"/>
                <w:color w:val="auto"/>
              </w:rPr>
            </w:pPr>
          </w:p>
        </w:tc>
        <w:tc>
          <w:tcPr>
            <w:tcW w:w="580" w:type="dxa"/>
            <w:vAlign w:val="bottom"/>
            <w:tcBorders>
              <w:bottom w:val="single" w:sz="8" w:color="EAF7FA"/>
            </w:tcBorders>
            <w:shd w:val="clear" w:color="auto" w:fill="EAF7FA"/>
          </w:tcPr>
          <w:p>
            <w:pPr>
              <w:spacing w:after="0"/>
              <w:rPr>
                <w:sz w:val="14"/>
                <w:szCs w:val="14"/>
                <w:color w:val="auto"/>
              </w:rPr>
            </w:pPr>
          </w:p>
        </w:tc>
        <w:tc>
          <w:tcPr>
            <w:tcW w:w="500" w:type="dxa"/>
            <w:vAlign w:val="bottom"/>
            <w:tcBorders>
              <w:bottom w:val="single" w:sz="8" w:color="EAF7FA"/>
            </w:tcBorders>
            <w:shd w:val="clear" w:color="auto" w:fill="EAF7FA"/>
          </w:tcPr>
          <w:p>
            <w:pPr>
              <w:spacing w:after="0"/>
              <w:rPr>
                <w:sz w:val="14"/>
                <w:szCs w:val="14"/>
                <w:color w:val="auto"/>
              </w:rPr>
            </w:pPr>
          </w:p>
        </w:tc>
        <w:tc>
          <w:tcPr>
            <w:tcW w:w="580" w:type="dxa"/>
            <w:vAlign w:val="bottom"/>
            <w:tcBorders>
              <w:bottom w:val="single" w:sz="8" w:color="EAF7FA"/>
            </w:tcBorders>
            <w:shd w:val="clear" w:color="auto" w:fill="EAF7FA"/>
          </w:tcPr>
          <w:p>
            <w:pPr>
              <w:spacing w:after="0"/>
              <w:rPr>
                <w:sz w:val="14"/>
                <w:szCs w:val="14"/>
                <w:color w:val="auto"/>
              </w:rPr>
            </w:pPr>
          </w:p>
        </w:tc>
        <w:tc>
          <w:tcPr>
            <w:tcW w:w="580" w:type="dxa"/>
            <w:vAlign w:val="bottom"/>
            <w:tcBorders>
              <w:bottom w:val="single" w:sz="8" w:color="EAF7FA"/>
            </w:tcBorders>
            <w:shd w:val="clear" w:color="auto" w:fill="EAF7FA"/>
          </w:tcPr>
          <w:p>
            <w:pPr>
              <w:spacing w:after="0"/>
              <w:rPr>
                <w:sz w:val="14"/>
                <w:szCs w:val="14"/>
                <w:color w:val="auto"/>
              </w:rPr>
            </w:pPr>
          </w:p>
        </w:tc>
        <w:tc>
          <w:tcPr>
            <w:tcW w:w="500" w:type="dxa"/>
            <w:vAlign w:val="bottom"/>
            <w:tcBorders>
              <w:bottom w:val="single" w:sz="8" w:color="EAF7FA"/>
            </w:tcBorders>
            <w:shd w:val="clear" w:color="auto" w:fill="EAF7FA"/>
          </w:tcPr>
          <w:p>
            <w:pPr>
              <w:spacing w:after="0"/>
              <w:rPr>
                <w:sz w:val="14"/>
                <w:szCs w:val="14"/>
                <w:color w:val="auto"/>
              </w:rPr>
            </w:pPr>
          </w:p>
        </w:tc>
        <w:tc>
          <w:tcPr>
            <w:tcW w:w="100" w:type="dxa"/>
            <w:vAlign w:val="bottom"/>
            <w:tcBorders>
              <w:bottom w:val="single" w:sz="8" w:color="EAF7FA"/>
            </w:tcBorders>
            <w:shd w:val="clear" w:color="auto" w:fill="EAF7F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1"/>
                <w:szCs w:val="11"/>
                <w:color w:val="54565B"/>
              </w:rPr>
              <w:t>Change in Fair</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940" w:type="dxa"/>
            <w:vAlign w:val="bottom"/>
          </w:tcPr>
          <w:p>
            <w:pPr>
              <w:ind w:left="80"/>
              <w:spacing w:after="0" w:line="122" w:lineRule="exact"/>
              <w:rPr>
                <w:sz w:val="20"/>
                <w:szCs w:val="20"/>
                <w:color w:val="auto"/>
              </w:rPr>
            </w:pPr>
            <w:r>
              <w:rPr>
                <w:rFonts w:ascii="Arial" w:cs="Arial" w:eastAsia="Arial" w:hAnsi="Arial"/>
                <w:sz w:val="11"/>
                <w:szCs w:val="11"/>
                <w:color w:val="54565B"/>
              </w:rPr>
              <w:t>Value of Stock</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940" w:type="dxa"/>
            <w:vAlign w:val="bottom"/>
          </w:tcPr>
          <w:p>
            <w:pPr>
              <w:ind w:left="80"/>
              <w:spacing w:after="0" w:line="122" w:lineRule="exact"/>
              <w:rPr>
                <w:sz w:val="20"/>
                <w:szCs w:val="20"/>
                <w:color w:val="auto"/>
              </w:rPr>
            </w:pPr>
            <w:r>
              <w:rPr>
                <w:rFonts w:ascii="Arial" w:cs="Arial" w:eastAsia="Arial" w:hAnsi="Arial"/>
                <w:sz w:val="11"/>
                <w:szCs w:val="11"/>
                <w:color w:val="54565B"/>
              </w:rPr>
              <w:t>and Option</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940" w:type="dxa"/>
            <w:vAlign w:val="bottom"/>
          </w:tcPr>
          <w:p>
            <w:pPr>
              <w:ind w:left="80"/>
              <w:spacing w:after="0" w:line="122" w:lineRule="exact"/>
              <w:rPr>
                <w:sz w:val="20"/>
                <w:szCs w:val="20"/>
                <w:color w:val="auto"/>
              </w:rPr>
            </w:pPr>
            <w:r>
              <w:rPr>
                <w:rFonts w:ascii="Arial" w:cs="Arial" w:eastAsia="Arial" w:hAnsi="Arial"/>
                <w:sz w:val="11"/>
                <w:szCs w:val="11"/>
                <w:color w:val="54565B"/>
              </w:rPr>
              <w:t>Awards from</w:t>
            </w:r>
          </w:p>
        </w:tc>
        <w:tc>
          <w:tcPr>
            <w:tcW w:w="140" w:type="dxa"/>
            <w:vAlign w:val="bottom"/>
          </w:tcPr>
          <w:p>
            <w:pPr>
              <w:ind w:left="80"/>
              <w:spacing w:after="0" w:line="122" w:lineRule="exact"/>
              <w:rPr>
                <w:sz w:val="20"/>
                <w:szCs w:val="20"/>
                <w:color w:val="auto"/>
              </w:rPr>
            </w:pPr>
            <w:r>
              <w:rPr>
                <w:rFonts w:ascii="Arial" w:cs="Arial" w:eastAsia="Arial" w:hAnsi="Arial"/>
                <w:sz w:val="11"/>
                <w:szCs w:val="11"/>
                <w:color w:val="54565B"/>
              </w:rPr>
              <w:t>​</w:t>
            </w:r>
          </w:p>
        </w:tc>
        <w:tc>
          <w:tcPr>
            <w:tcW w:w="440" w:type="dxa"/>
            <w:vAlign w:val="bottom"/>
            <w:gridSpan w:val="2"/>
          </w:tcPr>
          <w:p>
            <w:pPr>
              <w:jc w:val="right"/>
              <w:spacing w:after="0" w:line="122" w:lineRule="exact"/>
              <w:rPr>
                <w:sz w:val="20"/>
                <w:szCs w:val="20"/>
                <w:color w:val="auto"/>
              </w:rPr>
            </w:pPr>
            <w:r>
              <w:rPr>
                <w:rFonts w:ascii="Arial" w:cs="Arial" w:eastAsia="Arial" w:hAnsi="Arial"/>
                <w:sz w:val="11"/>
                <w:szCs w:val="11"/>
                <w:color w:val="54565B"/>
              </w:rPr>
              <w:t>(226.3)</w:t>
            </w:r>
          </w:p>
        </w:tc>
        <w:tc>
          <w:tcPr>
            <w:tcW w:w="580" w:type="dxa"/>
            <w:vAlign w:val="bottom"/>
          </w:tcPr>
          <w:p>
            <w:pPr>
              <w:jc w:val="right"/>
              <w:ind w:right="9"/>
              <w:spacing w:after="0" w:line="122" w:lineRule="exact"/>
              <w:rPr>
                <w:sz w:val="20"/>
                <w:szCs w:val="20"/>
                <w:color w:val="auto"/>
              </w:rPr>
            </w:pPr>
            <w:r>
              <w:rPr>
                <w:rFonts w:ascii="Arial" w:cs="Arial" w:eastAsia="Arial" w:hAnsi="Arial"/>
                <w:sz w:val="11"/>
                <w:szCs w:val="11"/>
                <w:color w:val="54565B"/>
              </w:rPr>
              <w:t>(226.3)</w:t>
            </w:r>
          </w:p>
        </w:tc>
        <w:tc>
          <w:tcPr>
            <w:tcW w:w="500" w:type="dxa"/>
            <w:vAlign w:val="bottom"/>
          </w:tcPr>
          <w:p>
            <w:pPr>
              <w:ind w:left="200"/>
              <w:spacing w:after="0" w:line="122" w:lineRule="exact"/>
              <w:rPr>
                <w:sz w:val="20"/>
                <w:szCs w:val="20"/>
                <w:color w:val="auto"/>
              </w:rPr>
            </w:pPr>
            <w:r>
              <w:rPr>
                <w:rFonts w:ascii="Arial" w:cs="Arial" w:eastAsia="Arial" w:hAnsi="Arial"/>
                <w:sz w:val="11"/>
                <w:szCs w:val="11"/>
                <w:color w:val="54565B"/>
                <w:w w:val="97"/>
              </w:rPr>
              <w:t>(67.0)</w:t>
            </w:r>
          </w:p>
        </w:tc>
        <w:tc>
          <w:tcPr>
            <w:tcW w:w="580" w:type="dxa"/>
            <w:vAlign w:val="bottom"/>
          </w:tcPr>
          <w:p>
            <w:pPr>
              <w:jc w:val="right"/>
              <w:ind w:right="49"/>
              <w:spacing w:after="0" w:line="122" w:lineRule="exact"/>
              <w:rPr>
                <w:sz w:val="20"/>
                <w:szCs w:val="20"/>
                <w:color w:val="auto"/>
              </w:rPr>
            </w:pPr>
            <w:r>
              <w:rPr>
                <w:rFonts w:ascii="Arial" w:cs="Arial" w:eastAsia="Arial" w:hAnsi="Arial"/>
                <w:sz w:val="11"/>
                <w:szCs w:val="11"/>
                <w:color w:val="54565B"/>
              </w:rPr>
              <w:t>111.4</w:t>
            </w:r>
          </w:p>
        </w:tc>
        <w:tc>
          <w:tcPr>
            <w:tcW w:w="560" w:type="dxa"/>
            <w:vAlign w:val="bottom"/>
          </w:tcPr>
          <w:p>
            <w:pPr>
              <w:jc w:val="right"/>
              <w:ind w:right="49"/>
              <w:spacing w:after="0" w:line="122" w:lineRule="exact"/>
              <w:rPr>
                <w:sz w:val="20"/>
                <w:szCs w:val="20"/>
                <w:color w:val="auto"/>
              </w:rPr>
            </w:pPr>
            <w:r>
              <w:rPr>
                <w:rFonts w:ascii="Arial" w:cs="Arial" w:eastAsia="Arial" w:hAnsi="Arial"/>
                <w:sz w:val="11"/>
                <w:szCs w:val="11"/>
                <w:color w:val="54565B"/>
              </w:rPr>
              <w:t>111.4</w:t>
            </w:r>
          </w:p>
        </w:tc>
        <w:tc>
          <w:tcPr>
            <w:tcW w:w="520" w:type="dxa"/>
            <w:vAlign w:val="bottom"/>
          </w:tcPr>
          <w:p>
            <w:pPr>
              <w:jc w:val="right"/>
              <w:ind w:right="9"/>
              <w:spacing w:after="0" w:line="122" w:lineRule="exact"/>
              <w:rPr>
                <w:sz w:val="20"/>
                <w:szCs w:val="20"/>
                <w:color w:val="auto"/>
              </w:rPr>
            </w:pPr>
            <w:r>
              <w:rPr>
                <w:rFonts w:ascii="Arial" w:cs="Arial" w:eastAsia="Arial" w:hAnsi="Arial"/>
                <w:sz w:val="11"/>
                <w:szCs w:val="11"/>
                <w:color w:val="54565B"/>
              </w:rPr>
              <w:t>29.1</w:t>
            </w:r>
          </w:p>
        </w:tc>
        <w:tc>
          <w:tcPr>
            <w:tcW w:w="600" w:type="dxa"/>
            <w:vAlign w:val="bottom"/>
          </w:tcPr>
          <w:p>
            <w:pPr>
              <w:jc w:val="right"/>
              <w:ind w:right="9"/>
              <w:spacing w:after="0" w:line="122" w:lineRule="exact"/>
              <w:rPr>
                <w:sz w:val="20"/>
                <w:szCs w:val="20"/>
                <w:color w:val="auto"/>
              </w:rPr>
            </w:pPr>
            <w:r>
              <w:rPr>
                <w:rFonts w:ascii="Arial" w:cs="Arial" w:eastAsia="Arial" w:hAnsi="Arial"/>
                <w:sz w:val="11"/>
                <w:szCs w:val="11"/>
                <w:color w:val="54565B"/>
              </w:rPr>
              <w:t>(89.5)</w:t>
            </w:r>
          </w:p>
        </w:tc>
        <w:tc>
          <w:tcPr>
            <w:tcW w:w="560" w:type="dxa"/>
            <w:vAlign w:val="bottom"/>
          </w:tcPr>
          <w:p>
            <w:pPr>
              <w:jc w:val="right"/>
              <w:ind w:right="9"/>
              <w:spacing w:after="0" w:line="122" w:lineRule="exact"/>
              <w:rPr>
                <w:sz w:val="20"/>
                <w:szCs w:val="20"/>
                <w:color w:val="auto"/>
              </w:rPr>
            </w:pPr>
            <w:r>
              <w:rPr>
                <w:rFonts w:ascii="Arial" w:cs="Arial" w:eastAsia="Arial" w:hAnsi="Arial"/>
                <w:sz w:val="11"/>
                <w:szCs w:val="11"/>
                <w:color w:val="54565B"/>
              </w:rPr>
              <w:t>(89.5)</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54565B"/>
              </w:rPr>
              <w:t>(22.8)</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54565B"/>
              </w:rPr>
              <w:t>(25.9)</w:t>
            </w:r>
          </w:p>
        </w:tc>
        <w:tc>
          <w:tcPr>
            <w:tcW w:w="580" w:type="dxa"/>
            <w:vAlign w:val="bottom"/>
          </w:tcPr>
          <w:p>
            <w:pPr>
              <w:jc w:val="right"/>
              <w:ind w:right="29"/>
              <w:spacing w:after="0" w:line="122" w:lineRule="exact"/>
              <w:rPr>
                <w:sz w:val="20"/>
                <w:szCs w:val="20"/>
                <w:color w:val="auto"/>
              </w:rPr>
            </w:pPr>
            <w:r>
              <w:rPr>
                <w:rFonts w:ascii="Arial" w:cs="Arial" w:eastAsia="Arial" w:hAnsi="Arial"/>
                <w:sz w:val="11"/>
                <w:szCs w:val="11"/>
                <w:color w:val="54565B"/>
              </w:rPr>
              <w:t>(25.9)</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54565B"/>
              </w:rPr>
              <w:t>(8.2)</w:t>
            </w:r>
          </w:p>
        </w:tc>
        <w:tc>
          <w:tcPr>
            <w:tcW w:w="580" w:type="dxa"/>
            <w:vAlign w:val="bottom"/>
          </w:tcPr>
          <w:p>
            <w:pPr>
              <w:jc w:val="right"/>
              <w:ind w:right="29"/>
              <w:spacing w:after="0" w:line="122" w:lineRule="exact"/>
              <w:rPr>
                <w:sz w:val="20"/>
                <w:szCs w:val="20"/>
                <w:color w:val="auto"/>
              </w:rPr>
            </w:pPr>
            <w:r>
              <w:rPr>
                <w:rFonts w:ascii="Arial" w:cs="Arial" w:eastAsia="Arial" w:hAnsi="Arial"/>
                <w:sz w:val="11"/>
                <w:szCs w:val="11"/>
                <w:color w:val="54565B"/>
              </w:rPr>
              <w:t>341.1</w:t>
            </w:r>
          </w:p>
        </w:tc>
        <w:tc>
          <w:tcPr>
            <w:tcW w:w="580" w:type="dxa"/>
            <w:vAlign w:val="bottom"/>
          </w:tcPr>
          <w:p>
            <w:pPr>
              <w:jc w:val="right"/>
              <w:ind w:right="69"/>
              <w:spacing w:after="0" w:line="122" w:lineRule="exact"/>
              <w:rPr>
                <w:sz w:val="20"/>
                <w:szCs w:val="20"/>
                <w:color w:val="auto"/>
              </w:rPr>
            </w:pPr>
            <w:r>
              <w:rPr>
                <w:rFonts w:ascii="Arial" w:cs="Arial" w:eastAsia="Arial" w:hAnsi="Arial"/>
                <w:sz w:val="11"/>
                <w:szCs w:val="11"/>
                <w:color w:val="54565B"/>
              </w:rPr>
              <w:t>341.1</w:t>
            </w:r>
          </w:p>
        </w:tc>
        <w:tc>
          <w:tcPr>
            <w:tcW w:w="500" w:type="dxa"/>
            <w:vAlign w:val="bottom"/>
          </w:tcPr>
          <w:p>
            <w:pPr>
              <w:ind w:left="160"/>
              <w:spacing w:after="0" w:line="122" w:lineRule="exact"/>
              <w:rPr>
                <w:sz w:val="20"/>
                <w:szCs w:val="20"/>
                <w:color w:val="auto"/>
              </w:rPr>
            </w:pPr>
            <w:r>
              <w:rPr>
                <w:rFonts w:ascii="Arial" w:cs="Arial" w:eastAsia="Arial" w:hAnsi="Arial"/>
                <w:sz w:val="11"/>
                <w:szCs w:val="11"/>
                <w:color w:val="54565B"/>
              </w:rPr>
              <w:t>110.9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940" w:type="dxa"/>
            <w:vAlign w:val="bottom"/>
          </w:tcPr>
          <w:p>
            <w:pPr>
              <w:ind w:left="80"/>
              <w:spacing w:after="0" w:line="122" w:lineRule="exact"/>
              <w:rPr>
                <w:sz w:val="20"/>
                <w:szCs w:val="20"/>
                <w:color w:val="auto"/>
              </w:rPr>
            </w:pPr>
            <w:r>
              <w:rPr>
                <w:rFonts w:ascii="Arial" w:cs="Arial" w:eastAsia="Arial" w:hAnsi="Arial"/>
                <w:sz w:val="11"/>
                <w:szCs w:val="11"/>
                <w:color w:val="54565B"/>
              </w:rPr>
              <w:t>Prior Years that</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940" w:type="dxa"/>
            <w:vAlign w:val="bottom"/>
          </w:tcPr>
          <w:p>
            <w:pPr>
              <w:ind w:left="80"/>
              <w:spacing w:after="0" w:line="122" w:lineRule="exact"/>
              <w:rPr>
                <w:sz w:val="20"/>
                <w:szCs w:val="20"/>
                <w:color w:val="auto"/>
              </w:rPr>
            </w:pPr>
            <w:r>
              <w:rPr>
                <w:rFonts w:ascii="Arial" w:cs="Arial" w:eastAsia="Arial" w:hAnsi="Arial"/>
                <w:sz w:val="11"/>
                <w:szCs w:val="11"/>
                <w:color w:val="54565B"/>
              </w:rPr>
              <w:t>Vested in</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940" w:type="dxa"/>
            <w:vAlign w:val="bottom"/>
          </w:tcPr>
          <w:p>
            <w:pPr>
              <w:ind w:left="80"/>
              <w:spacing w:after="0"/>
              <w:rPr>
                <w:sz w:val="20"/>
                <w:szCs w:val="20"/>
                <w:color w:val="auto"/>
              </w:rPr>
            </w:pPr>
            <w:r>
              <w:rPr>
                <w:rFonts w:ascii="Arial" w:cs="Arial" w:eastAsia="Arial" w:hAnsi="Arial"/>
                <w:sz w:val="11"/>
                <w:szCs w:val="11"/>
                <w:color w:val="54565B"/>
              </w:rPr>
              <w:t>Covered Year</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EAF7FA"/>
          </w:tcPr>
          <w:p>
            <w:pPr>
              <w:spacing w:after="0"/>
              <w:rPr>
                <w:sz w:val="14"/>
                <w:szCs w:val="14"/>
                <w:color w:val="auto"/>
              </w:rPr>
            </w:pPr>
          </w:p>
        </w:tc>
        <w:tc>
          <w:tcPr>
            <w:tcW w:w="940" w:type="dxa"/>
            <w:vAlign w:val="bottom"/>
            <w:shd w:val="clear" w:color="auto" w:fill="EAF7FA"/>
          </w:tcPr>
          <w:p>
            <w:pPr>
              <w:ind w:left="80"/>
              <w:spacing w:after="0"/>
              <w:rPr>
                <w:sz w:val="20"/>
                <w:szCs w:val="20"/>
                <w:color w:val="auto"/>
              </w:rPr>
            </w:pPr>
            <w:r>
              <w:rPr>
                <w:rFonts w:ascii="Arial" w:cs="Arial" w:eastAsia="Arial" w:hAnsi="Arial"/>
                <w:sz w:val="11"/>
                <w:szCs w:val="11"/>
                <w:color w:val="54565B"/>
              </w:rPr>
              <w:t>Dividends Paid</w:t>
            </w:r>
          </w:p>
        </w:tc>
        <w:tc>
          <w:tcPr>
            <w:tcW w:w="140" w:type="dxa"/>
            <w:vAlign w:val="bottom"/>
            <w:shd w:val="clear" w:color="auto" w:fill="EAF7FA"/>
          </w:tcPr>
          <w:p>
            <w:pPr>
              <w:spacing w:after="0"/>
              <w:rPr>
                <w:sz w:val="14"/>
                <w:szCs w:val="14"/>
                <w:color w:val="auto"/>
              </w:rPr>
            </w:pPr>
          </w:p>
        </w:tc>
        <w:tc>
          <w:tcPr>
            <w:tcW w:w="260" w:type="dxa"/>
            <w:vAlign w:val="bottom"/>
            <w:shd w:val="clear" w:color="auto" w:fill="EAF7FA"/>
          </w:tcPr>
          <w:p>
            <w:pPr>
              <w:spacing w:after="0"/>
              <w:rPr>
                <w:sz w:val="14"/>
                <w:szCs w:val="14"/>
                <w:color w:val="auto"/>
              </w:rPr>
            </w:pPr>
          </w:p>
        </w:tc>
        <w:tc>
          <w:tcPr>
            <w:tcW w:w="180" w:type="dxa"/>
            <w:vAlign w:val="bottom"/>
            <w:shd w:val="clear" w:color="auto" w:fill="EAF7FA"/>
          </w:tcPr>
          <w:p>
            <w:pPr>
              <w:spacing w:after="0"/>
              <w:rPr>
                <w:sz w:val="14"/>
                <w:szCs w:val="14"/>
                <w:color w:val="auto"/>
              </w:rPr>
            </w:pPr>
          </w:p>
        </w:tc>
        <w:tc>
          <w:tcPr>
            <w:tcW w:w="580" w:type="dxa"/>
            <w:vAlign w:val="bottom"/>
            <w:shd w:val="clear" w:color="auto" w:fill="EAF7FA"/>
          </w:tcPr>
          <w:p>
            <w:pPr>
              <w:spacing w:after="0"/>
              <w:rPr>
                <w:sz w:val="14"/>
                <w:szCs w:val="14"/>
                <w:color w:val="auto"/>
              </w:rPr>
            </w:pPr>
          </w:p>
        </w:tc>
        <w:tc>
          <w:tcPr>
            <w:tcW w:w="500" w:type="dxa"/>
            <w:vAlign w:val="bottom"/>
            <w:shd w:val="clear" w:color="auto" w:fill="EAF7FA"/>
          </w:tcPr>
          <w:p>
            <w:pPr>
              <w:spacing w:after="0"/>
              <w:rPr>
                <w:sz w:val="14"/>
                <w:szCs w:val="14"/>
                <w:color w:val="auto"/>
              </w:rPr>
            </w:pPr>
          </w:p>
        </w:tc>
        <w:tc>
          <w:tcPr>
            <w:tcW w:w="580" w:type="dxa"/>
            <w:vAlign w:val="bottom"/>
            <w:shd w:val="clear" w:color="auto" w:fill="EAF7FA"/>
          </w:tcPr>
          <w:p>
            <w:pPr>
              <w:spacing w:after="0"/>
              <w:rPr>
                <w:sz w:val="14"/>
                <w:szCs w:val="14"/>
                <w:color w:val="auto"/>
              </w:rPr>
            </w:pPr>
          </w:p>
        </w:tc>
        <w:tc>
          <w:tcPr>
            <w:tcW w:w="560" w:type="dxa"/>
            <w:vAlign w:val="bottom"/>
            <w:shd w:val="clear" w:color="auto" w:fill="EAF7FA"/>
          </w:tcPr>
          <w:p>
            <w:pPr>
              <w:spacing w:after="0"/>
              <w:rPr>
                <w:sz w:val="14"/>
                <w:szCs w:val="14"/>
                <w:color w:val="auto"/>
              </w:rPr>
            </w:pPr>
          </w:p>
        </w:tc>
        <w:tc>
          <w:tcPr>
            <w:tcW w:w="520" w:type="dxa"/>
            <w:vAlign w:val="bottom"/>
            <w:shd w:val="clear" w:color="auto" w:fill="EAF7FA"/>
          </w:tcPr>
          <w:p>
            <w:pPr>
              <w:spacing w:after="0"/>
              <w:rPr>
                <w:sz w:val="14"/>
                <w:szCs w:val="14"/>
                <w:color w:val="auto"/>
              </w:rPr>
            </w:pPr>
          </w:p>
        </w:tc>
        <w:tc>
          <w:tcPr>
            <w:tcW w:w="600" w:type="dxa"/>
            <w:vAlign w:val="bottom"/>
            <w:shd w:val="clear" w:color="auto" w:fill="EAF7FA"/>
          </w:tcPr>
          <w:p>
            <w:pPr>
              <w:spacing w:after="0"/>
              <w:rPr>
                <w:sz w:val="14"/>
                <w:szCs w:val="14"/>
                <w:color w:val="auto"/>
              </w:rPr>
            </w:pPr>
          </w:p>
        </w:tc>
        <w:tc>
          <w:tcPr>
            <w:tcW w:w="560" w:type="dxa"/>
            <w:vAlign w:val="bottom"/>
            <w:shd w:val="clear" w:color="auto" w:fill="EAF7FA"/>
          </w:tcPr>
          <w:p>
            <w:pPr>
              <w:spacing w:after="0"/>
              <w:rPr>
                <w:sz w:val="14"/>
                <w:szCs w:val="14"/>
                <w:color w:val="auto"/>
              </w:rPr>
            </w:pPr>
          </w:p>
        </w:tc>
        <w:tc>
          <w:tcPr>
            <w:tcW w:w="500" w:type="dxa"/>
            <w:vAlign w:val="bottom"/>
            <w:shd w:val="clear" w:color="auto" w:fill="EAF7FA"/>
          </w:tcPr>
          <w:p>
            <w:pPr>
              <w:spacing w:after="0"/>
              <w:rPr>
                <w:sz w:val="14"/>
                <w:szCs w:val="14"/>
                <w:color w:val="auto"/>
              </w:rPr>
            </w:pPr>
          </w:p>
        </w:tc>
        <w:tc>
          <w:tcPr>
            <w:tcW w:w="580" w:type="dxa"/>
            <w:vAlign w:val="bottom"/>
            <w:shd w:val="clear" w:color="auto" w:fill="EAF7FA"/>
          </w:tcPr>
          <w:p>
            <w:pPr>
              <w:spacing w:after="0"/>
              <w:rPr>
                <w:sz w:val="14"/>
                <w:szCs w:val="14"/>
                <w:color w:val="auto"/>
              </w:rPr>
            </w:pPr>
          </w:p>
        </w:tc>
        <w:tc>
          <w:tcPr>
            <w:tcW w:w="580" w:type="dxa"/>
            <w:vAlign w:val="bottom"/>
            <w:shd w:val="clear" w:color="auto" w:fill="EAF7FA"/>
          </w:tcPr>
          <w:p>
            <w:pPr>
              <w:spacing w:after="0"/>
              <w:rPr>
                <w:sz w:val="14"/>
                <w:szCs w:val="14"/>
                <w:color w:val="auto"/>
              </w:rPr>
            </w:pPr>
          </w:p>
        </w:tc>
        <w:tc>
          <w:tcPr>
            <w:tcW w:w="500" w:type="dxa"/>
            <w:vAlign w:val="bottom"/>
            <w:shd w:val="clear" w:color="auto" w:fill="EAF7FA"/>
          </w:tcPr>
          <w:p>
            <w:pPr>
              <w:spacing w:after="0"/>
              <w:rPr>
                <w:sz w:val="14"/>
                <w:szCs w:val="14"/>
                <w:color w:val="auto"/>
              </w:rPr>
            </w:pPr>
          </w:p>
        </w:tc>
        <w:tc>
          <w:tcPr>
            <w:tcW w:w="580" w:type="dxa"/>
            <w:vAlign w:val="bottom"/>
            <w:shd w:val="clear" w:color="auto" w:fill="EAF7FA"/>
          </w:tcPr>
          <w:p>
            <w:pPr>
              <w:spacing w:after="0"/>
              <w:rPr>
                <w:sz w:val="14"/>
                <w:szCs w:val="14"/>
                <w:color w:val="auto"/>
              </w:rPr>
            </w:pPr>
          </w:p>
        </w:tc>
        <w:tc>
          <w:tcPr>
            <w:tcW w:w="580" w:type="dxa"/>
            <w:vAlign w:val="bottom"/>
            <w:shd w:val="clear" w:color="auto" w:fill="EAF7FA"/>
          </w:tcPr>
          <w:p>
            <w:pPr>
              <w:spacing w:after="0"/>
              <w:rPr>
                <w:sz w:val="14"/>
                <w:szCs w:val="14"/>
                <w:color w:val="auto"/>
              </w:rPr>
            </w:pPr>
          </w:p>
        </w:tc>
        <w:tc>
          <w:tcPr>
            <w:tcW w:w="500" w:type="dxa"/>
            <w:vAlign w:val="bottom"/>
            <w:shd w:val="clear" w:color="auto" w:fill="EAF7FA"/>
          </w:tcPr>
          <w:p>
            <w:pPr>
              <w:spacing w:after="0"/>
              <w:rPr>
                <w:sz w:val="14"/>
                <w:szCs w:val="14"/>
                <w:color w:val="auto"/>
              </w:rPr>
            </w:pPr>
          </w:p>
        </w:tc>
        <w:tc>
          <w:tcPr>
            <w:tcW w:w="100" w:type="dxa"/>
            <w:vAlign w:val="bottom"/>
            <w:shd w:val="clear" w:color="auto" w:fill="EAF7FA"/>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60" w:type="dxa"/>
            <w:vAlign w:val="bottom"/>
            <w:shd w:val="clear" w:color="auto" w:fill="EAF7FA"/>
          </w:tcPr>
          <w:p>
            <w:pPr>
              <w:spacing w:after="0"/>
              <w:rPr>
                <w:sz w:val="10"/>
                <w:szCs w:val="10"/>
                <w:color w:val="auto"/>
              </w:rPr>
            </w:pPr>
          </w:p>
        </w:tc>
        <w:tc>
          <w:tcPr>
            <w:tcW w:w="940" w:type="dxa"/>
            <w:vAlign w:val="bottom"/>
            <w:shd w:val="clear" w:color="auto" w:fill="EAF7FA"/>
          </w:tcPr>
          <w:p>
            <w:pPr>
              <w:ind w:left="80"/>
              <w:spacing w:after="0" w:line="122" w:lineRule="exact"/>
              <w:rPr>
                <w:sz w:val="20"/>
                <w:szCs w:val="20"/>
                <w:color w:val="auto"/>
              </w:rPr>
            </w:pPr>
            <w:r>
              <w:rPr>
                <w:rFonts w:ascii="Arial" w:cs="Arial" w:eastAsia="Arial" w:hAnsi="Arial"/>
                <w:sz w:val="11"/>
                <w:szCs w:val="11"/>
                <w:color w:val="54565B"/>
              </w:rPr>
              <w:t>during Covered</w:t>
            </w:r>
          </w:p>
        </w:tc>
        <w:tc>
          <w:tcPr>
            <w:tcW w:w="140" w:type="dxa"/>
            <w:vAlign w:val="bottom"/>
            <w:shd w:val="clear" w:color="auto" w:fill="EAF7FA"/>
          </w:tcPr>
          <w:p>
            <w:pPr>
              <w:spacing w:after="0"/>
              <w:rPr>
                <w:sz w:val="10"/>
                <w:szCs w:val="10"/>
                <w:color w:val="auto"/>
              </w:rPr>
            </w:pPr>
          </w:p>
        </w:tc>
        <w:tc>
          <w:tcPr>
            <w:tcW w:w="260" w:type="dxa"/>
            <w:vAlign w:val="bottom"/>
            <w:shd w:val="clear" w:color="auto" w:fill="EAF7FA"/>
          </w:tcPr>
          <w:p>
            <w:pPr>
              <w:spacing w:after="0"/>
              <w:rPr>
                <w:sz w:val="10"/>
                <w:szCs w:val="10"/>
                <w:color w:val="auto"/>
              </w:rPr>
            </w:pPr>
          </w:p>
        </w:tc>
        <w:tc>
          <w:tcPr>
            <w:tcW w:w="1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60" w:type="dxa"/>
            <w:vAlign w:val="bottom"/>
            <w:shd w:val="clear" w:color="auto" w:fill="EAF7FA"/>
          </w:tcPr>
          <w:p>
            <w:pPr>
              <w:spacing w:after="0"/>
              <w:rPr>
                <w:sz w:val="10"/>
                <w:szCs w:val="10"/>
                <w:color w:val="auto"/>
              </w:rPr>
            </w:pPr>
          </w:p>
        </w:tc>
        <w:tc>
          <w:tcPr>
            <w:tcW w:w="520" w:type="dxa"/>
            <w:vAlign w:val="bottom"/>
            <w:shd w:val="clear" w:color="auto" w:fill="EAF7FA"/>
          </w:tcPr>
          <w:p>
            <w:pPr>
              <w:spacing w:after="0"/>
              <w:rPr>
                <w:sz w:val="10"/>
                <w:szCs w:val="10"/>
                <w:color w:val="auto"/>
              </w:rPr>
            </w:pPr>
          </w:p>
        </w:tc>
        <w:tc>
          <w:tcPr>
            <w:tcW w:w="600" w:type="dxa"/>
            <w:vAlign w:val="bottom"/>
            <w:shd w:val="clear" w:color="auto" w:fill="EAF7FA"/>
          </w:tcPr>
          <w:p>
            <w:pPr>
              <w:spacing w:after="0"/>
              <w:rPr>
                <w:sz w:val="10"/>
                <w:szCs w:val="10"/>
                <w:color w:val="auto"/>
              </w:rPr>
            </w:pPr>
          </w:p>
        </w:tc>
        <w:tc>
          <w:tcPr>
            <w:tcW w:w="56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100" w:type="dxa"/>
            <w:vAlign w:val="bottom"/>
            <w:shd w:val="clear" w:color="auto" w:fill="EAF7FA"/>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0" w:type="dxa"/>
            <w:vAlign w:val="bottom"/>
            <w:shd w:val="clear" w:color="auto" w:fill="EAF7FA"/>
          </w:tcPr>
          <w:p>
            <w:pPr>
              <w:spacing w:after="0"/>
              <w:rPr>
                <w:sz w:val="10"/>
                <w:szCs w:val="10"/>
                <w:color w:val="auto"/>
              </w:rPr>
            </w:pPr>
          </w:p>
        </w:tc>
        <w:tc>
          <w:tcPr>
            <w:tcW w:w="940" w:type="dxa"/>
            <w:vAlign w:val="bottom"/>
            <w:shd w:val="clear" w:color="auto" w:fill="EAF7FA"/>
          </w:tcPr>
          <w:p>
            <w:pPr>
              <w:ind w:left="80"/>
              <w:spacing w:after="0" w:line="122" w:lineRule="exact"/>
              <w:rPr>
                <w:sz w:val="20"/>
                <w:szCs w:val="20"/>
                <w:color w:val="auto"/>
              </w:rPr>
            </w:pPr>
            <w:r>
              <w:rPr>
                <w:rFonts w:ascii="Arial" w:cs="Arial" w:eastAsia="Arial" w:hAnsi="Arial"/>
                <w:sz w:val="11"/>
                <w:szCs w:val="11"/>
                <w:color w:val="54565B"/>
              </w:rPr>
              <w:t>Year on</w:t>
            </w:r>
          </w:p>
        </w:tc>
        <w:tc>
          <w:tcPr>
            <w:tcW w:w="140" w:type="dxa"/>
            <w:vAlign w:val="bottom"/>
            <w:shd w:val="clear" w:color="auto" w:fill="EAF7FA"/>
          </w:tcPr>
          <w:p>
            <w:pPr>
              <w:ind w:left="80"/>
              <w:spacing w:after="0" w:line="122" w:lineRule="exact"/>
              <w:rPr>
                <w:sz w:val="20"/>
                <w:szCs w:val="20"/>
                <w:color w:val="auto"/>
              </w:rPr>
            </w:pPr>
            <w:r>
              <w:rPr>
                <w:rFonts w:ascii="Arial" w:cs="Arial" w:eastAsia="Arial" w:hAnsi="Arial"/>
                <w:sz w:val="11"/>
                <w:szCs w:val="11"/>
                <w:color w:val="54565B"/>
              </w:rPr>
              <w:t>​</w:t>
            </w:r>
          </w:p>
        </w:tc>
        <w:tc>
          <w:tcPr>
            <w:tcW w:w="440" w:type="dxa"/>
            <w:vAlign w:val="bottom"/>
            <w:gridSpan w:val="2"/>
            <w:shd w:val="clear" w:color="auto" w:fill="EAF7FA"/>
          </w:tcPr>
          <w:p>
            <w:pPr>
              <w:jc w:val="right"/>
              <w:ind w:right="31"/>
              <w:spacing w:after="0" w:line="122" w:lineRule="exact"/>
              <w:rPr>
                <w:sz w:val="20"/>
                <w:szCs w:val="20"/>
                <w:color w:val="auto"/>
              </w:rPr>
            </w:pPr>
            <w:r>
              <w:rPr>
                <w:rFonts w:ascii="Arial" w:cs="Arial" w:eastAsia="Arial" w:hAnsi="Arial"/>
                <w:sz w:val="11"/>
                <w:szCs w:val="11"/>
                <w:color w:val="54565B"/>
              </w:rPr>
              <w:t>341.2</w:t>
            </w:r>
          </w:p>
        </w:tc>
        <w:tc>
          <w:tcPr>
            <w:tcW w:w="580" w:type="dxa"/>
            <w:vAlign w:val="bottom"/>
            <w:shd w:val="clear" w:color="auto" w:fill="EAF7FA"/>
          </w:tcPr>
          <w:p>
            <w:pPr>
              <w:jc w:val="right"/>
              <w:ind w:right="69"/>
              <w:spacing w:after="0" w:line="122" w:lineRule="exact"/>
              <w:rPr>
                <w:sz w:val="20"/>
                <w:szCs w:val="20"/>
                <w:color w:val="auto"/>
              </w:rPr>
            </w:pPr>
            <w:r>
              <w:rPr>
                <w:rFonts w:ascii="Arial" w:cs="Arial" w:eastAsia="Arial" w:hAnsi="Arial"/>
                <w:sz w:val="11"/>
                <w:szCs w:val="11"/>
                <w:color w:val="54565B"/>
              </w:rPr>
              <w:t>341.2</w:t>
            </w:r>
          </w:p>
        </w:tc>
        <w:tc>
          <w:tcPr>
            <w:tcW w:w="500" w:type="dxa"/>
            <w:vAlign w:val="bottom"/>
            <w:shd w:val="clear" w:color="auto" w:fill="EAF7FA"/>
          </w:tcPr>
          <w:p>
            <w:pPr>
              <w:jc w:val="right"/>
              <w:ind w:right="9"/>
              <w:spacing w:after="0" w:line="122" w:lineRule="exact"/>
              <w:rPr>
                <w:sz w:val="20"/>
                <w:szCs w:val="20"/>
                <w:color w:val="auto"/>
              </w:rPr>
            </w:pPr>
            <w:r>
              <w:rPr>
                <w:rFonts w:ascii="Arial" w:cs="Arial" w:eastAsia="Arial" w:hAnsi="Arial"/>
                <w:sz w:val="11"/>
                <w:szCs w:val="11"/>
                <w:color w:val="54565B"/>
              </w:rPr>
              <w:t>162.5</w:t>
            </w:r>
          </w:p>
        </w:tc>
        <w:tc>
          <w:tcPr>
            <w:tcW w:w="580" w:type="dxa"/>
            <w:vAlign w:val="bottom"/>
            <w:shd w:val="clear" w:color="auto" w:fill="EAF7FA"/>
          </w:tcPr>
          <w:p>
            <w:pPr>
              <w:jc w:val="right"/>
              <w:ind w:right="29"/>
              <w:spacing w:after="0" w:line="122" w:lineRule="exact"/>
              <w:rPr>
                <w:sz w:val="20"/>
                <w:szCs w:val="20"/>
                <w:color w:val="auto"/>
              </w:rPr>
            </w:pPr>
            <w:r>
              <w:rPr>
                <w:rFonts w:ascii="Arial" w:cs="Arial" w:eastAsia="Arial" w:hAnsi="Arial"/>
                <w:sz w:val="11"/>
                <w:szCs w:val="11"/>
                <w:color w:val="54565B"/>
              </w:rPr>
              <w:t>​  460.0</w:t>
            </w:r>
          </w:p>
        </w:tc>
        <w:tc>
          <w:tcPr>
            <w:tcW w:w="560" w:type="dxa"/>
            <w:vAlign w:val="bottom"/>
            <w:shd w:val="clear" w:color="auto" w:fill="EAF7FA"/>
          </w:tcPr>
          <w:p>
            <w:pPr>
              <w:jc w:val="right"/>
              <w:ind w:right="49"/>
              <w:spacing w:after="0" w:line="122" w:lineRule="exact"/>
              <w:rPr>
                <w:sz w:val="20"/>
                <w:szCs w:val="20"/>
                <w:color w:val="auto"/>
              </w:rPr>
            </w:pPr>
            <w:r>
              <w:rPr>
                <w:rFonts w:ascii="Arial" w:cs="Arial" w:eastAsia="Arial" w:hAnsi="Arial"/>
                <w:sz w:val="11"/>
                <w:szCs w:val="11"/>
                <w:color w:val="54565B"/>
              </w:rPr>
              <w:t>​  460.0</w:t>
            </w:r>
          </w:p>
        </w:tc>
        <w:tc>
          <w:tcPr>
            <w:tcW w:w="520" w:type="dxa"/>
            <w:vAlign w:val="bottom"/>
            <w:shd w:val="clear" w:color="auto" w:fill="EAF7FA"/>
          </w:tcPr>
          <w:p>
            <w:pPr>
              <w:jc w:val="right"/>
              <w:ind w:right="9"/>
              <w:spacing w:after="0" w:line="122" w:lineRule="exact"/>
              <w:rPr>
                <w:sz w:val="20"/>
                <w:szCs w:val="20"/>
                <w:color w:val="auto"/>
              </w:rPr>
            </w:pPr>
            <w:r>
              <w:rPr>
                <w:rFonts w:ascii="Arial" w:cs="Arial" w:eastAsia="Arial" w:hAnsi="Arial"/>
                <w:sz w:val="11"/>
                <w:szCs w:val="11"/>
                <w:color w:val="54565B"/>
              </w:rPr>
              <w:t>195.9</w:t>
            </w:r>
          </w:p>
        </w:tc>
        <w:tc>
          <w:tcPr>
            <w:tcW w:w="600" w:type="dxa"/>
            <w:vAlign w:val="bottom"/>
            <w:shd w:val="clear" w:color="auto" w:fill="EAF7FA"/>
          </w:tcPr>
          <w:p>
            <w:pPr>
              <w:jc w:val="right"/>
              <w:ind w:right="69"/>
              <w:spacing w:after="0" w:line="122" w:lineRule="exact"/>
              <w:rPr>
                <w:sz w:val="20"/>
                <w:szCs w:val="20"/>
                <w:color w:val="auto"/>
              </w:rPr>
            </w:pPr>
            <w:r>
              <w:rPr>
                <w:rFonts w:ascii="Arial" w:cs="Arial" w:eastAsia="Arial" w:hAnsi="Arial"/>
                <w:sz w:val="11"/>
                <w:szCs w:val="11"/>
                <w:color w:val="54565B"/>
              </w:rPr>
              <w:t>425.9</w:t>
            </w:r>
          </w:p>
        </w:tc>
        <w:tc>
          <w:tcPr>
            <w:tcW w:w="560" w:type="dxa"/>
            <w:vAlign w:val="bottom"/>
            <w:shd w:val="clear" w:color="auto" w:fill="EAF7FA"/>
          </w:tcPr>
          <w:p>
            <w:pPr>
              <w:jc w:val="right"/>
              <w:ind w:right="69"/>
              <w:spacing w:after="0" w:line="122" w:lineRule="exact"/>
              <w:rPr>
                <w:sz w:val="20"/>
                <w:szCs w:val="20"/>
                <w:color w:val="auto"/>
              </w:rPr>
            </w:pPr>
            <w:r>
              <w:rPr>
                <w:rFonts w:ascii="Arial" w:cs="Arial" w:eastAsia="Arial" w:hAnsi="Arial"/>
                <w:sz w:val="11"/>
                <w:szCs w:val="11"/>
                <w:color w:val="54565B"/>
              </w:rPr>
              <w:t>425.9</w:t>
            </w:r>
          </w:p>
        </w:tc>
        <w:tc>
          <w:tcPr>
            <w:tcW w:w="500" w:type="dxa"/>
            <w:vAlign w:val="bottom"/>
            <w:shd w:val="clear" w:color="auto" w:fill="EAF7FA"/>
          </w:tcPr>
          <w:p>
            <w:pPr>
              <w:jc w:val="right"/>
              <w:ind w:right="9"/>
              <w:spacing w:after="0" w:line="122" w:lineRule="exact"/>
              <w:rPr>
                <w:sz w:val="20"/>
                <w:szCs w:val="20"/>
                <w:color w:val="auto"/>
              </w:rPr>
            </w:pPr>
            <w:r>
              <w:rPr>
                <w:rFonts w:ascii="Arial" w:cs="Arial" w:eastAsia="Arial" w:hAnsi="Arial"/>
                <w:sz w:val="11"/>
                <w:szCs w:val="11"/>
                <w:color w:val="54565B"/>
              </w:rPr>
              <w:t>137.4</w:t>
            </w:r>
          </w:p>
        </w:tc>
        <w:tc>
          <w:tcPr>
            <w:tcW w:w="580" w:type="dxa"/>
            <w:vAlign w:val="bottom"/>
            <w:shd w:val="clear" w:color="auto" w:fill="EAF7FA"/>
          </w:tcPr>
          <w:p>
            <w:pPr>
              <w:jc w:val="right"/>
              <w:ind w:right="29"/>
              <w:spacing w:after="0" w:line="122" w:lineRule="exact"/>
              <w:rPr>
                <w:sz w:val="20"/>
                <w:szCs w:val="20"/>
                <w:color w:val="auto"/>
              </w:rPr>
            </w:pPr>
            <w:r>
              <w:rPr>
                <w:rFonts w:ascii="Arial" w:cs="Arial" w:eastAsia="Arial" w:hAnsi="Arial"/>
                <w:sz w:val="11"/>
                <w:szCs w:val="11"/>
                <w:color w:val="54565B"/>
              </w:rPr>
              <w:t>776.7</w:t>
            </w:r>
          </w:p>
        </w:tc>
        <w:tc>
          <w:tcPr>
            <w:tcW w:w="580" w:type="dxa"/>
            <w:vAlign w:val="bottom"/>
            <w:shd w:val="clear" w:color="auto" w:fill="EAF7FA"/>
          </w:tcPr>
          <w:p>
            <w:pPr>
              <w:jc w:val="right"/>
              <w:ind w:right="69"/>
              <w:spacing w:after="0" w:line="122" w:lineRule="exact"/>
              <w:rPr>
                <w:sz w:val="20"/>
                <w:szCs w:val="20"/>
                <w:color w:val="auto"/>
              </w:rPr>
            </w:pPr>
            <w:r>
              <w:rPr>
                <w:rFonts w:ascii="Arial" w:cs="Arial" w:eastAsia="Arial" w:hAnsi="Arial"/>
                <w:sz w:val="11"/>
                <w:szCs w:val="11"/>
                <w:color w:val="54565B"/>
              </w:rPr>
              <w:t>776.7</w:t>
            </w:r>
          </w:p>
        </w:tc>
        <w:tc>
          <w:tcPr>
            <w:tcW w:w="500" w:type="dxa"/>
            <w:vAlign w:val="bottom"/>
            <w:shd w:val="clear" w:color="auto" w:fill="EAF7FA"/>
          </w:tcPr>
          <w:p>
            <w:pPr>
              <w:jc w:val="right"/>
              <w:ind w:right="9"/>
              <w:spacing w:after="0" w:line="122" w:lineRule="exact"/>
              <w:rPr>
                <w:sz w:val="20"/>
                <w:szCs w:val="20"/>
                <w:color w:val="auto"/>
              </w:rPr>
            </w:pPr>
            <w:r>
              <w:rPr>
                <w:rFonts w:ascii="Arial" w:cs="Arial" w:eastAsia="Arial" w:hAnsi="Arial"/>
                <w:sz w:val="11"/>
                <w:szCs w:val="11"/>
                <w:color w:val="54565B"/>
              </w:rPr>
              <w:t>273.0</w:t>
            </w:r>
          </w:p>
        </w:tc>
        <w:tc>
          <w:tcPr>
            <w:tcW w:w="580" w:type="dxa"/>
            <w:vAlign w:val="bottom"/>
            <w:shd w:val="clear" w:color="auto" w:fill="EAF7FA"/>
          </w:tcPr>
          <w:p>
            <w:pPr>
              <w:jc w:val="right"/>
              <w:ind w:right="29"/>
              <w:spacing w:after="0" w:line="122" w:lineRule="exact"/>
              <w:rPr>
                <w:sz w:val="20"/>
                <w:szCs w:val="20"/>
                <w:color w:val="auto"/>
              </w:rPr>
            </w:pPr>
            <w:r>
              <w:rPr>
                <w:rFonts w:ascii="Arial" w:cs="Arial" w:eastAsia="Arial" w:hAnsi="Arial"/>
                <w:sz w:val="11"/>
                <w:szCs w:val="11"/>
                <w:color w:val="54565B"/>
              </w:rPr>
              <w:t>​ 1,580.8</w:t>
            </w:r>
          </w:p>
        </w:tc>
        <w:tc>
          <w:tcPr>
            <w:tcW w:w="580" w:type="dxa"/>
            <w:vAlign w:val="bottom"/>
            <w:shd w:val="clear" w:color="auto" w:fill="EAF7FA"/>
          </w:tcPr>
          <w:p>
            <w:pPr>
              <w:jc w:val="right"/>
              <w:ind w:right="69"/>
              <w:spacing w:after="0" w:line="122" w:lineRule="exact"/>
              <w:rPr>
                <w:sz w:val="20"/>
                <w:szCs w:val="20"/>
                <w:color w:val="auto"/>
              </w:rPr>
            </w:pPr>
            <w:r>
              <w:rPr>
                <w:rFonts w:ascii="Arial" w:cs="Arial" w:eastAsia="Arial" w:hAnsi="Arial"/>
                <w:sz w:val="11"/>
                <w:szCs w:val="11"/>
                <w:color w:val="54565B"/>
              </w:rPr>
              <w:t>​ 1,580.8</w:t>
            </w:r>
          </w:p>
        </w:tc>
        <w:tc>
          <w:tcPr>
            <w:tcW w:w="500" w:type="dxa"/>
            <w:vAlign w:val="bottom"/>
            <w:shd w:val="clear" w:color="auto" w:fill="EAF7FA"/>
          </w:tcPr>
          <w:p>
            <w:pPr>
              <w:ind w:left="160"/>
              <w:spacing w:after="0" w:line="122" w:lineRule="exact"/>
              <w:rPr>
                <w:sz w:val="20"/>
                <w:szCs w:val="20"/>
                <w:color w:val="auto"/>
              </w:rPr>
            </w:pPr>
            <w:r>
              <w:rPr>
                <w:rFonts w:ascii="Arial" w:cs="Arial" w:eastAsia="Arial" w:hAnsi="Arial"/>
                <w:sz w:val="11"/>
                <w:szCs w:val="11"/>
                <w:color w:val="54565B"/>
              </w:rPr>
              <w:t>541.6</w:t>
            </w:r>
          </w:p>
        </w:tc>
        <w:tc>
          <w:tcPr>
            <w:tcW w:w="100" w:type="dxa"/>
            <w:vAlign w:val="bottom"/>
            <w:shd w:val="clear" w:color="auto" w:fill="EAF7FA"/>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shd w:val="clear" w:color="auto" w:fill="EAF7FA"/>
          </w:tcPr>
          <w:p>
            <w:pPr>
              <w:spacing w:after="0"/>
              <w:rPr>
                <w:sz w:val="10"/>
                <w:szCs w:val="10"/>
                <w:color w:val="auto"/>
              </w:rPr>
            </w:pPr>
          </w:p>
        </w:tc>
        <w:tc>
          <w:tcPr>
            <w:tcW w:w="940" w:type="dxa"/>
            <w:vAlign w:val="bottom"/>
            <w:shd w:val="clear" w:color="auto" w:fill="EAF7FA"/>
          </w:tcPr>
          <w:p>
            <w:pPr>
              <w:ind w:left="80"/>
              <w:spacing w:after="0" w:line="122" w:lineRule="exact"/>
              <w:rPr>
                <w:sz w:val="20"/>
                <w:szCs w:val="20"/>
                <w:color w:val="auto"/>
              </w:rPr>
            </w:pPr>
            <w:r>
              <w:rPr>
                <w:rFonts w:ascii="Arial" w:cs="Arial" w:eastAsia="Arial" w:hAnsi="Arial"/>
                <w:sz w:val="11"/>
                <w:szCs w:val="11"/>
                <w:color w:val="54565B"/>
              </w:rPr>
              <w:t>Unvested Stock</w:t>
            </w:r>
          </w:p>
        </w:tc>
        <w:tc>
          <w:tcPr>
            <w:tcW w:w="140" w:type="dxa"/>
            <w:vAlign w:val="bottom"/>
            <w:shd w:val="clear" w:color="auto" w:fill="EAF7FA"/>
          </w:tcPr>
          <w:p>
            <w:pPr>
              <w:spacing w:after="0"/>
              <w:rPr>
                <w:sz w:val="10"/>
                <w:szCs w:val="10"/>
                <w:color w:val="auto"/>
              </w:rPr>
            </w:pPr>
          </w:p>
        </w:tc>
        <w:tc>
          <w:tcPr>
            <w:tcW w:w="260" w:type="dxa"/>
            <w:vAlign w:val="bottom"/>
            <w:shd w:val="clear" w:color="auto" w:fill="EAF7FA"/>
          </w:tcPr>
          <w:p>
            <w:pPr>
              <w:spacing w:after="0"/>
              <w:rPr>
                <w:sz w:val="10"/>
                <w:szCs w:val="10"/>
                <w:color w:val="auto"/>
              </w:rPr>
            </w:pPr>
          </w:p>
        </w:tc>
        <w:tc>
          <w:tcPr>
            <w:tcW w:w="1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60" w:type="dxa"/>
            <w:vAlign w:val="bottom"/>
            <w:shd w:val="clear" w:color="auto" w:fill="EAF7FA"/>
          </w:tcPr>
          <w:p>
            <w:pPr>
              <w:spacing w:after="0"/>
              <w:rPr>
                <w:sz w:val="10"/>
                <w:szCs w:val="10"/>
                <w:color w:val="auto"/>
              </w:rPr>
            </w:pPr>
          </w:p>
        </w:tc>
        <w:tc>
          <w:tcPr>
            <w:tcW w:w="520" w:type="dxa"/>
            <w:vAlign w:val="bottom"/>
            <w:shd w:val="clear" w:color="auto" w:fill="EAF7FA"/>
          </w:tcPr>
          <w:p>
            <w:pPr>
              <w:spacing w:after="0"/>
              <w:rPr>
                <w:sz w:val="10"/>
                <w:szCs w:val="10"/>
                <w:color w:val="auto"/>
              </w:rPr>
            </w:pPr>
          </w:p>
        </w:tc>
        <w:tc>
          <w:tcPr>
            <w:tcW w:w="600" w:type="dxa"/>
            <w:vAlign w:val="bottom"/>
            <w:shd w:val="clear" w:color="auto" w:fill="EAF7FA"/>
          </w:tcPr>
          <w:p>
            <w:pPr>
              <w:spacing w:after="0"/>
              <w:rPr>
                <w:sz w:val="10"/>
                <w:szCs w:val="10"/>
                <w:color w:val="auto"/>
              </w:rPr>
            </w:pPr>
          </w:p>
        </w:tc>
        <w:tc>
          <w:tcPr>
            <w:tcW w:w="56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80" w:type="dxa"/>
            <w:vAlign w:val="bottom"/>
            <w:shd w:val="clear" w:color="auto" w:fill="EAF7FA"/>
          </w:tcPr>
          <w:p>
            <w:pPr>
              <w:spacing w:after="0"/>
              <w:rPr>
                <w:sz w:val="10"/>
                <w:szCs w:val="10"/>
                <w:color w:val="auto"/>
              </w:rPr>
            </w:pPr>
          </w:p>
        </w:tc>
        <w:tc>
          <w:tcPr>
            <w:tcW w:w="500" w:type="dxa"/>
            <w:vAlign w:val="bottom"/>
            <w:shd w:val="clear" w:color="auto" w:fill="EAF7FA"/>
          </w:tcPr>
          <w:p>
            <w:pPr>
              <w:spacing w:after="0"/>
              <w:rPr>
                <w:sz w:val="10"/>
                <w:szCs w:val="10"/>
                <w:color w:val="auto"/>
              </w:rPr>
            </w:pPr>
          </w:p>
        </w:tc>
        <w:tc>
          <w:tcPr>
            <w:tcW w:w="100" w:type="dxa"/>
            <w:vAlign w:val="bottom"/>
            <w:shd w:val="clear" w:color="auto" w:fill="EAF7FA"/>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0" w:type="dxa"/>
            <w:vAlign w:val="bottom"/>
            <w:tcBorders>
              <w:bottom w:val="single" w:sz="8" w:color="EAF7FA"/>
            </w:tcBorders>
            <w:shd w:val="clear" w:color="auto" w:fill="EAF7FA"/>
          </w:tcPr>
          <w:p>
            <w:pPr>
              <w:spacing w:after="0"/>
              <w:rPr>
                <w:sz w:val="14"/>
                <w:szCs w:val="14"/>
                <w:color w:val="auto"/>
              </w:rPr>
            </w:pPr>
          </w:p>
        </w:tc>
        <w:tc>
          <w:tcPr>
            <w:tcW w:w="940" w:type="dxa"/>
            <w:vAlign w:val="bottom"/>
            <w:tcBorders>
              <w:bottom w:val="single" w:sz="8" w:color="EAF7FA"/>
            </w:tcBorders>
            <w:shd w:val="clear" w:color="auto" w:fill="EAF7FA"/>
          </w:tcPr>
          <w:p>
            <w:pPr>
              <w:ind w:left="80"/>
              <w:spacing w:after="0"/>
              <w:rPr>
                <w:sz w:val="20"/>
                <w:szCs w:val="20"/>
                <w:color w:val="auto"/>
              </w:rPr>
            </w:pPr>
            <w:r>
              <w:rPr>
                <w:rFonts w:ascii="Arial" w:cs="Arial" w:eastAsia="Arial" w:hAnsi="Arial"/>
                <w:sz w:val="11"/>
                <w:szCs w:val="11"/>
                <w:color w:val="54565B"/>
              </w:rPr>
              <w:t>Awards</w:t>
            </w:r>
          </w:p>
        </w:tc>
        <w:tc>
          <w:tcPr>
            <w:tcW w:w="140" w:type="dxa"/>
            <w:vAlign w:val="bottom"/>
            <w:tcBorders>
              <w:bottom w:val="single" w:sz="8" w:color="EAF7FA"/>
            </w:tcBorders>
            <w:shd w:val="clear" w:color="auto" w:fill="EAF7FA"/>
          </w:tcPr>
          <w:p>
            <w:pPr>
              <w:spacing w:after="0"/>
              <w:rPr>
                <w:sz w:val="14"/>
                <w:szCs w:val="14"/>
                <w:color w:val="auto"/>
              </w:rPr>
            </w:pPr>
          </w:p>
        </w:tc>
        <w:tc>
          <w:tcPr>
            <w:tcW w:w="260" w:type="dxa"/>
            <w:vAlign w:val="bottom"/>
            <w:tcBorders>
              <w:bottom w:val="single" w:sz="8" w:color="EAF7FA"/>
            </w:tcBorders>
            <w:shd w:val="clear" w:color="auto" w:fill="EAF7FA"/>
          </w:tcPr>
          <w:p>
            <w:pPr>
              <w:spacing w:after="0"/>
              <w:rPr>
                <w:sz w:val="14"/>
                <w:szCs w:val="14"/>
                <w:color w:val="auto"/>
              </w:rPr>
            </w:pPr>
          </w:p>
        </w:tc>
        <w:tc>
          <w:tcPr>
            <w:tcW w:w="180" w:type="dxa"/>
            <w:vAlign w:val="bottom"/>
            <w:tcBorders>
              <w:bottom w:val="single" w:sz="8" w:color="EAF7FA"/>
            </w:tcBorders>
            <w:shd w:val="clear" w:color="auto" w:fill="EAF7FA"/>
          </w:tcPr>
          <w:p>
            <w:pPr>
              <w:spacing w:after="0"/>
              <w:rPr>
                <w:sz w:val="14"/>
                <w:szCs w:val="14"/>
                <w:color w:val="auto"/>
              </w:rPr>
            </w:pPr>
          </w:p>
        </w:tc>
        <w:tc>
          <w:tcPr>
            <w:tcW w:w="580" w:type="dxa"/>
            <w:vAlign w:val="bottom"/>
            <w:tcBorders>
              <w:bottom w:val="single" w:sz="8" w:color="EAF7FA"/>
            </w:tcBorders>
            <w:shd w:val="clear" w:color="auto" w:fill="EAF7FA"/>
          </w:tcPr>
          <w:p>
            <w:pPr>
              <w:spacing w:after="0"/>
              <w:rPr>
                <w:sz w:val="14"/>
                <w:szCs w:val="14"/>
                <w:color w:val="auto"/>
              </w:rPr>
            </w:pPr>
          </w:p>
        </w:tc>
        <w:tc>
          <w:tcPr>
            <w:tcW w:w="500" w:type="dxa"/>
            <w:vAlign w:val="bottom"/>
            <w:tcBorders>
              <w:bottom w:val="single" w:sz="8" w:color="EAF7FA"/>
            </w:tcBorders>
            <w:shd w:val="clear" w:color="auto" w:fill="EAF7FA"/>
          </w:tcPr>
          <w:p>
            <w:pPr>
              <w:spacing w:after="0"/>
              <w:rPr>
                <w:sz w:val="14"/>
                <w:szCs w:val="14"/>
                <w:color w:val="auto"/>
              </w:rPr>
            </w:pPr>
          </w:p>
        </w:tc>
        <w:tc>
          <w:tcPr>
            <w:tcW w:w="580" w:type="dxa"/>
            <w:vAlign w:val="bottom"/>
            <w:tcBorders>
              <w:bottom w:val="single" w:sz="8" w:color="EAF7FA"/>
            </w:tcBorders>
            <w:shd w:val="clear" w:color="auto" w:fill="EAF7FA"/>
          </w:tcPr>
          <w:p>
            <w:pPr>
              <w:spacing w:after="0"/>
              <w:rPr>
                <w:sz w:val="14"/>
                <w:szCs w:val="14"/>
                <w:color w:val="auto"/>
              </w:rPr>
            </w:pPr>
          </w:p>
        </w:tc>
        <w:tc>
          <w:tcPr>
            <w:tcW w:w="560" w:type="dxa"/>
            <w:vAlign w:val="bottom"/>
            <w:tcBorders>
              <w:bottom w:val="single" w:sz="8" w:color="EAF7FA"/>
            </w:tcBorders>
            <w:shd w:val="clear" w:color="auto" w:fill="EAF7FA"/>
          </w:tcPr>
          <w:p>
            <w:pPr>
              <w:spacing w:after="0"/>
              <w:rPr>
                <w:sz w:val="14"/>
                <w:szCs w:val="14"/>
                <w:color w:val="auto"/>
              </w:rPr>
            </w:pPr>
          </w:p>
        </w:tc>
        <w:tc>
          <w:tcPr>
            <w:tcW w:w="520" w:type="dxa"/>
            <w:vAlign w:val="bottom"/>
            <w:tcBorders>
              <w:bottom w:val="single" w:sz="8" w:color="EAF7FA"/>
            </w:tcBorders>
            <w:shd w:val="clear" w:color="auto" w:fill="EAF7FA"/>
          </w:tcPr>
          <w:p>
            <w:pPr>
              <w:spacing w:after="0"/>
              <w:rPr>
                <w:sz w:val="14"/>
                <w:szCs w:val="14"/>
                <w:color w:val="auto"/>
              </w:rPr>
            </w:pPr>
          </w:p>
        </w:tc>
        <w:tc>
          <w:tcPr>
            <w:tcW w:w="600" w:type="dxa"/>
            <w:vAlign w:val="bottom"/>
            <w:tcBorders>
              <w:bottom w:val="single" w:sz="8" w:color="EAF7FA"/>
            </w:tcBorders>
            <w:shd w:val="clear" w:color="auto" w:fill="EAF7FA"/>
          </w:tcPr>
          <w:p>
            <w:pPr>
              <w:spacing w:after="0"/>
              <w:rPr>
                <w:sz w:val="14"/>
                <w:szCs w:val="14"/>
                <w:color w:val="auto"/>
              </w:rPr>
            </w:pPr>
          </w:p>
        </w:tc>
        <w:tc>
          <w:tcPr>
            <w:tcW w:w="560" w:type="dxa"/>
            <w:vAlign w:val="bottom"/>
            <w:tcBorders>
              <w:bottom w:val="single" w:sz="8" w:color="EAF7FA"/>
            </w:tcBorders>
            <w:shd w:val="clear" w:color="auto" w:fill="EAF7FA"/>
          </w:tcPr>
          <w:p>
            <w:pPr>
              <w:spacing w:after="0"/>
              <w:rPr>
                <w:sz w:val="14"/>
                <w:szCs w:val="14"/>
                <w:color w:val="auto"/>
              </w:rPr>
            </w:pPr>
          </w:p>
        </w:tc>
        <w:tc>
          <w:tcPr>
            <w:tcW w:w="500" w:type="dxa"/>
            <w:vAlign w:val="bottom"/>
            <w:tcBorders>
              <w:bottom w:val="single" w:sz="8" w:color="EAF7FA"/>
            </w:tcBorders>
            <w:shd w:val="clear" w:color="auto" w:fill="EAF7FA"/>
          </w:tcPr>
          <w:p>
            <w:pPr>
              <w:spacing w:after="0"/>
              <w:rPr>
                <w:sz w:val="14"/>
                <w:szCs w:val="14"/>
                <w:color w:val="auto"/>
              </w:rPr>
            </w:pPr>
          </w:p>
        </w:tc>
        <w:tc>
          <w:tcPr>
            <w:tcW w:w="580" w:type="dxa"/>
            <w:vAlign w:val="bottom"/>
            <w:tcBorders>
              <w:bottom w:val="single" w:sz="8" w:color="EAF7FA"/>
            </w:tcBorders>
            <w:shd w:val="clear" w:color="auto" w:fill="EAF7FA"/>
          </w:tcPr>
          <w:p>
            <w:pPr>
              <w:spacing w:after="0"/>
              <w:rPr>
                <w:sz w:val="14"/>
                <w:szCs w:val="14"/>
                <w:color w:val="auto"/>
              </w:rPr>
            </w:pPr>
          </w:p>
        </w:tc>
        <w:tc>
          <w:tcPr>
            <w:tcW w:w="580" w:type="dxa"/>
            <w:vAlign w:val="bottom"/>
            <w:tcBorders>
              <w:bottom w:val="single" w:sz="8" w:color="EAF7FA"/>
            </w:tcBorders>
            <w:shd w:val="clear" w:color="auto" w:fill="EAF7FA"/>
          </w:tcPr>
          <w:p>
            <w:pPr>
              <w:spacing w:after="0"/>
              <w:rPr>
                <w:sz w:val="14"/>
                <w:szCs w:val="14"/>
                <w:color w:val="auto"/>
              </w:rPr>
            </w:pPr>
          </w:p>
        </w:tc>
        <w:tc>
          <w:tcPr>
            <w:tcW w:w="500" w:type="dxa"/>
            <w:vAlign w:val="bottom"/>
            <w:tcBorders>
              <w:bottom w:val="single" w:sz="8" w:color="EAF7FA"/>
            </w:tcBorders>
            <w:shd w:val="clear" w:color="auto" w:fill="EAF7FA"/>
          </w:tcPr>
          <w:p>
            <w:pPr>
              <w:spacing w:after="0"/>
              <w:rPr>
                <w:sz w:val="14"/>
                <w:szCs w:val="14"/>
                <w:color w:val="auto"/>
              </w:rPr>
            </w:pPr>
          </w:p>
        </w:tc>
        <w:tc>
          <w:tcPr>
            <w:tcW w:w="580" w:type="dxa"/>
            <w:vAlign w:val="bottom"/>
            <w:tcBorders>
              <w:bottom w:val="single" w:sz="8" w:color="EAF7FA"/>
            </w:tcBorders>
            <w:shd w:val="clear" w:color="auto" w:fill="EAF7FA"/>
          </w:tcPr>
          <w:p>
            <w:pPr>
              <w:spacing w:after="0"/>
              <w:rPr>
                <w:sz w:val="14"/>
                <w:szCs w:val="14"/>
                <w:color w:val="auto"/>
              </w:rPr>
            </w:pPr>
          </w:p>
        </w:tc>
        <w:tc>
          <w:tcPr>
            <w:tcW w:w="580" w:type="dxa"/>
            <w:vAlign w:val="bottom"/>
            <w:tcBorders>
              <w:bottom w:val="single" w:sz="8" w:color="EAF7FA"/>
            </w:tcBorders>
            <w:shd w:val="clear" w:color="auto" w:fill="EAF7FA"/>
          </w:tcPr>
          <w:p>
            <w:pPr>
              <w:spacing w:after="0"/>
              <w:rPr>
                <w:sz w:val="14"/>
                <w:szCs w:val="14"/>
                <w:color w:val="auto"/>
              </w:rPr>
            </w:pPr>
          </w:p>
        </w:tc>
        <w:tc>
          <w:tcPr>
            <w:tcW w:w="500" w:type="dxa"/>
            <w:vAlign w:val="bottom"/>
            <w:tcBorders>
              <w:bottom w:val="single" w:sz="8" w:color="EAF7FA"/>
            </w:tcBorders>
            <w:shd w:val="clear" w:color="auto" w:fill="EAF7FA"/>
          </w:tcPr>
          <w:p>
            <w:pPr>
              <w:spacing w:after="0"/>
              <w:rPr>
                <w:sz w:val="14"/>
                <w:szCs w:val="14"/>
                <w:color w:val="auto"/>
              </w:rPr>
            </w:pPr>
          </w:p>
        </w:tc>
        <w:tc>
          <w:tcPr>
            <w:tcW w:w="100" w:type="dxa"/>
            <w:vAlign w:val="bottom"/>
            <w:tcBorders>
              <w:bottom w:val="single" w:sz="8" w:color="EAF7FA"/>
            </w:tcBorders>
            <w:shd w:val="clear" w:color="auto" w:fill="EAF7F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54565B"/>
              </w:rPr>
              <w:t>Compensation</w:t>
            </w:r>
          </w:p>
        </w:tc>
        <w:tc>
          <w:tcPr>
            <w:tcW w:w="400" w:type="dxa"/>
            <w:vAlign w:val="bottom"/>
            <w:gridSpan w:val="2"/>
            <w:vMerge w:val="restart"/>
          </w:tcPr>
          <w:p>
            <w:pPr>
              <w:ind w:left="80"/>
              <w:spacing w:after="0"/>
              <w:rPr>
                <w:sz w:val="20"/>
                <w:szCs w:val="20"/>
                <w:color w:val="auto"/>
              </w:rPr>
            </w:pPr>
            <w:r>
              <w:rPr>
                <w:rFonts w:ascii="Arial" w:cs="Arial" w:eastAsia="Arial" w:hAnsi="Arial"/>
                <w:sz w:val="11"/>
                <w:szCs w:val="11"/>
                <w:color w:val="54565B"/>
                <w:w w:val="89"/>
              </w:rPr>
              <w:t>11,330​</w:t>
            </w:r>
          </w:p>
        </w:tc>
        <w:tc>
          <w:tcPr>
            <w:tcW w:w="180" w:type="dxa"/>
            <w:vAlign w:val="bottom"/>
            <w:vMerge w:val="restart"/>
          </w:tcPr>
          <w:p>
            <w:pPr>
              <w:jc w:val="right"/>
              <w:ind w:right="51"/>
              <w:spacing w:after="0"/>
              <w:rPr>
                <w:sz w:val="20"/>
                <w:szCs w:val="20"/>
                <w:color w:val="auto"/>
              </w:rPr>
            </w:pPr>
            <w:r>
              <w:rPr>
                <w:rFonts w:ascii="Arial" w:cs="Arial" w:eastAsia="Arial" w:hAnsi="Arial"/>
                <w:sz w:val="10"/>
                <w:szCs w:val="10"/>
                <w:color w:val="54565B"/>
                <w:w w:val="71"/>
              </w:rPr>
              <w:t>.8</w:t>
            </w:r>
          </w:p>
        </w:tc>
        <w:tc>
          <w:tcPr>
            <w:tcW w:w="580" w:type="dxa"/>
            <w:vAlign w:val="bottom"/>
            <w:vMerge w:val="restart"/>
          </w:tcPr>
          <w:p>
            <w:pPr>
              <w:jc w:val="right"/>
              <w:ind w:right="69"/>
              <w:spacing w:after="0"/>
              <w:rPr>
                <w:sz w:val="20"/>
                <w:szCs w:val="20"/>
                <w:color w:val="auto"/>
              </w:rPr>
            </w:pPr>
            <w:r>
              <w:rPr>
                <w:rFonts w:ascii="Arial" w:cs="Arial" w:eastAsia="Arial" w:hAnsi="Arial"/>
                <w:sz w:val="11"/>
                <w:szCs w:val="11"/>
                <w:color w:val="54565B"/>
              </w:rPr>
              <w:t>11,436.6</w:t>
            </w:r>
          </w:p>
        </w:tc>
        <w:tc>
          <w:tcPr>
            <w:tcW w:w="500" w:type="dxa"/>
            <w:vAlign w:val="bottom"/>
            <w:vMerge w:val="restart"/>
          </w:tcPr>
          <w:p>
            <w:pPr>
              <w:jc w:val="right"/>
              <w:ind w:right="9"/>
              <w:spacing w:after="0"/>
              <w:rPr>
                <w:sz w:val="20"/>
                <w:szCs w:val="20"/>
                <w:color w:val="auto"/>
              </w:rPr>
            </w:pPr>
            <w:r>
              <w:rPr>
                <w:rFonts w:ascii="Arial" w:cs="Arial" w:eastAsia="Arial" w:hAnsi="Arial"/>
                <w:sz w:val="11"/>
                <w:szCs w:val="11"/>
                <w:color w:val="54565B"/>
              </w:rPr>
              <w:t>3,341.8</w:t>
            </w:r>
          </w:p>
        </w:tc>
        <w:tc>
          <w:tcPr>
            <w:tcW w:w="580" w:type="dxa"/>
            <w:vAlign w:val="bottom"/>
            <w:vMerge w:val="restart"/>
          </w:tcPr>
          <w:p>
            <w:pPr>
              <w:jc w:val="right"/>
              <w:ind w:right="29"/>
              <w:spacing w:after="0"/>
              <w:rPr>
                <w:sz w:val="20"/>
                <w:szCs w:val="20"/>
                <w:color w:val="auto"/>
              </w:rPr>
            </w:pPr>
            <w:r>
              <w:rPr>
                <w:rFonts w:ascii="Arial" w:cs="Arial" w:eastAsia="Arial" w:hAnsi="Arial"/>
                <w:sz w:val="11"/>
                <w:szCs w:val="11"/>
                <w:color w:val="54565B"/>
              </w:rPr>
              <w:t>12,918.7</w:t>
            </w:r>
          </w:p>
        </w:tc>
        <w:tc>
          <w:tcPr>
            <w:tcW w:w="560" w:type="dxa"/>
            <w:vAlign w:val="bottom"/>
            <w:vMerge w:val="restart"/>
          </w:tcPr>
          <w:p>
            <w:pPr>
              <w:jc w:val="right"/>
              <w:ind w:right="49"/>
              <w:spacing w:after="0"/>
              <w:rPr>
                <w:sz w:val="20"/>
                <w:szCs w:val="20"/>
                <w:color w:val="auto"/>
              </w:rPr>
            </w:pPr>
            <w:r>
              <w:rPr>
                <w:rFonts w:ascii="Arial" w:cs="Arial" w:eastAsia="Arial" w:hAnsi="Arial"/>
                <w:sz w:val="11"/>
                <w:szCs w:val="11"/>
                <w:color w:val="54565B"/>
              </w:rPr>
              <w:t>12,894.4</w:t>
            </w:r>
          </w:p>
        </w:tc>
        <w:tc>
          <w:tcPr>
            <w:tcW w:w="520" w:type="dxa"/>
            <w:vAlign w:val="bottom"/>
            <w:vMerge w:val="restart"/>
          </w:tcPr>
          <w:p>
            <w:pPr>
              <w:jc w:val="right"/>
              <w:ind w:right="9"/>
              <w:spacing w:after="0"/>
              <w:rPr>
                <w:sz w:val="20"/>
                <w:szCs w:val="20"/>
                <w:color w:val="auto"/>
              </w:rPr>
            </w:pPr>
            <w:r>
              <w:rPr>
                <w:rFonts w:ascii="Arial" w:cs="Arial" w:eastAsia="Arial" w:hAnsi="Arial"/>
                <w:sz w:val="11"/>
                <w:szCs w:val="11"/>
                <w:color w:val="54565B"/>
              </w:rPr>
              <w:t>3,609.2</w:t>
            </w:r>
          </w:p>
        </w:tc>
        <w:tc>
          <w:tcPr>
            <w:tcW w:w="600" w:type="dxa"/>
            <w:vAlign w:val="bottom"/>
            <w:vMerge w:val="restart"/>
          </w:tcPr>
          <w:p>
            <w:pPr>
              <w:jc w:val="center"/>
              <w:spacing w:after="0"/>
              <w:rPr>
                <w:sz w:val="20"/>
                <w:szCs w:val="20"/>
                <w:color w:val="auto"/>
              </w:rPr>
            </w:pPr>
            <w:r>
              <w:rPr>
                <w:rFonts w:ascii="Arial" w:cs="Arial" w:eastAsia="Arial" w:hAnsi="Arial"/>
                <w:sz w:val="11"/>
                <w:szCs w:val="11"/>
                <w:color w:val="54565B"/>
                <w:w w:val="97"/>
              </w:rPr>
              <w:t>9,311.1</w:t>
            </w:r>
          </w:p>
        </w:tc>
        <w:tc>
          <w:tcPr>
            <w:tcW w:w="560" w:type="dxa"/>
            <w:vAlign w:val="bottom"/>
            <w:vMerge w:val="restart"/>
          </w:tcPr>
          <w:p>
            <w:pPr>
              <w:jc w:val="right"/>
              <w:ind w:right="69"/>
              <w:spacing w:after="0"/>
              <w:rPr>
                <w:sz w:val="20"/>
                <w:szCs w:val="20"/>
                <w:color w:val="auto"/>
              </w:rPr>
            </w:pPr>
            <w:r>
              <w:rPr>
                <w:rFonts w:ascii="Arial" w:cs="Arial" w:eastAsia="Arial" w:hAnsi="Arial"/>
                <w:sz w:val="11"/>
                <w:szCs w:val="11"/>
                <w:color w:val="54565B"/>
              </w:rPr>
              <w:t>9,381.5</w:t>
            </w:r>
          </w:p>
        </w:tc>
        <w:tc>
          <w:tcPr>
            <w:tcW w:w="500" w:type="dxa"/>
            <w:vAlign w:val="bottom"/>
            <w:vMerge w:val="restart"/>
          </w:tcPr>
          <w:p>
            <w:pPr>
              <w:jc w:val="right"/>
              <w:ind w:right="9"/>
              <w:spacing w:after="0"/>
              <w:rPr>
                <w:sz w:val="20"/>
                <w:szCs w:val="20"/>
                <w:color w:val="auto"/>
              </w:rPr>
            </w:pPr>
            <w:r>
              <w:rPr>
                <w:rFonts w:ascii="Arial" w:cs="Arial" w:eastAsia="Arial" w:hAnsi="Arial"/>
                <w:sz w:val="11"/>
                <w:szCs w:val="11"/>
                <w:color w:val="54565B"/>
              </w:rPr>
              <w:t>2,775.6</w:t>
            </w:r>
          </w:p>
        </w:tc>
        <w:tc>
          <w:tcPr>
            <w:tcW w:w="580" w:type="dxa"/>
            <w:vAlign w:val="bottom"/>
            <w:vMerge w:val="restart"/>
          </w:tcPr>
          <w:p>
            <w:pPr>
              <w:jc w:val="right"/>
              <w:ind w:right="29"/>
              <w:spacing w:after="0"/>
              <w:rPr>
                <w:sz w:val="20"/>
                <w:szCs w:val="20"/>
                <w:color w:val="auto"/>
              </w:rPr>
            </w:pPr>
            <w:r>
              <w:rPr>
                <w:rFonts w:ascii="Arial" w:cs="Arial" w:eastAsia="Arial" w:hAnsi="Arial"/>
                <w:sz w:val="11"/>
                <w:szCs w:val="11"/>
                <w:color w:val="54565B"/>
              </w:rPr>
              <w:t>13,456.9</w:t>
            </w:r>
          </w:p>
        </w:tc>
        <w:tc>
          <w:tcPr>
            <w:tcW w:w="580" w:type="dxa"/>
            <w:vAlign w:val="bottom"/>
            <w:vMerge w:val="restart"/>
          </w:tcPr>
          <w:p>
            <w:pPr>
              <w:jc w:val="right"/>
              <w:ind w:right="49"/>
              <w:spacing w:after="0"/>
              <w:rPr>
                <w:sz w:val="20"/>
                <w:szCs w:val="20"/>
                <w:color w:val="auto"/>
              </w:rPr>
            </w:pPr>
            <w:r>
              <w:rPr>
                <w:rFonts w:ascii="Arial" w:cs="Arial" w:eastAsia="Arial" w:hAnsi="Arial"/>
                <w:sz w:val="11"/>
                <w:szCs w:val="11"/>
                <w:color w:val="54565B"/>
              </w:rPr>
              <w:t>13,424.4</w:t>
            </w:r>
          </w:p>
        </w:tc>
        <w:tc>
          <w:tcPr>
            <w:tcW w:w="500" w:type="dxa"/>
            <w:vAlign w:val="bottom"/>
            <w:vMerge w:val="restart"/>
          </w:tcPr>
          <w:p>
            <w:pPr>
              <w:jc w:val="right"/>
              <w:ind w:right="9"/>
              <w:spacing w:after="0"/>
              <w:rPr>
                <w:sz w:val="20"/>
                <w:szCs w:val="20"/>
                <w:color w:val="auto"/>
              </w:rPr>
            </w:pPr>
            <w:r>
              <w:rPr>
                <w:rFonts w:ascii="Arial" w:cs="Arial" w:eastAsia="Arial" w:hAnsi="Arial"/>
                <w:sz w:val="11"/>
                <w:szCs w:val="11"/>
                <w:color w:val="54565B"/>
              </w:rPr>
              <w:t>3,133.1</w:t>
            </w:r>
          </w:p>
        </w:tc>
        <w:tc>
          <w:tcPr>
            <w:tcW w:w="580" w:type="dxa"/>
            <w:vAlign w:val="bottom"/>
            <w:vMerge w:val="restart"/>
          </w:tcPr>
          <w:p>
            <w:pPr>
              <w:jc w:val="right"/>
              <w:ind w:right="29"/>
              <w:spacing w:after="0"/>
              <w:rPr>
                <w:sz w:val="20"/>
                <w:szCs w:val="20"/>
                <w:color w:val="auto"/>
              </w:rPr>
            </w:pPr>
            <w:r>
              <w:rPr>
                <w:rFonts w:ascii="Arial" w:cs="Arial" w:eastAsia="Arial" w:hAnsi="Arial"/>
                <w:sz w:val="11"/>
                <w:szCs w:val="11"/>
                <w:color w:val="54565B"/>
              </w:rPr>
              <w:t>16,851.7</w:t>
            </w:r>
          </w:p>
        </w:tc>
        <w:tc>
          <w:tcPr>
            <w:tcW w:w="580" w:type="dxa"/>
            <w:vAlign w:val="bottom"/>
            <w:vMerge w:val="restart"/>
          </w:tcPr>
          <w:p>
            <w:pPr>
              <w:jc w:val="right"/>
              <w:ind w:right="49"/>
              <w:spacing w:after="0"/>
              <w:rPr>
                <w:sz w:val="20"/>
                <w:szCs w:val="20"/>
                <w:color w:val="auto"/>
              </w:rPr>
            </w:pPr>
            <w:r>
              <w:rPr>
                <w:rFonts w:ascii="Arial" w:cs="Arial" w:eastAsia="Arial" w:hAnsi="Arial"/>
                <w:sz w:val="11"/>
                <w:szCs w:val="11"/>
                <w:color w:val="54565B"/>
              </w:rPr>
              <w:t>16,743.8</w:t>
            </w:r>
          </w:p>
        </w:tc>
        <w:tc>
          <w:tcPr>
            <w:tcW w:w="500" w:type="dxa"/>
            <w:vAlign w:val="bottom"/>
            <w:vMerge w:val="restart"/>
          </w:tcPr>
          <w:p>
            <w:pPr>
              <w:jc w:val="right"/>
              <w:ind w:right="9"/>
              <w:spacing w:after="0"/>
              <w:rPr>
                <w:sz w:val="20"/>
                <w:szCs w:val="20"/>
                <w:color w:val="auto"/>
              </w:rPr>
            </w:pPr>
            <w:r>
              <w:rPr>
                <w:rFonts w:ascii="Arial" w:cs="Arial" w:eastAsia="Arial" w:hAnsi="Arial"/>
                <w:sz w:val="11"/>
                <w:szCs w:val="11"/>
                <w:color w:val="54565B"/>
              </w:rPr>
              <w:t>4,137.0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54565B"/>
              </w:rPr>
              <w:t>Actually Paid</w:t>
            </w:r>
          </w:p>
        </w:tc>
        <w:tc>
          <w:tcPr>
            <w:tcW w:w="40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60" w:type="dxa"/>
            <w:vAlign w:val="bottom"/>
            <w:tcBorders>
              <w:bottom w:val="single" w:sz="8" w:color="0B3C61"/>
            </w:tcBorders>
          </w:tcPr>
          <w:p>
            <w:pPr>
              <w:spacing w:after="0"/>
              <w:rPr>
                <w:sz w:val="4"/>
                <w:szCs w:val="4"/>
                <w:color w:val="auto"/>
              </w:rPr>
            </w:pPr>
          </w:p>
        </w:tc>
        <w:tc>
          <w:tcPr>
            <w:tcW w:w="940" w:type="dxa"/>
            <w:vAlign w:val="bottom"/>
            <w:tcBorders>
              <w:bottom w:val="single" w:sz="8" w:color="0B3C61"/>
            </w:tcBorders>
          </w:tcPr>
          <w:p>
            <w:pPr>
              <w:spacing w:after="0"/>
              <w:rPr>
                <w:sz w:val="4"/>
                <w:szCs w:val="4"/>
                <w:color w:val="auto"/>
              </w:rPr>
            </w:pPr>
          </w:p>
        </w:tc>
        <w:tc>
          <w:tcPr>
            <w:tcW w:w="140" w:type="dxa"/>
            <w:vAlign w:val="bottom"/>
            <w:tcBorders>
              <w:bottom w:val="single" w:sz="8" w:color="0B3C61"/>
            </w:tcBorders>
          </w:tcPr>
          <w:p>
            <w:pPr>
              <w:spacing w:after="0"/>
              <w:rPr>
                <w:sz w:val="4"/>
                <w:szCs w:val="4"/>
                <w:color w:val="auto"/>
              </w:rPr>
            </w:pPr>
          </w:p>
        </w:tc>
        <w:tc>
          <w:tcPr>
            <w:tcW w:w="260" w:type="dxa"/>
            <w:vAlign w:val="bottom"/>
            <w:tcBorders>
              <w:bottom w:val="single" w:sz="8" w:color="0B3C61"/>
            </w:tcBorders>
          </w:tcPr>
          <w:p>
            <w:pPr>
              <w:spacing w:after="0"/>
              <w:rPr>
                <w:sz w:val="4"/>
                <w:szCs w:val="4"/>
                <w:color w:val="auto"/>
              </w:rPr>
            </w:pPr>
          </w:p>
        </w:tc>
        <w:tc>
          <w:tcPr>
            <w:tcW w:w="180" w:type="dxa"/>
            <w:vAlign w:val="bottom"/>
            <w:tcBorders>
              <w:bottom w:val="single" w:sz="8" w:color="0B3C61"/>
            </w:tcBorders>
          </w:tcPr>
          <w:p>
            <w:pPr>
              <w:spacing w:after="0"/>
              <w:rPr>
                <w:sz w:val="4"/>
                <w:szCs w:val="4"/>
                <w:color w:val="auto"/>
              </w:rPr>
            </w:pPr>
          </w:p>
        </w:tc>
        <w:tc>
          <w:tcPr>
            <w:tcW w:w="580" w:type="dxa"/>
            <w:vAlign w:val="bottom"/>
            <w:tcBorders>
              <w:bottom w:val="single" w:sz="8" w:color="0B3C61"/>
            </w:tcBorders>
          </w:tcPr>
          <w:p>
            <w:pPr>
              <w:spacing w:after="0"/>
              <w:rPr>
                <w:sz w:val="4"/>
                <w:szCs w:val="4"/>
                <w:color w:val="auto"/>
              </w:rPr>
            </w:pPr>
          </w:p>
        </w:tc>
        <w:tc>
          <w:tcPr>
            <w:tcW w:w="500" w:type="dxa"/>
            <w:vAlign w:val="bottom"/>
            <w:tcBorders>
              <w:bottom w:val="single" w:sz="8" w:color="0B3C61"/>
            </w:tcBorders>
          </w:tcPr>
          <w:p>
            <w:pPr>
              <w:spacing w:after="0"/>
              <w:rPr>
                <w:sz w:val="4"/>
                <w:szCs w:val="4"/>
                <w:color w:val="auto"/>
              </w:rPr>
            </w:pPr>
          </w:p>
        </w:tc>
        <w:tc>
          <w:tcPr>
            <w:tcW w:w="580" w:type="dxa"/>
            <w:vAlign w:val="bottom"/>
            <w:tcBorders>
              <w:bottom w:val="single" w:sz="8" w:color="0B3C61"/>
            </w:tcBorders>
          </w:tcPr>
          <w:p>
            <w:pPr>
              <w:spacing w:after="0"/>
              <w:rPr>
                <w:sz w:val="4"/>
                <w:szCs w:val="4"/>
                <w:color w:val="auto"/>
              </w:rPr>
            </w:pPr>
          </w:p>
        </w:tc>
        <w:tc>
          <w:tcPr>
            <w:tcW w:w="560" w:type="dxa"/>
            <w:vAlign w:val="bottom"/>
            <w:tcBorders>
              <w:bottom w:val="single" w:sz="8" w:color="0B3C61"/>
            </w:tcBorders>
          </w:tcPr>
          <w:p>
            <w:pPr>
              <w:spacing w:after="0"/>
              <w:rPr>
                <w:sz w:val="4"/>
                <w:szCs w:val="4"/>
                <w:color w:val="auto"/>
              </w:rPr>
            </w:pPr>
          </w:p>
        </w:tc>
        <w:tc>
          <w:tcPr>
            <w:tcW w:w="520" w:type="dxa"/>
            <w:vAlign w:val="bottom"/>
            <w:tcBorders>
              <w:bottom w:val="single" w:sz="8" w:color="0B3C61"/>
            </w:tcBorders>
          </w:tcPr>
          <w:p>
            <w:pPr>
              <w:spacing w:after="0"/>
              <w:rPr>
                <w:sz w:val="4"/>
                <w:szCs w:val="4"/>
                <w:color w:val="auto"/>
              </w:rPr>
            </w:pPr>
          </w:p>
        </w:tc>
        <w:tc>
          <w:tcPr>
            <w:tcW w:w="600" w:type="dxa"/>
            <w:vAlign w:val="bottom"/>
            <w:tcBorders>
              <w:bottom w:val="single" w:sz="8" w:color="0B3C61"/>
            </w:tcBorders>
          </w:tcPr>
          <w:p>
            <w:pPr>
              <w:spacing w:after="0"/>
              <w:rPr>
                <w:sz w:val="4"/>
                <w:szCs w:val="4"/>
                <w:color w:val="auto"/>
              </w:rPr>
            </w:pPr>
          </w:p>
        </w:tc>
        <w:tc>
          <w:tcPr>
            <w:tcW w:w="560" w:type="dxa"/>
            <w:vAlign w:val="bottom"/>
            <w:tcBorders>
              <w:bottom w:val="single" w:sz="8" w:color="0B3C61"/>
            </w:tcBorders>
          </w:tcPr>
          <w:p>
            <w:pPr>
              <w:spacing w:after="0"/>
              <w:rPr>
                <w:sz w:val="4"/>
                <w:szCs w:val="4"/>
                <w:color w:val="auto"/>
              </w:rPr>
            </w:pPr>
          </w:p>
        </w:tc>
        <w:tc>
          <w:tcPr>
            <w:tcW w:w="500" w:type="dxa"/>
            <w:vAlign w:val="bottom"/>
            <w:tcBorders>
              <w:bottom w:val="single" w:sz="8" w:color="0B3C61"/>
            </w:tcBorders>
          </w:tcPr>
          <w:p>
            <w:pPr>
              <w:spacing w:after="0"/>
              <w:rPr>
                <w:sz w:val="4"/>
                <w:szCs w:val="4"/>
                <w:color w:val="auto"/>
              </w:rPr>
            </w:pPr>
          </w:p>
        </w:tc>
        <w:tc>
          <w:tcPr>
            <w:tcW w:w="580" w:type="dxa"/>
            <w:vAlign w:val="bottom"/>
            <w:tcBorders>
              <w:bottom w:val="single" w:sz="8" w:color="0B3C61"/>
            </w:tcBorders>
          </w:tcPr>
          <w:p>
            <w:pPr>
              <w:spacing w:after="0"/>
              <w:rPr>
                <w:sz w:val="4"/>
                <w:szCs w:val="4"/>
                <w:color w:val="auto"/>
              </w:rPr>
            </w:pPr>
          </w:p>
        </w:tc>
        <w:tc>
          <w:tcPr>
            <w:tcW w:w="580" w:type="dxa"/>
            <w:vAlign w:val="bottom"/>
            <w:tcBorders>
              <w:bottom w:val="single" w:sz="8" w:color="0B3C61"/>
            </w:tcBorders>
          </w:tcPr>
          <w:p>
            <w:pPr>
              <w:spacing w:after="0"/>
              <w:rPr>
                <w:sz w:val="4"/>
                <w:szCs w:val="4"/>
                <w:color w:val="auto"/>
              </w:rPr>
            </w:pPr>
          </w:p>
        </w:tc>
        <w:tc>
          <w:tcPr>
            <w:tcW w:w="500" w:type="dxa"/>
            <w:vAlign w:val="bottom"/>
            <w:tcBorders>
              <w:bottom w:val="single" w:sz="8" w:color="0B3C61"/>
            </w:tcBorders>
          </w:tcPr>
          <w:p>
            <w:pPr>
              <w:spacing w:after="0"/>
              <w:rPr>
                <w:sz w:val="4"/>
                <w:szCs w:val="4"/>
                <w:color w:val="auto"/>
              </w:rPr>
            </w:pPr>
          </w:p>
        </w:tc>
        <w:tc>
          <w:tcPr>
            <w:tcW w:w="580" w:type="dxa"/>
            <w:vAlign w:val="bottom"/>
            <w:tcBorders>
              <w:bottom w:val="single" w:sz="8" w:color="0B3C61"/>
            </w:tcBorders>
          </w:tcPr>
          <w:p>
            <w:pPr>
              <w:spacing w:after="0"/>
              <w:rPr>
                <w:sz w:val="4"/>
                <w:szCs w:val="4"/>
                <w:color w:val="auto"/>
              </w:rPr>
            </w:pPr>
          </w:p>
        </w:tc>
        <w:tc>
          <w:tcPr>
            <w:tcW w:w="580" w:type="dxa"/>
            <w:vAlign w:val="bottom"/>
            <w:tcBorders>
              <w:bottom w:val="single" w:sz="8" w:color="0B3C61"/>
            </w:tcBorders>
          </w:tcPr>
          <w:p>
            <w:pPr>
              <w:spacing w:after="0"/>
              <w:rPr>
                <w:sz w:val="4"/>
                <w:szCs w:val="4"/>
                <w:color w:val="auto"/>
              </w:rPr>
            </w:pPr>
          </w:p>
        </w:tc>
        <w:tc>
          <w:tcPr>
            <w:tcW w:w="500" w:type="dxa"/>
            <w:vAlign w:val="bottom"/>
            <w:tcBorders>
              <w:bottom w:val="single" w:sz="8" w:color="0B3C61"/>
            </w:tcBorders>
          </w:tcPr>
          <w:p>
            <w:pPr>
              <w:spacing w:after="0"/>
              <w:rPr>
                <w:sz w:val="4"/>
                <w:szCs w:val="4"/>
                <w:color w:val="auto"/>
              </w:rPr>
            </w:pPr>
          </w:p>
        </w:tc>
        <w:tc>
          <w:tcPr>
            <w:tcW w:w="100" w:type="dxa"/>
            <w:vAlign w:val="bottom"/>
            <w:tcBorders>
              <w:bottom w:val="single" w:sz="8" w:color="0B3C61"/>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-3582670</wp:posOffset>
            </wp:positionV>
            <wp:extent cx="52203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20335" cy="8890"/>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-3230880</wp:posOffset>
            </wp:positionV>
            <wp:extent cx="52203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124" w:lineRule="exact"/>
        <w:rPr>
          <w:sz w:val="20"/>
          <w:szCs w:val="20"/>
          <w:color w:val="auto"/>
        </w:rPr>
      </w:pPr>
    </w:p>
    <w:p>
      <w:pPr>
        <w:ind w:left="520" w:right="60" w:hanging="352"/>
        <w:spacing w:after="0" w:line="226" w:lineRule="auto"/>
        <w:tabs>
          <w:tab w:leader="none" w:pos="520" w:val="left"/>
        </w:tabs>
        <w:numPr>
          <w:ilvl w:val="0"/>
          <w:numId w:val="32"/>
        </w:numPr>
        <w:rPr>
          <w:rFonts w:ascii="Arial" w:cs="Arial" w:eastAsia="Arial" w:hAnsi="Arial"/>
          <w:sz w:val="13"/>
          <w:szCs w:val="13"/>
          <w:color w:val="54565B"/>
        </w:rPr>
      </w:pPr>
      <w:r>
        <w:rPr>
          <w:rFonts w:ascii="Arial" w:cs="Arial" w:eastAsia="Arial" w:hAnsi="Arial"/>
          <w:sz w:val="13"/>
          <w:szCs w:val="13"/>
          <w:color w:val="54565B"/>
        </w:rPr>
        <w:t>For 2025, 2024 and 2023, the Other NEOs were John B. Berding, Brian S. Hertzman, David L. Thompson and Mark A. Weiss. For 2022, the Other NEOs were John B. Berding, Brian S. Hertzman, Vito C. Peraino and David L. Thompson. For 2021, the Other NEOs were John B. Berding, Michelle A. Gillis,</w:t>
      </w:r>
    </w:p>
    <w:p>
      <w:pPr>
        <w:ind w:left="520"/>
        <w:spacing w:after="0"/>
        <w:rPr>
          <w:rFonts w:ascii="Arial" w:cs="Arial" w:eastAsia="Arial" w:hAnsi="Arial"/>
          <w:sz w:val="13"/>
          <w:szCs w:val="13"/>
          <w:color w:val="54565B"/>
        </w:rPr>
      </w:pPr>
      <w:r>
        <w:rPr>
          <w:rFonts w:ascii="Arial" w:cs="Arial" w:eastAsia="Arial" w:hAnsi="Arial"/>
          <w:sz w:val="13"/>
          <w:szCs w:val="13"/>
          <w:color w:val="54565B"/>
        </w:rPr>
        <w:t>Brian S. Hertzman and Vito C. Peraino.</w:t>
      </w:r>
    </w:p>
    <w:p>
      <w:pPr>
        <w:spacing w:after="0" w:line="27" w:lineRule="exact"/>
        <w:rPr>
          <w:rFonts w:ascii="Arial" w:cs="Arial" w:eastAsia="Arial" w:hAnsi="Arial"/>
          <w:sz w:val="13"/>
          <w:szCs w:val="13"/>
          <w:color w:val="54565B"/>
        </w:rPr>
      </w:pPr>
    </w:p>
    <w:p>
      <w:pPr>
        <w:ind w:left="520" w:right="300" w:hanging="352"/>
        <w:spacing w:after="0" w:line="243" w:lineRule="auto"/>
        <w:tabs>
          <w:tab w:leader="none" w:pos="520" w:val="left"/>
        </w:tabs>
        <w:numPr>
          <w:ilvl w:val="0"/>
          <w:numId w:val="32"/>
        </w:numPr>
        <w:rPr>
          <w:rFonts w:ascii="Arial" w:cs="Arial" w:eastAsia="Arial" w:hAnsi="Arial"/>
          <w:sz w:val="13"/>
          <w:szCs w:val="13"/>
          <w:color w:val="54565B"/>
        </w:rPr>
      </w:pPr>
      <w:r>
        <w:rPr>
          <w:rFonts w:ascii="Arial" w:cs="Arial" w:eastAsia="Arial" w:hAnsi="Arial"/>
          <w:sz w:val="13"/>
          <w:szCs w:val="13"/>
          <w:color w:val="54565B"/>
        </w:rPr>
        <w:t>For the relevant fiscal year, the dollar amounts reported represent the cumulative total shareholder return (TSR) of the S&amp;P 500 Property &amp; Casualty Index (“Peer Group TSR”) for the measurement periods ending on December 31 of each of 2025, 2024, 2023, 2022 and 2021,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62 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520" w:right="300" w:hanging="352"/>
        <w:spacing w:after="0" w:line="243" w:lineRule="auto"/>
        <w:tabs>
          <w:tab w:leader="none" w:pos="520" w:val="left"/>
        </w:tabs>
        <w:numPr>
          <w:ilvl w:val="0"/>
          <w:numId w:val="33"/>
        </w:numPr>
        <w:rPr>
          <w:rFonts w:ascii="Arial" w:cs="Arial" w:eastAsia="Arial" w:hAnsi="Arial"/>
          <w:sz w:val="13"/>
          <w:szCs w:val="13"/>
          <w:color w:val="54565B"/>
        </w:rPr>
      </w:pPr>
      <w:r>
        <w:rPr>
          <w:rFonts w:ascii="Arial" w:cs="Arial" w:eastAsia="Arial" w:hAnsi="Arial"/>
          <w:sz w:val="13"/>
          <w:szCs w:val="13"/>
          <w:color w:val="54565B"/>
        </w:rPr>
        <w:t>The dollar amounts reported represent the amount of net income (loss) reflected in our consolidated audited financial statements in the Company’s Annual Reports on Form 10-K for each of the years ended December 31, 2025, 2024, 2023, 2022 and 2021, respectively.</w:t>
      </w:r>
    </w:p>
    <w:p>
      <w:pPr>
        <w:spacing w:after="0" w:line="52"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54565B"/>
        </w:rPr>
        <w:t xml:space="preserve">The most important financial performance measures that link “compensation actually paid” to named executive officers in the applicable year to Company performance are listed below. For a description of these financial measures, see pages </w:t>
      </w:r>
      <w:r>
        <w:rPr>
          <w:rFonts w:ascii="Arial" w:cs="Arial" w:eastAsia="Arial" w:hAnsi="Arial"/>
          <w:sz w:val="16"/>
          <w:szCs w:val="16"/>
          <w:u w:val="single" w:color="auto"/>
          <w:color w:val="0000EE"/>
        </w:rPr>
        <w:t>45</w:t>
      </w:r>
      <w:r>
        <w:rPr>
          <w:rFonts w:ascii="Arial" w:cs="Arial" w:eastAsia="Arial" w:hAnsi="Arial"/>
          <w:sz w:val="16"/>
          <w:szCs w:val="16"/>
          <w:color w:val="54565B"/>
        </w:rPr>
        <w:t>-</w:t>
      </w:r>
      <w:r>
        <w:rPr>
          <w:rFonts w:ascii="Arial" w:cs="Arial" w:eastAsia="Arial" w:hAnsi="Arial"/>
          <w:sz w:val="16"/>
          <w:szCs w:val="16"/>
          <w:u w:val="single" w:color="auto"/>
          <w:color w:val="0000EE"/>
        </w:rPr>
        <w:t>52</w:t>
      </w:r>
      <w:r>
        <w:rPr>
          <w:rFonts w:ascii="Arial" w:cs="Arial" w:eastAsia="Arial" w:hAnsi="Arial"/>
          <w:sz w:val="16"/>
          <w:szCs w:val="16"/>
          <w:color w:val="54565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3086100" cy="2311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086100" cy="231140"/>
                    </a:xfrm>
                    <a:prstGeom prst="rect">
                      <a:avLst/>
                    </a:prstGeom>
                    <a:noFill/>
                  </pic:spPr>
                </pic:pic>
              </a:graphicData>
            </a:graphic>
          </wp:anchor>
        </w:drawing>
      </w:r>
    </w:p>
    <w:p>
      <w:pPr>
        <w:spacing w:after="0" w:line="235" w:lineRule="exact"/>
        <w:rPr>
          <w:sz w:val="20"/>
          <w:szCs w:val="20"/>
          <w:color w:val="auto"/>
        </w:rPr>
      </w:pPr>
    </w:p>
    <w:p>
      <w:pPr>
        <w:ind w:left="240"/>
        <w:spacing w:after="0"/>
        <w:rPr>
          <w:sz w:val="20"/>
          <w:szCs w:val="20"/>
          <w:color w:val="auto"/>
        </w:rPr>
      </w:pPr>
      <w:r>
        <w:rPr>
          <w:rFonts w:ascii="Arial" w:cs="Arial" w:eastAsia="Arial" w:hAnsi="Arial"/>
          <w:sz w:val="14"/>
          <w:szCs w:val="14"/>
          <w:color w:val="FFFFFF"/>
        </w:rPr>
        <w:t>Most Important Performance Measures</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4"/>
          <w:szCs w:val="14"/>
          <w:color w:val="54565B"/>
        </w:rPr>
        <w:t>Core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3086100" cy="2654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086100" cy="265430"/>
                    </a:xfrm>
                    <a:prstGeom prst="rect">
                      <a:avLst/>
                    </a:prstGeom>
                    <a:noFill/>
                  </pic:spPr>
                </pic:pic>
              </a:graphicData>
            </a:graphic>
          </wp:anchor>
        </w:drawing>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4"/>
          <w:szCs w:val="14"/>
          <w:color w:val="54565B"/>
        </w:rPr>
        <w:t>Book Value per Share Growth vs. Industry Companies One Year and</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54565B"/>
        </w:rPr>
        <w:t>Three Year</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4"/>
          <w:szCs w:val="14"/>
          <w:color w:val="54565B"/>
        </w:rPr>
        <w:t>Core Return on Equity One Year and Three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30861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right="940"/>
        <w:spacing w:after="0" w:line="259" w:lineRule="auto"/>
        <w:rPr>
          <w:sz w:val="20"/>
          <w:szCs w:val="20"/>
          <w:color w:val="auto"/>
        </w:rPr>
      </w:pPr>
      <w:r>
        <w:rPr>
          <w:rFonts w:ascii="Arial" w:cs="Arial" w:eastAsia="Arial" w:hAnsi="Arial"/>
          <w:sz w:val="22"/>
          <w:szCs w:val="22"/>
          <w:color w:val="0B3C61"/>
        </w:rPr>
        <w:t>RELATIONSHIP BETWEEN COMPENSATION ACTUALLY PAID AND PERFORMANCE MEASURES</w:t>
      </w:r>
    </w:p>
    <w:p>
      <w:pPr>
        <w:spacing w:after="0" w:line="33"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54565B"/>
        </w:rPr>
        <w:t xml:space="preserve">In the “Compensation Discussion and Analysis” section beginning on page </w:t>
      </w:r>
      <w:r>
        <w:rPr>
          <w:rFonts w:ascii="Arial" w:cs="Arial" w:eastAsia="Arial" w:hAnsi="Arial"/>
          <w:sz w:val="16"/>
          <w:szCs w:val="16"/>
          <w:u w:val="single" w:color="auto"/>
          <w:color w:val="0000EE"/>
        </w:rPr>
        <w:t>37</w:t>
      </w:r>
      <w:r>
        <w:rPr>
          <w:rFonts w:ascii="Arial" w:cs="Arial" w:eastAsia="Arial" w:hAnsi="Arial"/>
          <w:sz w:val="16"/>
          <w:szCs w:val="16"/>
          <w:color w:val="54565B"/>
        </w:rPr>
        <w:t xml:space="preserve"> of this proxy statement, we provide greater detail on the elements of our executive compensation program and our “pay-for-performance” compensation philosophy. We believe the Company’s executive compensation program and the executive compensation decisions included in the Summary Compensation Table and related disclosures appropriately incentivize our Co-CEOs and the Other NEOs for Company and individual performance, assist the Company in retaining our senior leadership team and support long-term value creation for our shareholders.</w:t>
      </w:r>
    </w:p>
    <w:p>
      <w:pPr>
        <w:spacing w:after="0" w:line="25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54565B"/>
        </w:rPr>
        <w:t>The “compensation actually paid” in each of the years reported above and over the five-year cumulative period are reflective of the Compensation Committee’s emphasis on “pay-for-performance” as the “compensation actually paid” fluctuated year-over-year, primarily due to the result of stock performance and dividends paid and varying levels of achievement against pre-established performance goals. Moreover, awards that may be earned under the Senior Executive Long-Term Incentive Compensation Plan, which represent a substantial percentage of target and maximum incentive compensation for the Co-CEOs payable each year, relate to performance results over a three-year period and may not specifically align the Company’s performance measures with “compensation actually paid” in a particular year.</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54565B"/>
        </w:rPr>
        <w:t>Co-CEO compensation in the tables below are averages of the compensation paid to our Co-CEOs in the applicable year.</w:t>
      </w:r>
    </w:p>
    <w:p>
      <w:pPr>
        <w:spacing w:after="0" w:line="325" w:lineRule="exact"/>
        <w:rPr>
          <w:sz w:val="20"/>
          <w:szCs w:val="20"/>
          <w:color w:val="auto"/>
        </w:rPr>
      </w:pPr>
    </w:p>
    <w:p>
      <w:pPr>
        <w:ind w:left="6360"/>
        <w:spacing w:after="0"/>
        <w:rPr>
          <w:sz w:val="20"/>
          <w:szCs w:val="20"/>
          <w:color w:val="auto"/>
        </w:rPr>
      </w:pPr>
      <w:r>
        <w:rPr>
          <w:rFonts w:ascii="Arial" w:cs="Arial" w:eastAsia="Arial" w:hAnsi="Arial"/>
          <w:sz w:val="12"/>
          <w:szCs w:val="12"/>
          <w:color w:val="0B3C61"/>
        </w:rPr>
        <w:t xml:space="preserve">2026 Proxy Statement | American Financial Group   </w:t>
      </w:r>
      <w:r>
        <w:rPr>
          <w:rFonts w:ascii="Arial" w:cs="Arial" w:eastAsia="Arial" w:hAnsi="Arial"/>
          <w:sz w:val="12"/>
          <w:szCs w:val="12"/>
          <w:b w:val="1"/>
          <w:bCs w:val="1"/>
          <w:color w:val="EA1D2D"/>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154940</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Relationship Between Compensation Actually Paid to our Co-CEOs and the Average of the Compensation Actually Paid to the Other NEOs and the Company’s Cumulative TSR and Comparison of Company’s Cumulative TSR and Peer Group TSR.</w:t>
      </w:r>
    </w:p>
    <w:p>
      <w:pPr>
        <w:spacing w:after="0" w:line="29"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54565B"/>
        </w:rPr>
        <w:t>The table below reflects the relationship between the “compensation actually paid” for the Company’s Co-CEOs and the average Other NEOs versus the Company’s TSR and the peer group TSR, assuming an initial fixed investment of $100 for the years ended December 31, 2025, 2024,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160655</wp:posOffset>
            </wp:positionV>
            <wp:extent cx="3865880" cy="24003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6588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54565B"/>
        </w:rPr>
        <w:t xml:space="preserve">  </w:t>
      </w:r>
    </w:p>
    <w:p>
      <w:pPr>
        <w:spacing w:after="0" w:line="178"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Relationship Between Compensation Actually Paid to our Co-CEOs and the Average of the Compensation Actually Paid to the Other NEOs and the Company’s Net Income.</w:t>
      </w:r>
    </w:p>
    <w:p>
      <w:pPr>
        <w:spacing w:after="0" w:line="23"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54565B"/>
        </w:rPr>
        <w:t>The table below reflects the relationship between the “compensation actually paid” for the Company’s Co-CEOs and the average Other NEOs versus the Company’s Net Income (in thousands) for the years ended December 31, 2025, 2024, 2023, 2022 and 2021. Net income for 2021 includes the sale of the annuity business to Massachusetts Mutual Life Insurance Company for approximately $3.5 billion of after-tax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164465</wp:posOffset>
            </wp:positionV>
            <wp:extent cx="3865880" cy="24003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6588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54565B"/>
        </w:rPr>
        <w:t xml:space="preserve">  </w:t>
      </w: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64 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140"/>
        <w:spacing w:after="0"/>
        <w:rPr>
          <w:sz w:val="20"/>
          <w:szCs w:val="20"/>
          <w:color w:val="auto"/>
        </w:rPr>
      </w:pPr>
      <w:r>
        <w:rPr>
          <w:rFonts w:ascii="Arial" w:cs="Arial" w:eastAsia="Arial" w:hAnsi="Arial"/>
          <w:sz w:val="16"/>
          <w:szCs w:val="16"/>
          <w:color w:val="EA1D2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Relationship Between Compensation Actually Paid to our Co-CEOs and the Average of the Compensation Actually Paid to the Other NEOs and the Company’s Core Earnings Per Share.</w:t>
      </w:r>
    </w:p>
    <w:p>
      <w:pPr>
        <w:spacing w:after="0" w:line="9"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54565B"/>
        </w:rPr>
        <w:t>The table below reflects the relationship between the “compensation actually paid” for the Company’s Co-CEOs and the average Other NEOs versus the Company’s Core EPS for the years ended December 31, 2025, 2024,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142240</wp:posOffset>
            </wp:positionV>
            <wp:extent cx="3865880" cy="24003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6588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54565B"/>
        </w:rPr>
        <w:t xml:space="preserve">  </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0B3C61"/>
        </w:rPr>
        <w:t>EQUITY COMPENSATION PLAN INFORMATION</w:t>
      </w:r>
    </w:p>
    <w:p>
      <w:pPr>
        <w:spacing w:after="0" w:line="97"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54565B"/>
        </w:rPr>
        <w:t>The following reflects certain information about common shares authorized for issuance at December 31, 2025, under the Company’s equity compensation plans.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280" w:type="dxa"/>
            <w:vAlign w:val="bottom"/>
            <w:shd w:val="clear" w:color="auto" w:fill="0B3C61"/>
          </w:tcPr>
          <w:p>
            <w:pPr>
              <w:spacing w:after="0"/>
              <w:rPr>
                <w:sz w:val="22"/>
                <w:szCs w:val="22"/>
                <w:color w:val="auto"/>
              </w:rPr>
            </w:pPr>
          </w:p>
        </w:tc>
        <w:tc>
          <w:tcPr>
            <w:tcW w:w="2600" w:type="dxa"/>
            <w:vAlign w:val="bottom"/>
            <w:shd w:val="clear" w:color="auto" w:fill="0B3C61"/>
          </w:tcPr>
          <w:p>
            <w:pPr>
              <w:spacing w:after="0"/>
              <w:rPr>
                <w:sz w:val="22"/>
                <w:szCs w:val="22"/>
                <w:color w:val="auto"/>
              </w:rPr>
            </w:pPr>
          </w:p>
        </w:tc>
        <w:tc>
          <w:tcPr>
            <w:tcW w:w="2120" w:type="dxa"/>
            <w:vAlign w:val="bottom"/>
            <w:shd w:val="clear" w:color="auto" w:fill="0B3C61"/>
          </w:tcPr>
          <w:p>
            <w:pPr>
              <w:spacing w:after="0"/>
              <w:rPr>
                <w:sz w:val="22"/>
                <w:szCs w:val="22"/>
                <w:color w:val="auto"/>
              </w:rPr>
            </w:pPr>
          </w:p>
        </w:tc>
        <w:tc>
          <w:tcPr>
            <w:tcW w:w="2400" w:type="dxa"/>
            <w:vAlign w:val="bottom"/>
            <w:shd w:val="clear" w:color="auto" w:fill="0B3C61"/>
          </w:tcPr>
          <w:p>
            <w:pPr>
              <w:jc w:val="right"/>
              <w:ind w:right="108"/>
              <w:spacing w:after="0"/>
              <w:rPr>
                <w:sz w:val="20"/>
                <w:szCs w:val="20"/>
                <w:color w:val="auto"/>
              </w:rPr>
            </w:pPr>
            <w:r>
              <w:rPr>
                <w:rFonts w:ascii="Arial" w:cs="Arial" w:eastAsia="Arial" w:hAnsi="Arial"/>
                <w:sz w:val="14"/>
                <w:szCs w:val="14"/>
                <w:color w:val="FFFFFF"/>
              </w:rPr>
              <w:t>(c)</w:t>
            </w:r>
          </w:p>
        </w:tc>
        <w:tc>
          <w:tcPr>
            <w:tcW w:w="0" w:type="dxa"/>
            <w:vAlign w:val="bottom"/>
          </w:tcPr>
          <w:p>
            <w:pPr>
              <w:spacing w:after="0"/>
              <w:rPr>
                <w:sz w:val="1"/>
                <w:szCs w:val="1"/>
                <w:color w:val="auto"/>
              </w:rPr>
            </w:pPr>
          </w:p>
        </w:tc>
      </w:tr>
      <w:tr>
        <w:trPr>
          <w:trHeight w:val="162"/>
        </w:trPr>
        <w:tc>
          <w:tcPr>
            <w:tcW w:w="2280" w:type="dxa"/>
            <w:vAlign w:val="bottom"/>
            <w:shd w:val="clear" w:color="auto" w:fill="0B3C61"/>
          </w:tcPr>
          <w:p>
            <w:pPr>
              <w:spacing w:after="0"/>
              <w:rPr>
                <w:sz w:val="14"/>
                <w:szCs w:val="14"/>
                <w:color w:val="auto"/>
              </w:rPr>
            </w:pPr>
          </w:p>
        </w:tc>
        <w:tc>
          <w:tcPr>
            <w:tcW w:w="2600" w:type="dxa"/>
            <w:vAlign w:val="bottom"/>
            <w:shd w:val="clear" w:color="auto" w:fill="0B3C61"/>
          </w:tcPr>
          <w:p>
            <w:pPr>
              <w:spacing w:after="0"/>
              <w:rPr>
                <w:sz w:val="14"/>
                <w:szCs w:val="14"/>
                <w:color w:val="auto"/>
              </w:rPr>
            </w:pPr>
          </w:p>
        </w:tc>
        <w:tc>
          <w:tcPr>
            <w:tcW w:w="2120" w:type="dxa"/>
            <w:vAlign w:val="bottom"/>
            <w:shd w:val="clear" w:color="auto" w:fill="0B3C61"/>
          </w:tcPr>
          <w:p>
            <w:pPr>
              <w:spacing w:after="0"/>
              <w:rPr>
                <w:sz w:val="14"/>
                <w:szCs w:val="14"/>
                <w:color w:val="auto"/>
              </w:rPr>
            </w:pPr>
          </w:p>
        </w:tc>
        <w:tc>
          <w:tcPr>
            <w:tcW w:w="2400" w:type="dxa"/>
            <w:vAlign w:val="bottom"/>
            <w:shd w:val="clear" w:color="auto" w:fill="0B3C61"/>
          </w:tcPr>
          <w:p>
            <w:pPr>
              <w:jc w:val="right"/>
              <w:ind w:right="68"/>
              <w:spacing w:after="0"/>
              <w:rPr>
                <w:sz w:val="20"/>
                <w:szCs w:val="20"/>
                <w:color w:val="auto"/>
              </w:rPr>
            </w:pPr>
            <w:r>
              <w:rPr>
                <w:rFonts w:ascii="Arial" w:cs="Arial" w:eastAsia="Arial" w:hAnsi="Arial"/>
                <w:sz w:val="14"/>
                <w:szCs w:val="14"/>
                <w:color w:val="FFFFFF"/>
              </w:rPr>
              <w:t>Number of securities remaining</w:t>
            </w:r>
          </w:p>
        </w:tc>
        <w:tc>
          <w:tcPr>
            <w:tcW w:w="0" w:type="dxa"/>
            <w:vAlign w:val="bottom"/>
          </w:tcPr>
          <w:p>
            <w:pPr>
              <w:spacing w:after="0"/>
              <w:rPr>
                <w:sz w:val="1"/>
                <w:szCs w:val="1"/>
                <w:color w:val="auto"/>
              </w:rPr>
            </w:pPr>
          </w:p>
        </w:tc>
      </w:tr>
      <w:tr>
        <w:trPr>
          <w:trHeight w:val="162"/>
        </w:trPr>
        <w:tc>
          <w:tcPr>
            <w:tcW w:w="2280" w:type="dxa"/>
            <w:vAlign w:val="bottom"/>
            <w:shd w:val="clear" w:color="auto" w:fill="0B3C61"/>
          </w:tcPr>
          <w:p>
            <w:pPr>
              <w:spacing w:after="0"/>
              <w:rPr>
                <w:sz w:val="14"/>
                <w:szCs w:val="14"/>
                <w:color w:val="auto"/>
              </w:rPr>
            </w:pPr>
          </w:p>
        </w:tc>
        <w:tc>
          <w:tcPr>
            <w:tcW w:w="2600" w:type="dxa"/>
            <w:vAlign w:val="bottom"/>
            <w:shd w:val="clear" w:color="auto" w:fill="0B3C61"/>
          </w:tcPr>
          <w:p>
            <w:pPr>
              <w:spacing w:after="0"/>
              <w:rPr>
                <w:sz w:val="14"/>
                <w:szCs w:val="14"/>
                <w:color w:val="auto"/>
              </w:rPr>
            </w:pPr>
          </w:p>
        </w:tc>
        <w:tc>
          <w:tcPr>
            <w:tcW w:w="2120" w:type="dxa"/>
            <w:vAlign w:val="bottom"/>
            <w:shd w:val="clear" w:color="auto" w:fill="0B3C61"/>
          </w:tcPr>
          <w:p>
            <w:pPr>
              <w:spacing w:after="0"/>
              <w:rPr>
                <w:sz w:val="14"/>
                <w:szCs w:val="14"/>
                <w:color w:val="auto"/>
              </w:rPr>
            </w:pPr>
          </w:p>
        </w:tc>
        <w:tc>
          <w:tcPr>
            <w:tcW w:w="2400" w:type="dxa"/>
            <w:vAlign w:val="bottom"/>
            <w:shd w:val="clear" w:color="auto" w:fill="0B3C61"/>
          </w:tcPr>
          <w:p>
            <w:pPr>
              <w:jc w:val="right"/>
              <w:ind w:right="108"/>
              <w:spacing w:after="0"/>
              <w:rPr>
                <w:sz w:val="20"/>
                <w:szCs w:val="20"/>
                <w:color w:val="auto"/>
              </w:rPr>
            </w:pPr>
            <w:r>
              <w:rPr>
                <w:rFonts w:ascii="Arial" w:cs="Arial" w:eastAsia="Arial" w:hAnsi="Arial"/>
                <w:sz w:val="14"/>
                <w:szCs w:val="14"/>
                <w:color w:val="FFFFFF"/>
              </w:rPr>
              <w:t>available for</w:t>
            </w:r>
          </w:p>
        </w:tc>
        <w:tc>
          <w:tcPr>
            <w:tcW w:w="0" w:type="dxa"/>
            <w:vAlign w:val="bottom"/>
          </w:tcPr>
          <w:p>
            <w:pPr>
              <w:spacing w:after="0"/>
              <w:rPr>
                <w:sz w:val="1"/>
                <w:szCs w:val="1"/>
                <w:color w:val="auto"/>
              </w:rPr>
            </w:pPr>
          </w:p>
        </w:tc>
      </w:tr>
      <w:tr>
        <w:trPr>
          <w:trHeight w:val="162"/>
        </w:trPr>
        <w:tc>
          <w:tcPr>
            <w:tcW w:w="2280" w:type="dxa"/>
            <w:vAlign w:val="bottom"/>
            <w:shd w:val="clear" w:color="auto" w:fill="0B3C61"/>
          </w:tcPr>
          <w:p>
            <w:pPr>
              <w:spacing w:after="0"/>
              <w:rPr>
                <w:sz w:val="14"/>
                <w:szCs w:val="14"/>
                <w:color w:val="auto"/>
              </w:rPr>
            </w:pPr>
          </w:p>
        </w:tc>
        <w:tc>
          <w:tcPr>
            <w:tcW w:w="2600" w:type="dxa"/>
            <w:vAlign w:val="bottom"/>
            <w:shd w:val="clear" w:color="auto" w:fill="0B3C61"/>
          </w:tcPr>
          <w:p>
            <w:pPr>
              <w:jc w:val="right"/>
              <w:ind w:right="488"/>
              <w:spacing w:after="0"/>
              <w:rPr>
                <w:sz w:val="20"/>
                <w:szCs w:val="20"/>
                <w:color w:val="auto"/>
              </w:rPr>
            </w:pPr>
            <w:r>
              <w:rPr>
                <w:rFonts w:ascii="Arial" w:cs="Arial" w:eastAsia="Arial" w:hAnsi="Arial"/>
                <w:sz w:val="14"/>
                <w:szCs w:val="14"/>
                <w:color w:val="FFFFFF"/>
              </w:rPr>
              <w:t>(a)</w:t>
            </w:r>
          </w:p>
        </w:tc>
        <w:tc>
          <w:tcPr>
            <w:tcW w:w="2120" w:type="dxa"/>
            <w:vAlign w:val="bottom"/>
            <w:shd w:val="clear" w:color="auto" w:fill="0B3C61"/>
          </w:tcPr>
          <w:p>
            <w:pPr>
              <w:jc w:val="right"/>
              <w:ind w:right="248"/>
              <w:spacing w:after="0"/>
              <w:rPr>
                <w:sz w:val="20"/>
                <w:szCs w:val="20"/>
                <w:color w:val="auto"/>
              </w:rPr>
            </w:pPr>
            <w:r>
              <w:rPr>
                <w:rFonts w:ascii="Arial" w:cs="Arial" w:eastAsia="Arial" w:hAnsi="Arial"/>
                <w:sz w:val="14"/>
                <w:szCs w:val="14"/>
                <w:color w:val="FFFFFF"/>
              </w:rPr>
              <w:t>(b)</w:t>
            </w:r>
          </w:p>
        </w:tc>
        <w:tc>
          <w:tcPr>
            <w:tcW w:w="2400" w:type="dxa"/>
            <w:vAlign w:val="bottom"/>
            <w:shd w:val="clear" w:color="auto" w:fill="0B3C61"/>
          </w:tcPr>
          <w:p>
            <w:pPr>
              <w:jc w:val="right"/>
              <w:ind w:right="108"/>
              <w:spacing w:after="0"/>
              <w:rPr>
                <w:sz w:val="20"/>
                <w:szCs w:val="20"/>
                <w:color w:val="auto"/>
              </w:rPr>
            </w:pPr>
            <w:r>
              <w:rPr>
                <w:rFonts w:ascii="Arial" w:cs="Arial" w:eastAsia="Arial" w:hAnsi="Arial"/>
                <w:sz w:val="14"/>
                <w:szCs w:val="14"/>
                <w:color w:val="FFFFFF"/>
              </w:rPr>
              <w:t>future issuance under</w:t>
            </w:r>
          </w:p>
        </w:tc>
        <w:tc>
          <w:tcPr>
            <w:tcW w:w="0" w:type="dxa"/>
            <w:vAlign w:val="bottom"/>
          </w:tcPr>
          <w:p>
            <w:pPr>
              <w:spacing w:after="0"/>
              <w:rPr>
                <w:sz w:val="1"/>
                <w:szCs w:val="1"/>
                <w:color w:val="auto"/>
              </w:rPr>
            </w:pPr>
          </w:p>
        </w:tc>
      </w:tr>
      <w:tr>
        <w:trPr>
          <w:trHeight w:val="162"/>
        </w:trPr>
        <w:tc>
          <w:tcPr>
            <w:tcW w:w="2280" w:type="dxa"/>
            <w:vAlign w:val="bottom"/>
            <w:shd w:val="clear" w:color="auto" w:fill="0B3C61"/>
          </w:tcPr>
          <w:p>
            <w:pPr>
              <w:spacing w:after="0"/>
              <w:rPr>
                <w:sz w:val="14"/>
                <w:szCs w:val="14"/>
                <w:color w:val="auto"/>
              </w:rPr>
            </w:pPr>
          </w:p>
        </w:tc>
        <w:tc>
          <w:tcPr>
            <w:tcW w:w="2600" w:type="dxa"/>
            <w:vAlign w:val="bottom"/>
            <w:shd w:val="clear" w:color="auto" w:fill="0B3C61"/>
          </w:tcPr>
          <w:p>
            <w:pPr>
              <w:jc w:val="right"/>
              <w:ind w:right="488"/>
              <w:spacing w:after="0"/>
              <w:rPr>
                <w:sz w:val="20"/>
                <w:szCs w:val="20"/>
                <w:color w:val="auto"/>
              </w:rPr>
            </w:pPr>
            <w:r>
              <w:rPr>
                <w:rFonts w:ascii="Arial" w:cs="Arial" w:eastAsia="Arial" w:hAnsi="Arial"/>
                <w:sz w:val="14"/>
                <w:szCs w:val="14"/>
                <w:color w:val="FFFFFF"/>
              </w:rPr>
              <w:t>Number of securities to be</w:t>
            </w:r>
          </w:p>
        </w:tc>
        <w:tc>
          <w:tcPr>
            <w:tcW w:w="2120" w:type="dxa"/>
            <w:vAlign w:val="bottom"/>
            <w:shd w:val="clear" w:color="auto" w:fill="0B3C61"/>
          </w:tcPr>
          <w:p>
            <w:pPr>
              <w:jc w:val="right"/>
              <w:ind w:right="248"/>
              <w:spacing w:after="0"/>
              <w:rPr>
                <w:sz w:val="20"/>
                <w:szCs w:val="20"/>
                <w:color w:val="auto"/>
              </w:rPr>
            </w:pPr>
            <w:r>
              <w:rPr>
                <w:rFonts w:ascii="Arial" w:cs="Arial" w:eastAsia="Arial" w:hAnsi="Arial"/>
                <w:sz w:val="14"/>
                <w:szCs w:val="14"/>
                <w:color w:val="FFFFFF"/>
              </w:rPr>
              <w:t>Weighted-average</w:t>
            </w:r>
          </w:p>
        </w:tc>
        <w:tc>
          <w:tcPr>
            <w:tcW w:w="2400" w:type="dxa"/>
            <w:vAlign w:val="bottom"/>
            <w:shd w:val="clear" w:color="auto" w:fill="0B3C61"/>
          </w:tcPr>
          <w:p>
            <w:pPr>
              <w:jc w:val="right"/>
              <w:ind w:right="108"/>
              <w:spacing w:after="0"/>
              <w:rPr>
                <w:sz w:val="20"/>
                <w:szCs w:val="20"/>
                <w:color w:val="auto"/>
              </w:rPr>
            </w:pPr>
            <w:r>
              <w:rPr>
                <w:rFonts w:ascii="Arial" w:cs="Arial" w:eastAsia="Arial" w:hAnsi="Arial"/>
                <w:sz w:val="14"/>
                <w:szCs w:val="14"/>
                <w:color w:val="FFFFFF"/>
              </w:rPr>
              <w:t>equity compensation</w:t>
            </w:r>
          </w:p>
        </w:tc>
        <w:tc>
          <w:tcPr>
            <w:tcW w:w="0" w:type="dxa"/>
            <w:vAlign w:val="bottom"/>
          </w:tcPr>
          <w:p>
            <w:pPr>
              <w:spacing w:after="0"/>
              <w:rPr>
                <w:sz w:val="1"/>
                <w:szCs w:val="1"/>
                <w:color w:val="auto"/>
              </w:rPr>
            </w:pPr>
          </w:p>
        </w:tc>
      </w:tr>
      <w:tr>
        <w:trPr>
          <w:trHeight w:val="162"/>
        </w:trPr>
        <w:tc>
          <w:tcPr>
            <w:tcW w:w="2280" w:type="dxa"/>
            <w:vAlign w:val="bottom"/>
            <w:shd w:val="clear" w:color="auto" w:fill="0B3C61"/>
          </w:tcPr>
          <w:p>
            <w:pPr>
              <w:spacing w:after="0"/>
              <w:rPr>
                <w:sz w:val="14"/>
                <w:szCs w:val="14"/>
                <w:color w:val="auto"/>
              </w:rPr>
            </w:pPr>
          </w:p>
        </w:tc>
        <w:tc>
          <w:tcPr>
            <w:tcW w:w="2600" w:type="dxa"/>
            <w:vAlign w:val="bottom"/>
            <w:shd w:val="clear" w:color="auto" w:fill="0B3C61"/>
          </w:tcPr>
          <w:p>
            <w:pPr>
              <w:jc w:val="right"/>
              <w:ind w:right="488"/>
              <w:spacing w:after="0"/>
              <w:rPr>
                <w:sz w:val="20"/>
                <w:szCs w:val="20"/>
                <w:color w:val="auto"/>
              </w:rPr>
            </w:pPr>
            <w:r>
              <w:rPr>
                <w:rFonts w:ascii="Arial" w:cs="Arial" w:eastAsia="Arial" w:hAnsi="Arial"/>
                <w:sz w:val="14"/>
                <w:szCs w:val="14"/>
                <w:color w:val="FFFFFF"/>
              </w:rPr>
              <w:t>issued upon exercise of</w:t>
            </w:r>
          </w:p>
        </w:tc>
        <w:tc>
          <w:tcPr>
            <w:tcW w:w="2120" w:type="dxa"/>
            <w:vAlign w:val="bottom"/>
            <w:shd w:val="clear" w:color="auto" w:fill="0B3C61"/>
          </w:tcPr>
          <w:p>
            <w:pPr>
              <w:jc w:val="right"/>
              <w:ind w:right="248"/>
              <w:spacing w:after="0"/>
              <w:rPr>
                <w:sz w:val="20"/>
                <w:szCs w:val="20"/>
                <w:color w:val="auto"/>
              </w:rPr>
            </w:pPr>
            <w:r>
              <w:rPr>
                <w:rFonts w:ascii="Arial" w:cs="Arial" w:eastAsia="Arial" w:hAnsi="Arial"/>
                <w:sz w:val="14"/>
                <w:szCs w:val="14"/>
                <w:color w:val="FFFFFF"/>
              </w:rPr>
              <w:t>exercise price of</w:t>
            </w:r>
          </w:p>
        </w:tc>
        <w:tc>
          <w:tcPr>
            <w:tcW w:w="2400" w:type="dxa"/>
            <w:vAlign w:val="bottom"/>
            <w:shd w:val="clear" w:color="auto" w:fill="0B3C61"/>
          </w:tcPr>
          <w:p>
            <w:pPr>
              <w:jc w:val="right"/>
              <w:ind w:right="108"/>
              <w:spacing w:after="0"/>
              <w:rPr>
                <w:sz w:val="20"/>
                <w:szCs w:val="20"/>
                <w:color w:val="auto"/>
              </w:rPr>
            </w:pPr>
            <w:r>
              <w:rPr>
                <w:rFonts w:ascii="Arial" w:cs="Arial" w:eastAsia="Arial" w:hAnsi="Arial"/>
                <w:sz w:val="14"/>
                <w:szCs w:val="14"/>
                <w:color w:val="FFFFFF"/>
              </w:rPr>
              <w:t>plans (excluding</w:t>
            </w:r>
          </w:p>
        </w:tc>
        <w:tc>
          <w:tcPr>
            <w:tcW w:w="0" w:type="dxa"/>
            <w:vAlign w:val="bottom"/>
          </w:tcPr>
          <w:p>
            <w:pPr>
              <w:spacing w:after="0"/>
              <w:rPr>
                <w:sz w:val="1"/>
                <w:szCs w:val="1"/>
                <w:color w:val="auto"/>
              </w:rPr>
            </w:pPr>
          </w:p>
        </w:tc>
      </w:tr>
      <w:tr>
        <w:trPr>
          <w:trHeight w:val="162"/>
        </w:trPr>
        <w:tc>
          <w:tcPr>
            <w:tcW w:w="2280" w:type="dxa"/>
            <w:vAlign w:val="bottom"/>
            <w:shd w:val="clear" w:color="auto" w:fill="0B3C61"/>
          </w:tcPr>
          <w:p>
            <w:pPr>
              <w:spacing w:after="0"/>
              <w:rPr>
                <w:sz w:val="14"/>
                <w:szCs w:val="14"/>
                <w:color w:val="auto"/>
              </w:rPr>
            </w:pPr>
          </w:p>
        </w:tc>
        <w:tc>
          <w:tcPr>
            <w:tcW w:w="2600" w:type="dxa"/>
            <w:vAlign w:val="bottom"/>
            <w:shd w:val="clear" w:color="auto" w:fill="0B3C61"/>
          </w:tcPr>
          <w:p>
            <w:pPr>
              <w:jc w:val="right"/>
              <w:ind w:right="488"/>
              <w:spacing w:after="0"/>
              <w:rPr>
                <w:sz w:val="20"/>
                <w:szCs w:val="20"/>
                <w:color w:val="auto"/>
              </w:rPr>
            </w:pPr>
            <w:r>
              <w:rPr>
                <w:rFonts w:ascii="Arial" w:cs="Arial" w:eastAsia="Arial" w:hAnsi="Arial"/>
                <w:sz w:val="14"/>
                <w:szCs w:val="14"/>
                <w:color w:val="FFFFFF"/>
              </w:rPr>
              <w:t>outstanding options,</w:t>
            </w:r>
          </w:p>
        </w:tc>
        <w:tc>
          <w:tcPr>
            <w:tcW w:w="2120" w:type="dxa"/>
            <w:vAlign w:val="bottom"/>
            <w:shd w:val="clear" w:color="auto" w:fill="0B3C61"/>
          </w:tcPr>
          <w:p>
            <w:pPr>
              <w:jc w:val="right"/>
              <w:ind w:right="248"/>
              <w:spacing w:after="0"/>
              <w:rPr>
                <w:sz w:val="20"/>
                <w:szCs w:val="20"/>
                <w:color w:val="auto"/>
              </w:rPr>
            </w:pPr>
            <w:r>
              <w:rPr>
                <w:rFonts w:ascii="Arial" w:cs="Arial" w:eastAsia="Arial" w:hAnsi="Arial"/>
                <w:sz w:val="14"/>
                <w:szCs w:val="14"/>
                <w:color w:val="FFFFFF"/>
              </w:rPr>
              <w:t>outstanding options,</w:t>
            </w:r>
          </w:p>
        </w:tc>
        <w:tc>
          <w:tcPr>
            <w:tcW w:w="2400" w:type="dxa"/>
            <w:vAlign w:val="bottom"/>
            <w:shd w:val="clear" w:color="auto" w:fill="0B3C61"/>
          </w:tcPr>
          <w:p>
            <w:pPr>
              <w:jc w:val="right"/>
              <w:ind w:right="108"/>
              <w:spacing w:after="0"/>
              <w:rPr>
                <w:sz w:val="20"/>
                <w:szCs w:val="20"/>
                <w:color w:val="auto"/>
              </w:rPr>
            </w:pPr>
            <w:r>
              <w:rPr>
                <w:rFonts w:ascii="Arial" w:cs="Arial" w:eastAsia="Arial" w:hAnsi="Arial"/>
                <w:sz w:val="14"/>
                <w:szCs w:val="14"/>
                <w:color w:val="FFFFFF"/>
              </w:rPr>
              <w:t>securities reflected in</w:t>
            </w:r>
          </w:p>
        </w:tc>
        <w:tc>
          <w:tcPr>
            <w:tcW w:w="0" w:type="dxa"/>
            <w:vAlign w:val="bottom"/>
          </w:tcPr>
          <w:p>
            <w:pPr>
              <w:spacing w:after="0"/>
              <w:rPr>
                <w:sz w:val="1"/>
                <w:szCs w:val="1"/>
                <w:color w:val="auto"/>
              </w:rPr>
            </w:pPr>
          </w:p>
        </w:tc>
      </w:tr>
      <w:tr>
        <w:trPr>
          <w:trHeight w:val="190"/>
        </w:trPr>
        <w:tc>
          <w:tcPr>
            <w:tcW w:w="2280" w:type="dxa"/>
            <w:vAlign w:val="bottom"/>
            <w:shd w:val="clear" w:color="auto" w:fill="0B3C61"/>
          </w:tcPr>
          <w:p>
            <w:pPr>
              <w:ind w:left="220"/>
              <w:spacing w:after="0"/>
              <w:rPr>
                <w:sz w:val="20"/>
                <w:szCs w:val="20"/>
                <w:color w:val="auto"/>
              </w:rPr>
            </w:pPr>
            <w:r>
              <w:rPr>
                <w:rFonts w:ascii="Arial" w:cs="Arial" w:eastAsia="Arial" w:hAnsi="Arial"/>
                <w:sz w:val="14"/>
                <w:szCs w:val="14"/>
                <w:color w:val="FFFFFF"/>
              </w:rPr>
              <w:t>Plan category</w:t>
            </w:r>
          </w:p>
        </w:tc>
        <w:tc>
          <w:tcPr>
            <w:tcW w:w="2600" w:type="dxa"/>
            <w:vAlign w:val="bottom"/>
            <w:shd w:val="clear" w:color="auto" w:fill="0B3C61"/>
          </w:tcPr>
          <w:p>
            <w:pPr>
              <w:jc w:val="right"/>
              <w:ind w:right="448"/>
              <w:spacing w:after="0"/>
              <w:rPr>
                <w:sz w:val="20"/>
                <w:szCs w:val="20"/>
                <w:color w:val="auto"/>
              </w:rPr>
            </w:pPr>
            <w:r>
              <w:rPr>
                <w:rFonts w:ascii="Arial" w:cs="Arial" w:eastAsia="Arial" w:hAnsi="Arial"/>
                <w:sz w:val="14"/>
                <w:szCs w:val="14"/>
                <w:color w:val="FFFFFF"/>
              </w:rPr>
              <w:t>warrants, and rights</w:t>
            </w:r>
          </w:p>
        </w:tc>
        <w:tc>
          <w:tcPr>
            <w:tcW w:w="2120" w:type="dxa"/>
            <w:vAlign w:val="bottom"/>
            <w:shd w:val="clear" w:color="auto" w:fill="0B3C61"/>
          </w:tcPr>
          <w:p>
            <w:pPr>
              <w:jc w:val="right"/>
              <w:ind w:right="208"/>
              <w:spacing w:after="0"/>
              <w:rPr>
                <w:sz w:val="20"/>
                <w:szCs w:val="20"/>
                <w:color w:val="auto"/>
              </w:rPr>
            </w:pPr>
            <w:r>
              <w:rPr>
                <w:rFonts w:ascii="Arial" w:cs="Arial" w:eastAsia="Arial" w:hAnsi="Arial"/>
                <w:sz w:val="14"/>
                <w:szCs w:val="14"/>
                <w:color w:val="FFFFFF"/>
              </w:rPr>
              <w:t>warrants, and rights</w:t>
            </w:r>
          </w:p>
        </w:tc>
        <w:tc>
          <w:tcPr>
            <w:tcW w:w="2400" w:type="dxa"/>
            <w:vAlign w:val="bottom"/>
            <w:shd w:val="clear" w:color="auto" w:fill="0B3C61"/>
          </w:tcPr>
          <w:p>
            <w:pPr>
              <w:jc w:val="right"/>
              <w:ind w:right="68"/>
              <w:spacing w:after="0"/>
              <w:rPr>
                <w:sz w:val="20"/>
                <w:szCs w:val="20"/>
                <w:color w:val="auto"/>
              </w:rPr>
            </w:pPr>
            <w:r>
              <w:rPr>
                <w:rFonts w:ascii="Arial" w:cs="Arial" w:eastAsia="Arial" w:hAnsi="Arial"/>
                <w:sz w:val="14"/>
                <w:szCs w:val="14"/>
                <w:color w:val="FFFFFF"/>
              </w:rPr>
              <w:t>column (a))</w:t>
            </w:r>
          </w:p>
        </w:tc>
        <w:tc>
          <w:tcPr>
            <w:tcW w:w="0" w:type="dxa"/>
            <w:vAlign w:val="bottom"/>
          </w:tcPr>
          <w:p>
            <w:pPr>
              <w:spacing w:after="0"/>
              <w:rPr>
                <w:sz w:val="1"/>
                <w:szCs w:val="1"/>
                <w:color w:val="auto"/>
              </w:rPr>
            </w:pPr>
          </w:p>
        </w:tc>
      </w:tr>
      <w:tr>
        <w:trPr>
          <w:trHeight w:val="62"/>
        </w:trPr>
        <w:tc>
          <w:tcPr>
            <w:tcW w:w="2280" w:type="dxa"/>
            <w:vAlign w:val="bottom"/>
            <w:shd w:val="clear" w:color="auto" w:fill="0B3C61"/>
          </w:tcPr>
          <w:p>
            <w:pPr>
              <w:spacing w:after="0"/>
              <w:rPr>
                <w:sz w:val="5"/>
                <w:szCs w:val="5"/>
                <w:color w:val="auto"/>
              </w:rPr>
            </w:pPr>
          </w:p>
        </w:tc>
        <w:tc>
          <w:tcPr>
            <w:tcW w:w="2600" w:type="dxa"/>
            <w:vAlign w:val="bottom"/>
            <w:shd w:val="clear" w:color="auto" w:fill="0B3C61"/>
          </w:tcPr>
          <w:p>
            <w:pPr>
              <w:spacing w:after="0"/>
              <w:rPr>
                <w:sz w:val="5"/>
                <w:szCs w:val="5"/>
                <w:color w:val="auto"/>
              </w:rPr>
            </w:pPr>
          </w:p>
        </w:tc>
        <w:tc>
          <w:tcPr>
            <w:tcW w:w="2120" w:type="dxa"/>
            <w:vAlign w:val="bottom"/>
            <w:shd w:val="clear" w:color="auto" w:fill="0B3C61"/>
          </w:tcPr>
          <w:p>
            <w:pPr>
              <w:spacing w:after="0"/>
              <w:rPr>
                <w:sz w:val="5"/>
                <w:szCs w:val="5"/>
                <w:color w:val="auto"/>
              </w:rPr>
            </w:pPr>
          </w:p>
        </w:tc>
        <w:tc>
          <w:tcPr>
            <w:tcW w:w="2400" w:type="dxa"/>
            <w:vAlign w:val="bottom"/>
            <w:shd w:val="clear" w:color="auto" w:fill="0B3C61"/>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220"/>
              <w:spacing w:after="0"/>
              <w:rPr>
                <w:sz w:val="20"/>
                <w:szCs w:val="20"/>
                <w:color w:val="auto"/>
              </w:rPr>
            </w:pPr>
            <w:r>
              <w:rPr>
                <w:rFonts w:ascii="Arial" w:cs="Arial" w:eastAsia="Arial" w:hAnsi="Arial"/>
                <w:sz w:val="14"/>
                <w:szCs w:val="14"/>
                <w:color w:val="54565B"/>
              </w:rPr>
              <w:t>Equity compensation plans</w:t>
            </w:r>
          </w:p>
        </w:tc>
        <w:tc>
          <w:tcPr>
            <w:tcW w:w="26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0" w:type="dxa"/>
            <w:vAlign w:val="bottom"/>
            <w:vMerge w:val="restart"/>
          </w:tcPr>
          <w:p>
            <w:pPr>
              <w:jc w:val="right"/>
              <w:ind w:right="68"/>
              <w:spacing w:after="0"/>
              <w:rPr>
                <w:sz w:val="20"/>
                <w:szCs w:val="20"/>
                <w:color w:val="auto"/>
              </w:rPr>
            </w:pPr>
            <w:r>
              <w:rPr>
                <w:rFonts w:ascii="Arial" w:cs="Arial" w:eastAsia="Arial" w:hAnsi="Arial"/>
                <w:sz w:val="14"/>
                <w:szCs w:val="14"/>
                <w:color w:val="54565B"/>
              </w:rPr>
              <w:t>2,486,513</w:t>
            </w:r>
            <w:r>
              <w:rPr>
                <w:rFonts w:ascii="Arial" w:cs="Arial" w:eastAsia="Arial" w:hAnsi="Arial"/>
                <w:sz w:val="23"/>
                <w:szCs w:val="23"/>
                <w:color w:val="54565B"/>
                <w:vertAlign w:val="superscript"/>
              </w:rPr>
              <w:t>(1)</w:t>
            </w:r>
          </w:p>
        </w:tc>
        <w:tc>
          <w:tcPr>
            <w:tcW w:w="0" w:type="dxa"/>
            <w:vAlign w:val="bottom"/>
          </w:tcPr>
          <w:p>
            <w:pPr>
              <w:spacing w:after="0"/>
              <w:rPr>
                <w:sz w:val="1"/>
                <w:szCs w:val="1"/>
                <w:color w:val="auto"/>
              </w:rPr>
            </w:pPr>
          </w:p>
        </w:tc>
      </w:tr>
      <w:tr>
        <w:trPr>
          <w:trHeight w:val="162"/>
        </w:trPr>
        <w:tc>
          <w:tcPr>
            <w:tcW w:w="2280" w:type="dxa"/>
            <w:vAlign w:val="bottom"/>
          </w:tcPr>
          <w:p>
            <w:pPr>
              <w:ind w:left="220"/>
              <w:spacing w:after="0"/>
              <w:rPr>
                <w:sz w:val="20"/>
                <w:szCs w:val="20"/>
                <w:color w:val="auto"/>
              </w:rPr>
            </w:pPr>
            <w:r>
              <w:rPr>
                <w:rFonts w:ascii="Arial" w:cs="Arial" w:eastAsia="Arial" w:hAnsi="Arial"/>
                <w:sz w:val="14"/>
                <w:szCs w:val="14"/>
                <w:color w:val="54565B"/>
              </w:rPr>
              <w:t>approved by security</w:t>
            </w:r>
          </w:p>
        </w:tc>
        <w:tc>
          <w:tcPr>
            <w:tcW w:w="2600" w:type="dxa"/>
            <w:vAlign w:val="bottom"/>
          </w:tcPr>
          <w:p>
            <w:pPr>
              <w:jc w:val="right"/>
              <w:ind w:right="448"/>
              <w:spacing w:after="0"/>
              <w:rPr>
                <w:sz w:val="20"/>
                <w:szCs w:val="20"/>
                <w:color w:val="auto"/>
              </w:rPr>
            </w:pPr>
            <w:r>
              <w:rPr>
                <w:rFonts w:ascii="Arial" w:cs="Arial" w:eastAsia="Arial" w:hAnsi="Arial"/>
                <w:sz w:val="14"/>
                <w:szCs w:val="14"/>
                <w:color w:val="54565B"/>
              </w:rPr>
              <w:t>—</w:t>
            </w:r>
          </w:p>
        </w:tc>
        <w:tc>
          <w:tcPr>
            <w:tcW w:w="2120" w:type="dxa"/>
            <w:vAlign w:val="bottom"/>
          </w:tcPr>
          <w:p>
            <w:pPr>
              <w:jc w:val="right"/>
              <w:ind w:right="208"/>
              <w:spacing w:after="0"/>
              <w:rPr>
                <w:sz w:val="20"/>
                <w:szCs w:val="20"/>
                <w:color w:val="auto"/>
              </w:rPr>
            </w:pPr>
            <w:r>
              <w:rPr>
                <w:rFonts w:ascii="Arial" w:cs="Arial" w:eastAsia="Arial" w:hAnsi="Arial"/>
                <w:sz w:val="14"/>
                <w:szCs w:val="14"/>
                <w:color w:val="54565B"/>
              </w:rPr>
              <w:t>—</w:t>
            </w: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280" w:type="dxa"/>
            <w:vAlign w:val="bottom"/>
          </w:tcPr>
          <w:p>
            <w:pPr>
              <w:ind w:left="220"/>
              <w:spacing w:after="0"/>
              <w:rPr>
                <w:sz w:val="20"/>
                <w:szCs w:val="20"/>
                <w:color w:val="auto"/>
              </w:rPr>
            </w:pPr>
            <w:r>
              <w:rPr>
                <w:rFonts w:ascii="Arial" w:cs="Arial" w:eastAsia="Arial" w:hAnsi="Arial"/>
                <w:sz w:val="14"/>
                <w:szCs w:val="14"/>
                <w:color w:val="54565B"/>
              </w:rPr>
              <w:t>holders</w:t>
            </w:r>
          </w:p>
        </w:tc>
        <w:tc>
          <w:tcPr>
            <w:tcW w:w="26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2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2280" w:type="dxa"/>
            <w:vAlign w:val="bottom"/>
            <w:shd w:val="clear" w:color="auto" w:fill="EAF7FA"/>
          </w:tcPr>
          <w:p>
            <w:pPr>
              <w:ind w:left="220"/>
              <w:spacing w:after="0"/>
              <w:rPr>
                <w:sz w:val="20"/>
                <w:szCs w:val="20"/>
                <w:color w:val="auto"/>
              </w:rPr>
            </w:pPr>
            <w:r>
              <w:rPr>
                <w:rFonts w:ascii="Arial" w:cs="Arial" w:eastAsia="Arial" w:hAnsi="Arial"/>
                <w:sz w:val="14"/>
                <w:szCs w:val="14"/>
                <w:color w:val="54565B"/>
              </w:rPr>
              <w:t>Equity compensation plans</w:t>
            </w:r>
          </w:p>
        </w:tc>
        <w:tc>
          <w:tcPr>
            <w:tcW w:w="2600" w:type="dxa"/>
            <w:vAlign w:val="bottom"/>
            <w:shd w:val="clear" w:color="auto" w:fill="EAF7FA"/>
          </w:tcPr>
          <w:p>
            <w:pPr>
              <w:spacing w:after="0"/>
              <w:rPr>
                <w:sz w:val="16"/>
                <w:szCs w:val="16"/>
                <w:color w:val="auto"/>
              </w:rPr>
            </w:pPr>
          </w:p>
        </w:tc>
        <w:tc>
          <w:tcPr>
            <w:tcW w:w="2120" w:type="dxa"/>
            <w:vAlign w:val="bottom"/>
            <w:shd w:val="clear" w:color="auto" w:fill="EAF7FA"/>
          </w:tcPr>
          <w:p>
            <w:pPr>
              <w:spacing w:after="0"/>
              <w:rPr>
                <w:sz w:val="16"/>
                <w:szCs w:val="16"/>
                <w:color w:val="auto"/>
              </w:rPr>
            </w:pPr>
          </w:p>
        </w:tc>
        <w:tc>
          <w:tcPr>
            <w:tcW w:w="2400" w:type="dxa"/>
            <w:vAlign w:val="bottom"/>
            <w:shd w:val="clear" w:color="auto" w:fill="EAF7FA"/>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EAF7FA"/>
          </w:tcPr>
          <w:p>
            <w:pPr>
              <w:ind w:left="220"/>
              <w:spacing w:after="0"/>
              <w:rPr>
                <w:sz w:val="20"/>
                <w:szCs w:val="20"/>
                <w:color w:val="auto"/>
              </w:rPr>
            </w:pPr>
            <w:r>
              <w:rPr>
                <w:rFonts w:ascii="Arial" w:cs="Arial" w:eastAsia="Arial" w:hAnsi="Arial"/>
                <w:sz w:val="14"/>
                <w:szCs w:val="14"/>
                <w:color w:val="54565B"/>
              </w:rPr>
              <w:t>not approved by security</w:t>
            </w:r>
          </w:p>
        </w:tc>
        <w:tc>
          <w:tcPr>
            <w:tcW w:w="2600" w:type="dxa"/>
            <w:vAlign w:val="bottom"/>
            <w:shd w:val="clear" w:color="auto" w:fill="EAF7FA"/>
          </w:tcPr>
          <w:p>
            <w:pPr>
              <w:jc w:val="right"/>
              <w:ind w:right="448"/>
              <w:spacing w:after="0"/>
              <w:rPr>
                <w:sz w:val="20"/>
                <w:szCs w:val="20"/>
                <w:color w:val="auto"/>
              </w:rPr>
            </w:pPr>
            <w:r>
              <w:rPr>
                <w:rFonts w:ascii="Arial" w:cs="Arial" w:eastAsia="Arial" w:hAnsi="Arial"/>
                <w:sz w:val="14"/>
                <w:szCs w:val="14"/>
                <w:color w:val="54565B"/>
              </w:rPr>
              <w:t>—</w:t>
            </w:r>
          </w:p>
        </w:tc>
        <w:tc>
          <w:tcPr>
            <w:tcW w:w="2120" w:type="dxa"/>
            <w:vAlign w:val="bottom"/>
            <w:shd w:val="clear" w:color="auto" w:fill="EAF7FA"/>
          </w:tcPr>
          <w:p>
            <w:pPr>
              <w:jc w:val="right"/>
              <w:ind w:right="208"/>
              <w:spacing w:after="0"/>
              <w:rPr>
                <w:sz w:val="20"/>
                <w:szCs w:val="20"/>
                <w:color w:val="auto"/>
              </w:rPr>
            </w:pPr>
            <w:r>
              <w:rPr>
                <w:rFonts w:ascii="Arial" w:cs="Arial" w:eastAsia="Arial" w:hAnsi="Arial"/>
                <w:sz w:val="14"/>
                <w:szCs w:val="14"/>
                <w:color w:val="54565B"/>
              </w:rPr>
              <w:t>—</w:t>
            </w:r>
          </w:p>
        </w:tc>
        <w:tc>
          <w:tcPr>
            <w:tcW w:w="2400" w:type="dxa"/>
            <w:vAlign w:val="bottom"/>
            <w:shd w:val="clear" w:color="auto" w:fill="EAF7FA"/>
          </w:tcPr>
          <w:p>
            <w:pPr>
              <w:jc w:val="right"/>
              <w:ind w:right="228"/>
              <w:spacing w:after="0"/>
              <w:rPr>
                <w:sz w:val="20"/>
                <w:szCs w:val="20"/>
                <w:color w:val="auto"/>
              </w:rPr>
            </w:pPr>
            <w:r>
              <w:rPr>
                <w:rFonts w:ascii="Arial" w:cs="Arial" w:eastAsia="Arial" w:hAnsi="Arial"/>
                <w:sz w:val="14"/>
                <w:szCs w:val="14"/>
                <w:color w:val="54565B"/>
              </w:rPr>
              <w:t>—</w:t>
            </w:r>
          </w:p>
        </w:tc>
        <w:tc>
          <w:tcPr>
            <w:tcW w:w="0" w:type="dxa"/>
            <w:vAlign w:val="bottom"/>
          </w:tcPr>
          <w:p>
            <w:pPr>
              <w:spacing w:after="0"/>
              <w:rPr>
                <w:sz w:val="1"/>
                <w:szCs w:val="1"/>
                <w:color w:val="auto"/>
              </w:rPr>
            </w:pPr>
          </w:p>
        </w:tc>
      </w:tr>
      <w:tr>
        <w:trPr>
          <w:trHeight w:val="205"/>
        </w:trPr>
        <w:tc>
          <w:tcPr>
            <w:tcW w:w="2280" w:type="dxa"/>
            <w:vAlign w:val="bottom"/>
            <w:tcBorders>
              <w:bottom w:val="single" w:sz="8" w:color="EAF7FA"/>
            </w:tcBorders>
            <w:shd w:val="clear" w:color="auto" w:fill="EAF7FA"/>
          </w:tcPr>
          <w:p>
            <w:pPr>
              <w:ind w:left="220"/>
              <w:spacing w:after="0"/>
              <w:rPr>
                <w:sz w:val="20"/>
                <w:szCs w:val="20"/>
                <w:color w:val="auto"/>
              </w:rPr>
            </w:pPr>
            <w:r>
              <w:rPr>
                <w:rFonts w:ascii="Arial" w:cs="Arial" w:eastAsia="Arial" w:hAnsi="Arial"/>
                <w:sz w:val="14"/>
                <w:szCs w:val="14"/>
                <w:color w:val="54565B"/>
              </w:rPr>
              <w:t>holders</w:t>
            </w:r>
          </w:p>
        </w:tc>
        <w:tc>
          <w:tcPr>
            <w:tcW w:w="2600" w:type="dxa"/>
            <w:vAlign w:val="bottom"/>
            <w:tcBorders>
              <w:bottom w:val="single" w:sz="8" w:color="EAF7FA"/>
            </w:tcBorders>
            <w:shd w:val="clear" w:color="auto" w:fill="EAF7FA"/>
          </w:tcPr>
          <w:p>
            <w:pPr>
              <w:spacing w:after="0"/>
              <w:rPr>
                <w:sz w:val="17"/>
                <w:szCs w:val="17"/>
                <w:color w:val="auto"/>
              </w:rPr>
            </w:pPr>
          </w:p>
        </w:tc>
        <w:tc>
          <w:tcPr>
            <w:tcW w:w="2120" w:type="dxa"/>
            <w:vAlign w:val="bottom"/>
            <w:tcBorders>
              <w:bottom w:val="single" w:sz="8" w:color="EAF7FA"/>
            </w:tcBorders>
            <w:shd w:val="clear" w:color="auto" w:fill="EAF7FA"/>
          </w:tcPr>
          <w:p>
            <w:pPr>
              <w:spacing w:after="0"/>
              <w:rPr>
                <w:sz w:val="17"/>
                <w:szCs w:val="17"/>
                <w:color w:val="auto"/>
              </w:rPr>
            </w:pPr>
          </w:p>
        </w:tc>
        <w:tc>
          <w:tcPr>
            <w:tcW w:w="2400" w:type="dxa"/>
            <w:vAlign w:val="bottom"/>
            <w:tcBorders>
              <w:bottom w:val="single" w:sz="8" w:color="EAF7FA"/>
            </w:tcBorders>
            <w:shd w:val="clear" w:color="auto" w:fill="EAF7FA"/>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280" w:type="dxa"/>
            <w:vAlign w:val="bottom"/>
            <w:tcBorders>
              <w:bottom w:val="single" w:sz="8" w:color="0B3C61"/>
            </w:tcBorders>
          </w:tcPr>
          <w:p>
            <w:pPr>
              <w:ind w:left="220"/>
              <w:spacing w:after="0"/>
              <w:rPr>
                <w:sz w:val="20"/>
                <w:szCs w:val="20"/>
                <w:color w:val="auto"/>
              </w:rPr>
            </w:pPr>
            <w:r>
              <w:rPr>
                <w:rFonts w:ascii="Arial" w:cs="Arial" w:eastAsia="Arial" w:hAnsi="Arial"/>
                <w:sz w:val="14"/>
                <w:szCs w:val="14"/>
                <w:color w:val="54565B"/>
              </w:rPr>
              <w:t>Total</w:t>
            </w:r>
          </w:p>
        </w:tc>
        <w:tc>
          <w:tcPr>
            <w:tcW w:w="2600" w:type="dxa"/>
            <w:vAlign w:val="bottom"/>
            <w:tcBorders>
              <w:bottom w:val="single" w:sz="8" w:color="0B3C61"/>
            </w:tcBorders>
          </w:tcPr>
          <w:p>
            <w:pPr>
              <w:jc w:val="right"/>
              <w:ind w:right="448"/>
              <w:spacing w:after="0"/>
              <w:rPr>
                <w:sz w:val="20"/>
                <w:szCs w:val="20"/>
                <w:color w:val="auto"/>
              </w:rPr>
            </w:pPr>
            <w:r>
              <w:rPr>
                <w:rFonts w:ascii="Arial" w:cs="Arial" w:eastAsia="Arial" w:hAnsi="Arial"/>
                <w:sz w:val="14"/>
                <w:szCs w:val="14"/>
                <w:color w:val="54565B"/>
              </w:rPr>
              <w:t>—</w:t>
            </w:r>
          </w:p>
        </w:tc>
        <w:tc>
          <w:tcPr>
            <w:tcW w:w="2120" w:type="dxa"/>
            <w:vAlign w:val="bottom"/>
            <w:tcBorders>
              <w:bottom w:val="single" w:sz="8" w:color="0B3C61"/>
            </w:tcBorders>
          </w:tcPr>
          <w:p>
            <w:pPr>
              <w:jc w:val="right"/>
              <w:ind w:right="208"/>
              <w:spacing w:after="0"/>
              <w:rPr>
                <w:sz w:val="20"/>
                <w:szCs w:val="20"/>
                <w:color w:val="auto"/>
              </w:rPr>
            </w:pPr>
            <w:r>
              <w:rPr>
                <w:rFonts w:ascii="Arial" w:cs="Arial" w:eastAsia="Arial" w:hAnsi="Arial"/>
                <w:sz w:val="14"/>
                <w:szCs w:val="14"/>
                <w:color w:val="54565B"/>
              </w:rPr>
              <w:t>—</w:t>
            </w:r>
          </w:p>
        </w:tc>
        <w:tc>
          <w:tcPr>
            <w:tcW w:w="2400" w:type="dxa"/>
            <w:vAlign w:val="bottom"/>
            <w:tcBorders>
              <w:bottom w:val="single" w:sz="8" w:color="0B3C61"/>
            </w:tcBorders>
          </w:tcPr>
          <w:p>
            <w:pPr>
              <w:jc w:val="right"/>
              <w:ind w:right="68"/>
              <w:spacing w:after="0"/>
              <w:rPr>
                <w:sz w:val="20"/>
                <w:szCs w:val="20"/>
                <w:color w:val="auto"/>
              </w:rPr>
            </w:pPr>
            <w:r>
              <w:rPr>
                <w:rFonts w:ascii="Arial" w:cs="Arial" w:eastAsia="Arial" w:hAnsi="Arial"/>
                <w:sz w:val="14"/>
                <w:szCs w:val="14"/>
                <w:color w:val="54565B"/>
              </w:rPr>
              <w:t>2,436,513</w:t>
            </w:r>
            <w:r>
              <w:rPr>
                <w:rFonts w:ascii="Arial" w:cs="Arial" w:eastAsia="Arial" w:hAnsi="Arial"/>
                <w:sz w:val="23"/>
                <w:szCs w:val="23"/>
                <w:color w:val="54565B"/>
                <w:vertAlign w:val="superscript"/>
              </w:rPr>
              <w:t>(1)</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360" w:hanging="6192"/>
        <w:spacing w:after="0" w:line="857" w:lineRule="auto"/>
        <w:tabs>
          <w:tab w:leader="none" w:pos="510" w:val="left"/>
        </w:tabs>
        <w:numPr>
          <w:ilvl w:val="0"/>
          <w:numId w:val="34"/>
        </w:numPr>
        <w:rPr>
          <w:rFonts w:ascii="Arial" w:cs="Arial" w:eastAsia="Arial" w:hAnsi="Arial"/>
          <w:sz w:val="12"/>
          <w:szCs w:val="12"/>
          <w:color w:val="54565B"/>
        </w:rPr>
      </w:pPr>
      <w:r>
        <w:rPr>
          <w:rFonts w:ascii="Arial" w:cs="Arial" w:eastAsia="Arial" w:hAnsi="Arial"/>
          <w:sz w:val="12"/>
          <w:szCs w:val="12"/>
          <w:color w:val="54565B"/>
        </w:rPr>
        <w:t xml:space="preserve">Includes 2.18 million shares issuable under the Company’s equity incentive plans and 204,061 shares issuable under AFG’s Employee Stock Purchase Plan. </w:t>
      </w:r>
      <w:r>
        <w:rPr>
          <w:rFonts w:ascii="Arial" w:cs="Arial" w:eastAsia="Arial" w:hAnsi="Arial"/>
          <w:sz w:val="12"/>
          <w:szCs w:val="12"/>
          <w:color w:val="0B3C61"/>
        </w:rPr>
        <w:t xml:space="preserve">2026 Proxy Statement | American Financial Group   </w:t>
      </w:r>
      <w:r>
        <w:rPr>
          <w:rFonts w:ascii="Arial" w:cs="Arial" w:eastAsia="Arial" w:hAnsi="Arial"/>
          <w:sz w:val="12"/>
          <w:szCs w:val="12"/>
          <w:b w:val="1"/>
          <w:bCs w:val="1"/>
          <w:color w:val="EA1D2D"/>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-90805</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0B3C61"/>
        </w:rPr>
        <w:t>DELINQUENT SECTION 16(a) REPORTS</w:t>
      </w:r>
    </w:p>
    <w:p>
      <w:pPr>
        <w:spacing w:after="0" w:line="83" w:lineRule="exact"/>
        <w:rPr>
          <w:sz w:val="20"/>
          <w:szCs w:val="20"/>
          <w:color w:val="auto"/>
        </w:rPr>
      </w:pPr>
    </w:p>
    <w:p>
      <w:pPr>
        <w:spacing w:after="0" w:line="250" w:lineRule="auto"/>
        <w:rPr>
          <w:sz w:val="20"/>
          <w:szCs w:val="20"/>
          <w:color w:val="auto"/>
        </w:rPr>
      </w:pPr>
      <w:r>
        <w:rPr>
          <w:rFonts w:ascii="Arial" w:cs="Arial" w:eastAsia="Arial" w:hAnsi="Arial"/>
          <w:sz w:val="16"/>
          <w:szCs w:val="16"/>
          <w:color w:val="54565B"/>
        </w:rPr>
        <w:t>Section 16(a) of the Exchange Act requires our executive officers and directors, and persons who own more than ten percent of a registered class of our stock, to file reports of ownership and changes in ownership with the SEC (“Reporting Parties”). Reporting Parties are required by SEC regulation to furnish us with copies of all Section 16(a) forms they file. The Company believes that, for the period from January 1, 2025 through December 31, 2025, its executive officers and directors complied with all filing requirements applicable to them, other than three reports, none of which involved any market transaction. On August 4, 2025, each of the Co-CEOs received a distribution of shares from a family trust over which they have no control. On December 16, 2025,</w:t>
      </w:r>
    </w:p>
    <w:p>
      <w:pPr>
        <w:ind w:right="300"/>
        <w:spacing w:after="0" w:line="265" w:lineRule="auto"/>
        <w:rPr>
          <w:sz w:val="20"/>
          <w:szCs w:val="20"/>
          <w:color w:val="auto"/>
        </w:rPr>
      </w:pPr>
      <w:r>
        <w:rPr>
          <w:rFonts w:ascii="Arial" w:cs="Arial" w:eastAsia="Arial" w:hAnsi="Arial"/>
          <w:sz w:val="16"/>
          <w:szCs w:val="16"/>
          <w:color w:val="54565B"/>
        </w:rPr>
        <w:t>Mr. Lindner III gifted shares. In each case, a Section 16(a) form was thereafter filed reporting the transactions. The Company based its determination on its review of such forms filed electronically or written representations from certain Reporting Parties.</w:t>
      </w: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66 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222885</wp:posOffset>
            </wp:positionV>
            <wp:extent cx="59664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line="281" w:lineRule="auto"/>
        <w:rPr>
          <w:sz w:val="20"/>
          <w:szCs w:val="20"/>
          <w:color w:val="auto"/>
        </w:rPr>
      </w:pPr>
      <w:r>
        <w:rPr>
          <w:rFonts w:ascii="Arial" w:cs="Arial" w:eastAsia="Arial" w:hAnsi="Arial"/>
          <w:sz w:val="50"/>
          <w:szCs w:val="50"/>
          <w:color w:val="0B3C61"/>
        </w:rPr>
        <w:t>Information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5966460" cy="5746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66460" cy="574675"/>
                    </a:xfrm>
                    <a:prstGeom prst="rect">
                      <a:avLst/>
                    </a:prstGeom>
                    <a:noFill/>
                  </pic:spPr>
                </pic:pic>
              </a:graphicData>
            </a:graphic>
          </wp:anchor>
        </w:drawing>
      </w:r>
    </w:p>
    <w:p>
      <w:pPr>
        <w:spacing w:after="0" w:line="79"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color w:val="54565B"/>
        </w:rPr>
        <w:t>Important Notice Regarding the Availability of Proxy Materials for the Annual Meeting of Shareholders to Be Held on Wednesday, May 20, 2026. The Proxy Statement and Annual Report to Shareholders and Form 10-K are available at www.AFGinc.com.</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Why did I receive these proxy materials?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6"/>
          <w:szCs w:val="16"/>
          <w:color w:val="54565B"/>
        </w:rPr>
        <w:t>You received a copy of this proxy statement (or a notice of internet availability of proxy materials) because you owned shares of our stock on March 27, 2026, the record date, and that entitles you to vote at the annual meeting. This proxy statement describes the matters to be voted on at the meeting and provides information on those matters. It also provides certain information about the Company that we must disclose to you when the Board solicits your proxy.</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What is the record date and what does it mean?</w:t>
      </w:r>
    </w:p>
    <w:p>
      <w:pPr>
        <w:spacing w:after="0" w:line="85"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54565B"/>
        </w:rPr>
        <w:t>The Board established March 27, 2026, as the record date for the annual meeting of shareholders to be held on May 20, 2026. Shareholders who own common shares of the Company at the close of business on the record date are entitled to notice of and to vote at the annual meeting.</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Why are you holding a virtual annual meeting?</w:t>
      </w:r>
    </w:p>
    <w:p>
      <w:pPr>
        <w:spacing w:after="0" w:line="8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54565B"/>
        </w:rPr>
        <w:t>The annual meeting will be a virtual meeting of shareholders held via a live audio webcast. Our goal for the annual meeting is to enable the largest number of shareholders to participate in the meeting, while providing shareholders with substantially the same access and opportunities to participate as an in-person meeting while reducing the cost to shareholders and the Company. We will have technical support available for all participants during the meeting. Technical support information can be found on the sign-in page for the meeting at www.virtualshareholdermeeting.com/AFG2026. If you have difficulties accessing the virtual meeting of shareholders during check-in or during the meeting, please call the technical support number listed on the annual meeting sign-in page.</w:t>
      </w:r>
    </w:p>
    <w:p>
      <w:pPr>
        <w:spacing w:after="0" w:line="140" w:lineRule="exact"/>
        <w:rPr>
          <w:sz w:val="20"/>
          <w:szCs w:val="20"/>
          <w:color w:val="auto"/>
        </w:rPr>
      </w:pPr>
    </w:p>
    <w:p>
      <w:pPr>
        <w:ind w:right="240"/>
        <w:spacing w:after="0" w:line="272" w:lineRule="auto"/>
        <w:rPr>
          <w:sz w:val="20"/>
          <w:szCs w:val="20"/>
          <w:color w:val="auto"/>
        </w:rPr>
      </w:pPr>
      <w:r>
        <w:rPr>
          <w:rFonts w:ascii="Arial" w:cs="Arial" w:eastAsia="Arial" w:hAnsi="Arial"/>
          <w:sz w:val="22"/>
          <w:szCs w:val="22"/>
          <w:b w:val="1"/>
          <w:bCs w:val="1"/>
          <w:color w:val="54565B"/>
        </w:rPr>
        <w:t>Why did I receive a one-page notice in the mail regarding the internet availability of proxy materials instead of a full set of the printed proxy materials?</w:t>
      </w:r>
    </w:p>
    <w:p>
      <w:pPr>
        <w:spacing w:after="0" w:line="8"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54565B"/>
        </w:rPr>
        <w:t>We are making this proxy statement and our annual report available to our shareholders electronically via the Internet. We believe this delivery method expedites your receipt of materials, while also lowering costs of our annual meeting. The notice of electronic availability contains instructions on how to access this proxy statement and our annual report and how to vote online.</w:t>
      </w:r>
    </w:p>
    <w:p>
      <w:pPr>
        <w:spacing w:after="0" w:line="50"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54565B"/>
        </w:rPr>
        <w:t>If you received a notice by mail, you will not receive a printed copy of the proxy materials unless you request one in accordance with the instructions provided in the notice. The notice has been mailed to shareholders on or about April 3, 2026, and provides instructions on how you may access the proxy materials on the Internet.</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How do I attend the annual meeting?</w:t>
      </w:r>
    </w:p>
    <w:p>
      <w:pPr>
        <w:spacing w:after="0" w:line="9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54565B"/>
        </w:rPr>
        <w:t>If your shares are registered in your name, you will need to provide your 16-digit control number included on your notice or your proxy card (if you receive a printed copy of the proxy materials) in order to be able to participate in the meeting. If your shares are not registered in your name (if, for instance, your shares are held in “street name” for you by your broker, bank or other institution), you must follow the instructions printed on your Voting Instruction Form. In order to participate in the annual meeting, please log on to www.virtualshareholdermeeting.com/AFG2026 at least 15 minutes prior to the start of the annual meeting to provide time to register and download the required software, if needed. If you access the meeting but do not enter your control number, you will be able to listen to the proceedings, but you will not be able to vote or otherwise participate.</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3"/>
          <w:szCs w:val="13"/>
          <w:color w:val="0B3C61"/>
        </w:rPr>
        <w:t xml:space="preserve">2026 Proxy Statement | American Financial Group   </w:t>
      </w:r>
      <w:r>
        <w:rPr>
          <w:rFonts w:ascii="Arial" w:cs="Arial" w:eastAsia="Arial" w:hAnsi="Arial"/>
          <w:sz w:val="13"/>
          <w:szCs w:val="13"/>
          <w:b w:val="1"/>
          <w:bCs w:val="1"/>
          <w:color w:val="EA1D2D"/>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INFORMATION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How do I submit a question at the annual meeting?</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6"/>
          <w:szCs w:val="16"/>
          <w:color w:val="54565B"/>
        </w:rPr>
        <w:t>Following the business of the annual meeting, we answer questions submitted by shareholders. Once you have logged into the webcast at www.virtualshareholdermeeting.com/AFG2026, simply type your question in the “ask a question” box and click “submit.” You can submit a question beginning 15 minutes prior to the start of the annual meeting and until the time we indicate that the question-and-answer session is concluded.</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Why did I receive more than one proxy card?</w:t>
      </w:r>
    </w:p>
    <w:p>
      <w:pPr>
        <w:spacing w:after="0" w:line="8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54565B"/>
        </w:rPr>
        <w:t>You will receive multiple proxy cards if you hold your common shares in different ways (</w:t>
      </w:r>
      <w:r>
        <w:rPr>
          <w:rFonts w:ascii="Arial" w:cs="Arial" w:eastAsia="Arial" w:hAnsi="Arial"/>
          <w:sz w:val="16"/>
          <w:szCs w:val="16"/>
          <w:i w:val="1"/>
          <w:iCs w:val="1"/>
          <w:color w:val="54565B"/>
        </w:rPr>
        <w:t>e.g.</w:t>
      </w:r>
      <w:r>
        <w:rPr>
          <w:rFonts w:ascii="Arial" w:cs="Arial" w:eastAsia="Arial" w:hAnsi="Arial"/>
          <w:sz w:val="16"/>
          <w:szCs w:val="16"/>
          <w:color w:val="54565B"/>
        </w:rPr>
        <w:t>, trusts, custodial accounts, joint tenancy) or in multiple accounts. If your common shares are held by a broker or bank (</w:t>
      </w:r>
      <w:r>
        <w:rPr>
          <w:rFonts w:ascii="Arial" w:cs="Arial" w:eastAsia="Arial" w:hAnsi="Arial"/>
          <w:sz w:val="16"/>
          <w:szCs w:val="16"/>
          <w:i w:val="1"/>
          <w:iCs w:val="1"/>
          <w:color w:val="54565B"/>
        </w:rPr>
        <w:t>i.e.</w:t>
      </w:r>
      <w:r>
        <w:rPr>
          <w:rFonts w:ascii="Arial" w:cs="Arial" w:eastAsia="Arial" w:hAnsi="Arial"/>
          <w:sz w:val="16"/>
          <w:szCs w:val="16"/>
          <w:color w:val="54565B"/>
        </w:rPr>
        <w:t>, in “street name”), you will receive your proxy card and other voting information from your broker, bank, trust, or other nominee. It is important that you complete, sign, date, and return each proxy card you receive, or vote using the telephone, or by using the Internet (as described in the instructions included with your proxy card(s) or in the notice).</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How many common shares are entitled to vote at the annual meeting?</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54565B"/>
        </w:rPr>
        <w:t>As of the record date, there were 83,086,295 common shares outstanding and eligible to vote.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How many votes must be present to hold the annual meeting?</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6"/>
          <w:szCs w:val="16"/>
          <w:color w:val="54565B"/>
        </w:rPr>
        <w:t>A majority of the Company’s outstanding common shares as of the record date must be present in order for us to hold the annual meeting. This is called a quorum. Broker “non-votes” and abstentions are counted as present for purposes of determining whether a quorum exists. A broker “non-vote” occurs when a broker, bank or other nominee holding shares for a beneficial owner does not vote on a particular proposal because the broker, bank or other nominee does not have discretionary voting power for the particular item and has not received voting instructions from the beneficial owner.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What vote is required to approve each proposal?</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54565B"/>
        </w:rPr>
        <w:t>Shareholders are entitled to one vote per common share on all matters submitted for consideration at the annual meeting.</w:t>
      </w:r>
    </w:p>
    <w:p>
      <w:pPr>
        <w:spacing w:after="0" w:line="100"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54565B"/>
        </w:rPr>
        <w:t xml:space="preserve">The 12 nominees receiving the most votes will be elected under Ohio law, but pursuant to our Regulations, any director-nominee who fails to receive a majority of votes cast must tender his or her resignation to the Board, and the resignation will be considered by the Board and the Corporate Governance Committee as set forth on page </w:t>
      </w:r>
      <w:r>
        <w:rPr>
          <w:rFonts w:ascii="Arial" w:cs="Arial" w:eastAsia="Arial" w:hAnsi="Arial"/>
          <w:sz w:val="16"/>
          <w:szCs w:val="16"/>
          <w:u w:val="single" w:color="auto"/>
          <w:color w:val="0000EE"/>
        </w:rPr>
        <w:t>29</w:t>
      </w:r>
      <w:r>
        <w:rPr>
          <w:rFonts w:ascii="Arial" w:cs="Arial" w:eastAsia="Arial" w:hAnsi="Arial"/>
          <w:sz w:val="16"/>
          <w:szCs w:val="16"/>
          <w:color w:val="54565B"/>
        </w:rPr>
        <w:t xml:space="preserve"> above under “Corporate Governance—Majority Voting for Directors.” Therefore, a withhold vote will be treated as a vote against the nominee for the purpose of the vote required under our Regulations.</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6"/>
          <w:szCs w:val="16"/>
          <w:color w:val="54565B"/>
        </w:rPr>
        <w:t>The affirmative vote of a majority of the common shares represented in person or by proxy at the annual meeting is required for the non-binding ratification of appointment of Ernst &amp; Young LLP as the Company’s independent registered public accounting firm for the year ending December 31, 2026, and approval of the advisory vote to approve named executive officers’ compensation. Abstentions and broker non-votes will not count as a vote for or against either of these proposals.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Where will I be able to find voting results of the annual meeting?</w:t>
      </w:r>
    </w:p>
    <w:p>
      <w:pPr>
        <w:spacing w:after="0" w:line="8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54565B"/>
        </w:rPr>
        <w:t>We will announce preliminary voting results at the annual meeting. We will also publish final voting results in a Current Report on Form 8-K to be filed with the SEC within four business days after the annual meeting.</w:t>
      </w:r>
    </w:p>
    <w:p>
      <w:pPr>
        <w:spacing w:after="0" w:line="260"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68 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EA1D2D"/>
        </w:rPr>
        <w:t>INFORMATION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How do I vote my common shares?</w:t>
      </w:r>
    </w:p>
    <w:p>
      <w:pPr>
        <w:spacing w:after="0" w:line="85" w:lineRule="exact"/>
        <w:rPr>
          <w:sz w:val="20"/>
          <w:szCs w:val="20"/>
          <w:color w:val="auto"/>
        </w:rPr>
      </w:pPr>
    </w:p>
    <w:p>
      <w:pPr>
        <w:ind w:left="540" w:right="360" w:hanging="354"/>
        <w:spacing w:after="0" w:line="286" w:lineRule="auto"/>
        <w:tabs>
          <w:tab w:leader="none" w:pos="540" w:val="left"/>
        </w:tabs>
        <w:numPr>
          <w:ilvl w:val="0"/>
          <w:numId w:val="35"/>
        </w:numPr>
        <w:rPr>
          <w:rFonts w:ascii="Arial" w:cs="Arial" w:eastAsia="Arial" w:hAnsi="Arial"/>
          <w:sz w:val="16"/>
          <w:szCs w:val="16"/>
          <w:color w:val="54565B"/>
        </w:rPr>
      </w:pPr>
      <w:r>
        <w:rPr>
          <w:rFonts w:ascii="Arial" w:cs="Arial" w:eastAsia="Arial" w:hAnsi="Arial"/>
          <w:sz w:val="16"/>
          <w:szCs w:val="16"/>
          <w:i w:val="1"/>
          <w:iCs w:val="1"/>
          <w:color w:val="54565B"/>
        </w:rPr>
        <w:t>Via Internet</w:t>
      </w:r>
      <w:r>
        <w:rPr>
          <w:rFonts w:ascii="Arial" w:cs="Arial" w:eastAsia="Arial" w:hAnsi="Arial"/>
          <w:sz w:val="16"/>
          <w:szCs w:val="16"/>
          <w:color w:val="54565B"/>
        </w:rPr>
        <w:t>: Go to www.proxyvote.com to vote via the Internet. You will need to follow the instructions on your notice or</w:t>
      </w:r>
      <w:r>
        <w:rPr>
          <w:rFonts w:ascii="Arial" w:cs="Arial" w:eastAsia="Arial" w:hAnsi="Arial"/>
          <w:sz w:val="16"/>
          <w:szCs w:val="16"/>
          <w:i w:val="1"/>
          <w:iCs w:val="1"/>
          <w:color w:val="54565B"/>
        </w:rPr>
        <w:t xml:space="preserve"> </w:t>
      </w:r>
      <w:r>
        <w:rPr>
          <w:rFonts w:ascii="Arial" w:cs="Arial" w:eastAsia="Arial" w:hAnsi="Arial"/>
          <w:sz w:val="16"/>
          <w:szCs w:val="16"/>
          <w:color w:val="54565B"/>
        </w:rPr>
        <w:t>proxy card and the website. If you vote via the Internet, you may incur telephone and Internet access charges.</w:t>
      </w:r>
    </w:p>
    <w:p>
      <w:pPr>
        <w:spacing w:after="0" w:line="34" w:lineRule="exact"/>
        <w:rPr>
          <w:rFonts w:ascii="Arial" w:cs="Arial" w:eastAsia="Arial" w:hAnsi="Arial"/>
          <w:sz w:val="16"/>
          <w:szCs w:val="16"/>
          <w:color w:val="54565B"/>
        </w:rPr>
      </w:pPr>
    </w:p>
    <w:p>
      <w:pPr>
        <w:ind w:left="540" w:right="220" w:hanging="354"/>
        <w:spacing w:after="0" w:line="286" w:lineRule="auto"/>
        <w:tabs>
          <w:tab w:leader="none" w:pos="540" w:val="left"/>
        </w:tabs>
        <w:numPr>
          <w:ilvl w:val="0"/>
          <w:numId w:val="35"/>
        </w:numPr>
        <w:rPr>
          <w:rFonts w:ascii="Arial" w:cs="Arial" w:eastAsia="Arial" w:hAnsi="Arial"/>
          <w:sz w:val="16"/>
          <w:szCs w:val="16"/>
          <w:color w:val="54565B"/>
        </w:rPr>
      </w:pPr>
      <w:r>
        <w:rPr>
          <w:rFonts w:ascii="Arial" w:cs="Arial" w:eastAsia="Arial" w:hAnsi="Arial"/>
          <w:sz w:val="16"/>
          <w:szCs w:val="16"/>
          <w:i w:val="1"/>
          <w:iCs w:val="1"/>
          <w:color w:val="54565B"/>
        </w:rPr>
        <w:t>By Telephone</w:t>
      </w:r>
      <w:r>
        <w:rPr>
          <w:rFonts w:ascii="Arial" w:cs="Arial" w:eastAsia="Arial" w:hAnsi="Arial"/>
          <w:sz w:val="16"/>
          <w:szCs w:val="16"/>
          <w:color w:val="54565B"/>
        </w:rPr>
        <w:t>: Call the toll-free telephone number on the proxy card or the website to vote by telephone. You will need to</w:t>
      </w:r>
      <w:r>
        <w:rPr>
          <w:rFonts w:ascii="Arial" w:cs="Arial" w:eastAsia="Arial" w:hAnsi="Arial"/>
          <w:sz w:val="16"/>
          <w:szCs w:val="16"/>
          <w:i w:val="1"/>
          <w:iCs w:val="1"/>
          <w:color w:val="54565B"/>
        </w:rPr>
        <w:t xml:space="preserve"> </w:t>
      </w:r>
      <w:r>
        <w:rPr>
          <w:rFonts w:ascii="Arial" w:cs="Arial" w:eastAsia="Arial" w:hAnsi="Arial"/>
          <w:sz w:val="16"/>
          <w:szCs w:val="16"/>
          <w:color w:val="54565B"/>
        </w:rPr>
        <w:t>follow the instructions and the voice prompts.</w:t>
      </w:r>
    </w:p>
    <w:p>
      <w:pPr>
        <w:spacing w:after="0" w:line="34" w:lineRule="exact"/>
        <w:rPr>
          <w:rFonts w:ascii="Arial" w:cs="Arial" w:eastAsia="Arial" w:hAnsi="Arial"/>
          <w:sz w:val="16"/>
          <w:szCs w:val="16"/>
          <w:color w:val="54565B"/>
        </w:rPr>
      </w:pPr>
    </w:p>
    <w:p>
      <w:pPr>
        <w:ind w:left="540" w:hanging="354"/>
        <w:spacing w:after="0"/>
        <w:tabs>
          <w:tab w:leader="none" w:pos="540" w:val="left"/>
        </w:tabs>
        <w:numPr>
          <w:ilvl w:val="0"/>
          <w:numId w:val="35"/>
        </w:numPr>
        <w:rPr>
          <w:rFonts w:ascii="Arial" w:cs="Arial" w:eastAsia="Arial" w:hAnsi="Arial"/>
          <w:sz w:val="16"/>
          <w:szCs w:val="16"/>
          <w:color w:val="54565B"/>
        </w:rPr>
      </w:pPr>
      <w:r>
        <w:rPr>
          <w:rFonts w:ascii="Arial" w:cs="Arial" w:eastAsia="Arial" w:hAnsi="Arial"/>
          <w:sz w:val="16"/>
          <w:szCs w:val="16"/>
          <w:i w:val="1"/>
          <w:iCs w:val="1"/>
          <w:color w:val="54565B"/>
        </w:rPr>
        <w:t>By Mail</w:t>
      </w:r>
      <w:r>
        <w:rPr>
          <w:rFonts w:ascii="Arial" w:cs="Arial" w:eastAsia="Arial" w:hAnsi="Arial"/>
          <w:sz w:val="16"/>
          <w:szCs w:val="16"/>
          <w:color w:val="54565B"/>
        </w:rPr>
        <w:t>: Request, complete and return a paper proxy card, following the instructions on your notice.</w:t>
      </w:r>
    </w:p>
    <w:p>
      <w:pPr>
        <w:spacing w:after="0" w:line="86" w:lineRule="exact"/>
        <w:rPr>
          <w:rFonts w:ascii="Arial" w:cs="Arial" w:eastAsia="Arial" w:hAnsi="Arial"/>
          <w:sz w:val="16"/>
          <w:szCs w:val="16"/>
          <w:color w:val="54565B"/>
        </w:rPr>
      </w:pPr>
    </w:p>
    <w:p>
      <w:pPr>
        <w:ind w:left="540" w:hanging="354"/>
        <w:spacing w:after="0"/>
        <w:tabs>
          <w:tab w:leader="none" w:pos="540" w:val="left"/>
        </w:tabs>
        <w:numPr>
          <w:ilvl w:val="0"/>
          <w:numId w:val="35"/>
        </w:numPr>
        <w:rPr>
          <w:rFonts w:ascii="Arial" w:cs="Arial" w:eastAsia="Arial" w:hAnsi="Arial"/>
          <w:sz w:val="16"/>
          <w:szCs w:val="16"/>
          <w:color w:val="54565B"/>
        </w:rPr>
      </w:pPr>
      <w:r>
        <w:rPr>
          <w:rFonts w:ascii="Arial" w:cs="Arial" w:eastAsia="Arial" w:hAnsi="Arial"/>
          <w:sz w:val="16"/>
          <w:szCs w:val="16"/>
          <w:i w:val="1"/>
          <w:iCs w:val="1"/>
          <w:color w:val="54565B"/>
        </w:rPr>
        <w:t>At the Meeting</w:t>
      </w:r>
      <w:r>
        <w:rPr>
          <w:rFonts w:ascii="Arial" w:cs="Arial" w:eastAsia="Arial" w:hAnsi="Arial"/>
          <w:sz w:val="16"/>
          <w:szCs w:val="16"/>
          <w:color w:val="54565B"/>
        </w:rPr>
        <w:t>: Vote electronically during the annual meeting at www.virtualshareholdermeeting.com/AFG2026.</w:t>
      </w:r>
    </w:p>
    <w:p>
      <w:pPr>
        <w:spacing w:after="0" w:line="10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54565B"/>
        </w:rPr>
        <w:t>If you vote via the Internet or by telephone, your electronic vote authorizes the named proxies in the same manner as if you signed, dated and returned your proxy card. If you vote via the Internet or by telephone, do not return your proxy card.</w:t>
      </w:r>
    </w:p>
    <w:p>
      <w:pPr>
        <w:spacing w:after="0" w:line="34"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54565B"/>
        </w:rPr>
        <w:t>If your shares are held in “street name” (that is, in the name of a bank, broker or other holder of record), you will receive instructions from the holder of record that you must follow in order for your shares to be voted, or you may request the record holder to issue you a proxy covering your shares.</w:t>
      </w:r>
    </w:p>
    <w:p>
      <w:pPr>
        <w:spacing w:after="0" w:line="116" w:lineRule="exact"/>
        <w:rPr>
          <w:sz w:val="20"/>
          <w:szCs w:val="20"/>
          <w:color w:val="auto"/>
        </w:rPr>
      </w:pPr>
    </w:p>
    <w:p>
      <w:pPr>
        <w:ind w:right="300"/>
        <w:spacing w:after="0" w:line="272" w:lineRule="auto"/>
        <w:rPr>
          <w:sz w:val="20"/>
          <w:szCs w:val="20"/>
          <w:color w:val="auto"/>
        </w:rPr>
      </w:pPr>
      <w:r>
        <w:rPr>
          <w:rFonts w:ascii="Arial" w:cs="Arial" w:eastAsia="Arial" w:hAnsi="Arial"/>
          <w:sz w:val="22"/>
          <w:szCs w:val="22"/>
          <w:b w:val="1"/>
          <w:bCs w:val="1"/>
          <w:color w:val="54565B"/>
        </w:rPr>
        <w:t>Can I change my vote after I have mailed in my proxy card(s) or submitted my vote using the Internet or telephone?</w:t>
      </w:r>
    </w:p>
    <w:p>
      <w:pPr>
        <w:spacing w:after="0" w:line="21" w:lineRule="exact"/>
        <w:rPr>
          <w:sz w:val="20"/>
          <w:szCs w:val="20"/>
          <w:color w:val="auto"/>
        </w:rPr>
      </w:pPr>
    </w:p>
    <w:p>
      <w:pPr>
        <w:jc w:val="both"/>
        <w:ind w:right="600"/>
        <w:spacing w:after="0" w:line="266" w:lineRule="auto"/>
        <w:rPr>
          <w:sz w:val="20"/>
          <w:szCs w:val="20"/>
          <w:color w:val="auto"/>
        </w:rPr>
      </w:pPr>
      <w:r>
        <w:rPr>
          <w:rFonts w:ascii="Arial" w:cs="Arial" w:eastAsia="Arial" w:hAnsi="Arial"/>
          <w:sz w:val="16"/>
          <w:szCs w:val="16"/>
          <w:color w:val="54565B"/>
        </w:rPr>
        <w:t>Yes, whether you vote by mail, via the Internet or by telephone, you may revoke your proxy at any time before it is voted by submitting a new proxy with a later date, voting via the Internet or by telephone at a later time, delivering a written notice of revocation to the Company’s Secretary, as follows, or by voting in person at the meeting:</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54565B"/>
        </w:rPr>
        <w:t>Joseph C. Alter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54565B"/>
        </w:rPr>
        <w:t>Vice President, Deputy General Counsel &amp; Secretary</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54565B"/>
        </w:rPr>
        <w:t>American Financial Group, Inc.</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54565B"/>
        </w:rPr>
        <w:t>Great American Insurance Group Tower</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54565B"/>
        </w:rPr>
        <w:t>301 East Fourth Street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54565B"/>
        </w:rPr>
        <w:t>Cincinnati, Ohio 45202</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What if I hold shares through the Company’s 401(k) Retirement and Savings Plan?</w:t>
      </w:r>
    </w:p>
    <w:p>
      <w:pPr>
        <w:spacing w:after="0" w:line="8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54565B"/>
        </w:rPr>
        <w:t>If you are a participant in the Company’s 401(k) Retirement and Savings Plan (RASP) with a balance in the AFG Common Stock Fund, the accompanying proxy card shows the number of common shares attributed to your RASP account balance, calculated as of the record date. In order for your RASP shares to be voted in your discretion, you must vote by the end of the day on May 17, 2026, either by Internet, telephone, or returned properly signed proxy card. If you choose not to vote or if you return an invalid or unvoted proxy card, the Administrative Plan Committee, consisting of current or former senior officers of the Company, will vote your RASP shares in the Committee’s sole discretion. It has been the practice of the Administrative Plan Committee to vote all such shares in accordance with Board recommendations. Plan participants’ votes will be processed by the plan trustee and will not be disclosed to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How will my proxy be voted?</w:t>
      </w:r>
    </w:p>
    <w:p>
      <w:pPr>
        <w:spacing w:after="0" w:line="85"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54565B"/>
        </w:rPr>
        <w:t>If you complete, sign, date, and return your proxy card(s) or vote by telephone or by using the Internet, your proxy will be voted in accordance with your instructions. If you sign and date your proxy card(s) but do not indicate how you want to vote, your common shares will be voted as the Board recommends.</w:t>
      </w:r>
    </w:p>
    <w:p>
      <w:pPr>
        <w:spacing w:after="0" w:line="211" w:lineRule="exact"/>
        <w:rPr>
          <w:sz w:val="20"/>
          <w:szCs w:val="20"/>
          <w:color w:val="auto"/>
        </w:rPr>
      </w:pPr>
    </w:p>
    <w:p>
      <w:pPr>
        <w:ind w:right="1420"/>
        <w:spacing w:after="0" w:line="272" w:lineRule="auto"/>
        <w:rPr>
          <w:sz w:val="20"/>
          <w:szCs w:val="20"/>
          <w:color w:val="auto"/>
        </w:rPr>
      </w:pPr>
      <w:r>
        <w:rPr>
          <w:rFonts w:ascii="Arial" w:cs="Arial" w:eastAsia="Arial" w:hAnsi="Arial"/>
          <w:sz w:val="22"/>
          <w:szCs w:val="22"/>
          <w:b w:val="1"/>
          <w:bCs w:val="1"/>
          <w:color w:val="54565B"/>
        </w:rPr>
        <w:t>What is the difference between a “registered shareholder” and a “street name shareholder”?</w:t>
      </w:r>
    </w:p>
    <w:p>
      <w:pPr>
        <w:spacing w:after="0" w:line="8"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54565B"/>
        </w:rPr>
        <w:t>These terms describe how your common shares are held. If your common shares are registered directly in your name with Broadridge Corporate Issuer Solutions, our transfer agent, you are a “registered shareholder.” If your common shares are held in the name of a broker, bank or other nominee as a custodian, you are a “street name shareholder.”</w:t>
      </w:r>
    </w:p>
    <w:p>
      <w:pPr>
        <w:spacing w:after="0" w:line="275" w:lineRule="exact"/>
        <w:rPr>
          <w:sz w:val="20"/>
          <w:szCs w:val="20"/>
          <w:color w:val="auto"/>
        </w:rPr>
      </w:pPr>
    </w:p>
    <w:p>
      <w:pPr>
        <w:ind w:left="6360"/>
        <w:spacing w:after="0"/>
        <w:rPr>
          <w:sz w:val="20"/>
          <w:szCs w:val="20"/>
          <w:color w:val="auto"/>
        </w:rPr>
      </w:pPr>
      <w:r>
        <w:rPr>
          <w:rFonts w:ascii="Arial" w:cs="Arial" w:eastAsia="Arial" w:hAnsi="Arial"/>
          <w:sz w:val="12"/>
          <w:szCs w:val="12"/>
          <w:color w:val="0B3C61"/>
        </w:rPr>
        <w:t xml:space="preserve">2026 Proxy Statement | American Financial Group   </w:t>
      </w:r>
      <w:r>
        <w:rPr>
          <w:rFonts w:ascii="Arial" w:cs="Arial" w:eastAsia="Arial" w:hAnsi="Arial"/>
          <w:sz w:val="12"/>
          <w:szCs w:val="12"/>
          <w:b w:val="1"/>
          <w:bCs w:val="1"/>
          <w:color w:val="EA1D2D"/>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163830</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EA1D2D"/>
        </w:rPr>
        <w:t>INFORMATION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right="680"/>
        <w:spacing w:after="0" w:line="272" w:lineRule="auto"/>
        <w:rPr>
          <w:sz w:val="20"/>
          <w:szCs w:val="20"/>
          <w:color w:val="auto"/>
        </w:rPr>
      </w:pPr>
      <w:r>
        <w:rPr>
          <w:rFonts w:ascii="Arial" w:cs="Arial" w:eastAsia="Arial" w:hAnsi="Arial"/>
          <w:sz w:val="22"/>
          <w:szCs w:val="22"/>
          <w:b w:val="1"/>
          <w:bCs w:val="1"/>
          <w:color w:val="54565B"/>
        </w:rPr>
        <w:t>What if my common shares are held in “street name” through a broker, bank or other nominee?</w:t>
      </w:r>
    </w:p>
    <w:p>
      <w:pPr>
        <w:spacing w:after="0" w:line="8"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54565B"/>
        </w:rPr>
        <w:t>If your common shares are held in “street name” through a broker, bank or other nominee, you are considered the beneficial owner of those common shares, but not the record holder. As a beneficial owner, in order to ensure your shares are voted in the way you would like, you must provide voting instructions to your broker by the deadline provided in the proxy materials you receive from your broker. Under the rules of the NYSE, unless you provide specific voting instructions, your broker is not permitted to vote your shares on your behalf, except with respect to routine proposals. The ratification of the appointment of our independent registered public accounting firm (Proposal 2) constitutes a routine proposal. For your vote on any other matter to be counted, you will need to provide voting instructions to your broker before the date of the 2026 annual meeting using the instructions provided by your broker.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What are the Board’s recommendations on how I should vote my common shares?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54565B"/>
        </w:rPr>
        <w:t>The Board recommends that you vote your common shares as follows:</w:t>
      </w:r>
    </w:p>
    <w:p>
      <w:pPr>
        <w:spacing w:after="0" w:line="113" w:lineRule="exact"/>
        <w:rPr>
          <w:sz w:val="20"/>
          <w:szCs w:val="20"/>
          <w:color w:val="auto"/>
        </w:rPr>
      </w:pPr>
    </w:p>
    <w:p>
      <w:pPr>
        <w:ind w:left="360" w:hanging="174"/>
        <w:spacing w:after="0"/>
        <w:tabs>
          <w:tab w:leader="none" w:pos="360" w:val="left"/>
        </w:tabs>
        <w:numPr>
          <w:ilvl w:val="0"/>
          <w:numId w:val="36"/>
        </w:numPr>
        <w:rPr>
          <w:rFonts w:ascii="Arial" w:cs="Arial" w:eastAsia="Arial" w:hAnsi="Arial"/>
          <w:sz w:val="16"/>
          <w:szCs w:val="16"/>
          <w:color w:val="54565B"/>
        </w:rPr>
      </w:pPr>
      <w:r>
        <w:rPr>
          <w:rFonts w:ascii="Arial" w:cs="Arial" w:eastAsia="Arial" w:hAnsi="Arial"/>
          <w:sz w:val="16"/>
          <w:szCs w:val="16"/>
          <w:color w:val="54565B"/>
        </w:rPr>
        <w:t>“FOR” the election of the 12 nominees proposed for the Board of Directors;</w:t>
      </w:r>
    </w:p>
    <w:p>
      <w:pPr>
        <w:spacing w:after="0" w:line="21" w:lineRule="exact"/>
        <w:rPr>
          <w:rFonts w:ascii="Arial" w:cs="Arial" w:eastAsia="Arial" w:hAnsi="Arial"/>
          <w:sz w:val="16"/>
          <w:szCs w:val="16"/>
          <w:color w:val="54565B"/>
        </w:rPr>
      </w:pPr>
    </w:p>
    <w:p>
      <w:pPr>
        <w:ind w:left="360" w:hanging="174"/>
        <w:spacing w:after="0"/>
        <w:tabs>
          <w:tab w:leader="none" w:pos="360" w:val="left"/>
        </w:tabs>
        <w:numPr>
          <w:ilvl w:val="0"/>
          <w:numId w:val="36"/>
        </w:numPr>
        <w:rPr>
          <w:rFonts w:ascii="Arial" w:cs="Arial" w:eastAsia="Arial" w:hAnsi="Arial"/>
          <w:sz w:val="16"/>
          <w:szCs w:val="16"/>
          <w:color w:val="54565B"/>
        </w:rPr>
      </w:pPr>
      <w:r>
        <w:rPr>
          <w:rFonts w:ascii="Arial" w:cs="Arial" w:eastAsia="Arial" w:hAnsi="Arial"/>
          <w:sz w:val="16"/>
          <w:szCs w:val="16"/>
          <w:color w:val="54565B"/>
        </w:rPr>
        <w:t>“FOR” the ratification of the appointment of our independent registered public accounting firm; and,</w:t>
      </w:r>
    </w:p>
    <w:p>
      <w:pPr>
        <w:spacing w:after="0" w:line="5" w:lineRule="exact"/>
        <w:rPr>
          <w:rFonts w:ascii="Arial" w:cs="Arial" w:eastAsia="Arial" w:hAnsi="Arial"/>
          <w:sz w:val="16"/>
          <w:szCs w:val="16"/>
          <w:color w:val="54565B"/>
        </w:rPr>
      </w:pPr>
    </w:p>
    <w:p>
      <w:pPr>
        <w:ind w:left="360" w:right="660" w:hanging="174"/>
        <w:spacing w:after="0" w:line="265" w:lineRule="auto"/>
        <w:tabs>
          <w:tab w:leader="none" w:pos="360" w:val="left"/>
        </w:tabs>
        <w:numPr>
          <w:ilvl w:val="0"/>
          <w:numId w:val="36"/>
        </w:numPr>
        <w:rPr>
          <w:rFonts w:ascii="Arial" w:cs="Arial" w:eastAsia="Arial" w:hAnsi="Arial"/>
          <w:sz w:val="16"/>
          <w:szCs w:val="16"/>
          <w:color w:val="54565B"/>
        </w:rPr>
      </w:pPr>
      <w:r>
        <w:rPr>
          <w:rFonts w:ascii="Arial" w:cs="Arial" w:eastAsia="Arial" w:hAnsi="Arial"/>
          <w:sz w:val="16"/>
          <w:szCs w:val="16"/>
          <w:color w:val="54565B"/>
        </w:rPr>
        <w:t>“FOR” the approval, on an advisory basis, of compensation of our named executive officers as disclosed in this proxy statement.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54565B"/>
        </w:rPr>
        <w:t>Do I have an opportunity to cumulate my votes for director nominees?</w:t>
      </w:r>
    </w:p>
    <w:p>
      <w:pPr>
        <w:spacing w:after="0" w:line="99" w:lineRule="exact"/>
        <w:rPr>
          <w:sz w:val="20"/>
          <w:szCs w:val="20"/>
          <w:color w:val="auto"/>
        </w:rPr>
      </w:pPr>
    </w:p>
    <w:p>
      <w:pPr>
        <w:spacing w:after="0" w:line="249" w:lineRule="auto"/>
        <w:rPr>
          <w:sz w:val="20"/>
          <w:szCs w:val="20"/>
          <w:color w:val="auto"/>
        </w:rPr>
      </w:pPr>
      <w:r>
        <w:rPr>
          <w:rFonts w:ascii="Arial" w:cs="Arial" w:eastAsia="Arial" w:hAnsi="Arial"/>
          <w:sz w:val="16"/>
          <w:szCs w:val="16"/>
          <w:color w:val="54565B"/>
        </w:rPr>
        <w:t>Cumulative voting allows a shareholder to multiply the number of shares owned on the record date by the number of directors to be elected and to cast the total for one nominee or distribute the votes among the nominees as the shareholder desires. Shareholders of the Company have cumulative voting rights in the election of directors if certain conditions are met. In order for cumulative voting to apply, notice of cumulative voting must be given in writing to the Company’s Secretary not less than 48 hours before the time fixed for the holding of the meeting. As of the date of this proxy statement, the Company has not received a notice from any shareholder requesting cumulative voting. If proper notice of cumulative voting is received by the Company, the 12 nominees who receive the greatest number of votes will be elected, subject to the tender of resignation and related procedures set forth above under, “What vote is required to approve each proposal” with respect to incumbent directors who fail to receive more votes in favor than votes withheld. The authority solicited by this proxy statement includes discretionary authority to cumulate votes in the election of directors. If cumulative voting is in effect with respect to the election of directors, the named proxies reserve the right to cumulate the votes represented by the proxies they receive and distribute such votes in accordance with their sole discretion, except that shareholders’ votes will not be cast for a nominee as to whom such shareholder instructs that such votes be cast “AGAINST” or “ABSTAIN.”</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EA1D2D"/>
        </w:rPr>
        <w:t xml:space="preserve">70   </w:t>
      </w:r>
      <w:r>
        <w:rPr>
          <w:rFonts w:ascii="Arial" w:cs="Arial" w:eastAsia="Arial" w:hAnsi="Arial"/>
          <w:sz w:val="13"/>
          <w:szCs w:val="13"/>
          <w:color w:val="0B3C61"/>
        </w:rPr>
        <w:t>2026 Proxy Statement | American Financial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222885</wp:posOffset>
            </wp:positionV>
            <wp:extent cx="59664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50"/>
          <w:szCs w:val="50"/>
          <w:color w:val="0B3C61"/>
        </w:rPr>
        <w:t>Other Matters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0B3C61"/>
        </w:rPr>
        <w:t>COPIES OF ANNUAL REPORT ON FORM 10-K</w:t>
      </w:r>
    </w:p>
    <w:p>
      <w:pPr>
        <w:spacing w:after="0" w:line="97"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54565B"/>
        </w:rPr>
        <w:t>The Company makes available on its website all of its filings that are made electronically with the Securities and Exchange Commission (“SEC”), including Forms 10-K, 10-Q and 8-K. To access these filings, go to the Company’s website (www.AFGinc.com), click on “Investor Relations” on the home page and select “Financial Information.” Copies of the Company’s Annual Report on Form 10-K for the year ended December 31, 2025, including financial statements and schedules, as filed with the SEC, are also available without charge to shareholders upon written request addressed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54565B"/>
        </w:rPr>
        <w:t>Investor Relations</w:t>
      </w:r>
    </w:p>
    <w:p>
      <w:pPr>
        <w:jc w:val="center"/>
        <w:spacing w:after="0" w:line="187" w:lineRule="auto"/>
        <w:rPr>
          <w:sz w:val="20"/>
          <w:szCs w:val="20"/>
          <w:color w:val="auto"/>
        </w:rPr>
      </w:pPr>
      <w:r>
        <w:rPr>
          <w:rFonts w:ascii="Arial" w:cs="Arial" w:eastAsia="Arial" w:hAnsi="Arial"/>
          <w:sz w:val="15"/>
          <w:szCs w:val="15"/>
          <w:color w:val="54565B"/>
        </w:rPr>
        <w:t>American Financial Group, Inc.</w:t>
      </w:r>
    </w:p>
    <w:p>
      <w:pPr>
        <w:jc w:val="center"/>
        <w:spacing w:after="0" w:line="188" w:lineRule="auto"/>
        <w:rPr>
          <w:sz w:val="20"/>
          <w:szCs w:val="20"/>
          <w:color w:val="auto"/>
        </w:rPr>
      </w:pPr>
      <w:r>
        <w:rPr>
          <w:rFonts w:ascii="Arial" w:cs="Arial" w:eastAsia="Arial" w:hAnsi="Arial"/>
          <w:sz w:val="15"/>
          <w:szCs w:val="15"/>
          <w:color w:val="54565B"/>
        </w:rPr>
        <w:t>Great American Insurance Group Tower</w:t>
      </w:r>
    </w:p>
    <w:p>
      <w:pPr>
        <w:jc w:val="center"/>
        <w:spacing w:after="0" w:line="188" w:lineRule="auto"/>
        <w:rPr>
          <w:sz w:val="20"/>
          <w:szCs w:val="20"/>
          <w:color w:val="auto"/>
        </w:rPr>
      </w:pPr>
      <w:r>
        <w:rPr>
          <w:rFonts w:ascii="Arial" w:cs="Arial" w:eastAsia="Arial" w:hAnsi="Arial"/>
          <w:sz w:val="15"/>
          <w:szCs w:val="15"/>
          <w:color w:val="54565B"/>
        </w:rPr>
        <w:t>301 East Fourth Street</w:t>
      </w:r>
    </w:p>
    <w:p>
      <w:pPr>
        <w:jc w:val="center"/>
        <w:spacing w:after="0"/>
        <w:rPr>
          <w:sz w:val="20"/>
          <w:szCs w:val="20"/>
          <w:color w:val="auto"/>
        </w:rPr>
      </w:pPr>
      <w:r>
        <w:rPr>
          <w:rFonts w:ascii="Arial" w:cs="Arial" w:eastAsia="Arial" w:hAnsi="Arial"/>
          <w:sz w:val="16"/>
          <w:szCs w:val="16"/>
          <w:color w:val="54565B"/>
        </w:rPr>
        <w:t>Cincinnati, Ohio 45202</w:t>
      </w:r>
    </w:p>
    <w:p>
      <w:pPr>
        <w:spacing w:after="0" w:line="368" w:lineRule="exact"/>
        <w:rPr>
          <w:sz w:val="20"/>
          <w:szCs w:val="20"/>
          <w:color w:val="auto"/>
        </w:rPr>
      </w:pPr>
    </w:p>
    <w:p>
      <w:pPr>
        <w:ind w:right="1080"/>
        <w:spacing w:after="0" w:line="259" w:lineRule="auto"/>
        <w:rPr>
          <w:sz w:val="20"/>
          <w:szCs w:val="20"/>
          <w:color w:val="auto"/>
        </w:rPr>
      </w:pPr>
      <w:r>
        <w:rPr>
          <w:rFonts w:ascii="Arial" w:cs="Arial" w:eastAsia="Arial" w:hAnsi="Arial"/>
          <w:sz w:val="22"/>
          <w:szCs w:val="22"/>
          <w:color w:val="0B3C61"/>
        </w:rPr>
        <w:t>SUBMITTING SHAREHOLDER PROPOSALS FOR THE 2027 ANNUAL MEETING OF SHAREHOLDERS</w:t>
      </w:r>
    </w:p>
    <w:p>
      <w:pPr>
        <w:spacing w:after="0" w:line="4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54565B"/>
        </w:rPr>
        <w:t>Under the rules and regulations of the SEC, any proposal that a shareholder of the Company intends to present at the annual meeting of shareholders to be held in 2027 and which such shareholder desires to have included in the Company’s proxy materials for such meeting must be received by the Secretary of the Company not less than 120 calendar days before the one-year anniversary date of this year’s proxy statement, or December 4, 2026. Our Regulations, as they may be amended from time to time, may contain additional requirements for matters to be properly presented at annual meetings of shareholders.</w:t>
      </w:r>
    </w:p>
    <w:p>
      <w:pPr>
        <w:spacing w:after="0" w:line="58" w:lineRule="exact"/>
        <w:rPr>
          <w:sz w:val="20"/>
          <w:szCs w:val="20"/>
          <w:color w:val="auto"/>
        </w:rPr>
      </w:pPr>
    </w:p>
    <w:p>
      <w:pPr>
        <w:ind w:right="540"/>
        <w:spacing w:after="0" w:line="266" w:lineRule="auto"/>
        <w:rPr>
          <w:sz w:val="20"/>
          <w:szCs w:val="20"/>
          <w:color w:val="auto"/>
        </w:rPr>
      </w:pPr>
      <w:r>
        <w:rPr>
          <w:rFonts w:ascii="Arial" w:cs="Arial" w:eastAsia="Arial" w:hAnsi="Arial"/>
          <w:sz w:val="16"/>
          <w:szCs w:val="16"/>
          <w:color w:val="54565B"/>
        </w:rPr>
        <w:t>The proxy card used by AFG for the annual meeting typically grants authority to management to vote in its discretion on any matters that come before the meeting for which adequate notice has not been received. In order for a notice to be deemed adequate for the 2027 annual meeting, it must be received by February 17, 2027.</w:t>
      </w:r>
    </w:p>
    <w:p>
      <w:pPr>
        <w:spacing w:after="0" w:line="36"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54565B"/>
        </w:rPr>
        <w:t>Shareholders wishing to nominate a director candidate must provide written notice at least 90 and not more than 120 days prior to the annual meeting to the Secretary of the Company setting forth or accompanied by: (1) certain biographical, stock ownership and investment intent disclosures about the proposed nominee as set forth in the Regulations; (2) certain biographical, stock ownership and hedging or similar activity disclosures about the shareholder giving the notice and specified persons associated with such shareholder as set forth in the Regulations; (3) verification of the accuracy or completeness of any nomination information at the Company’s request; (4) a statement that a nomination that is inaccurate or incomplete in any manner shall be disregarded; (5) a representation that the shareholder was a record holder of the Company’s voting stock and intended to appear, in person or by proxy, at the meeting to make the nomination; and (6) the consent of each such nominee to serve as director if elected.</w:t>
      </w:r>
    </w:p>
    <w:p>
      <w:pPr>
        <w:spacing w:after="0" w:line="61" w:lineRule="exact"/>
        <w:rPr>
          <w:sz w:val="20"/>
          <w:szCs w:val="20"/>
          <w:color w:val="auto"/>
        </w:rPr>
      </w:pPr>
    </w:p>
    <w:p>
      <w:pPr>
        <w:jc w:val="both"/>
        <w:ind w:right="340"/>
        <w:spacing w:after="0" w:line="266" w:lineRule="auto"/>
        <w:rPr>
          <w:sz w:val="20"/>
          <w:szCs w:val="20"/>
          <w:color w:val="auto"/>
        </w:rPr>
      </w:pPr>
      <w:r>
        <w:rPr>
          <w:rFonts w:ascii="Arial" w:cs="Arial" w:eastAsia="Arial" w:hAnsi="Arial"/>
          <w:sz w:val="16"/>
          <w:szCs w:val="16"/>
          <w:color w:val="54565B"/>
        </w:rPr>
        <w:t>In addition, to comply with the universal proxy rules, shareholders who intend to solicit proxies in support of director nominees other than the Company’s nominees at the 2027 annual meeting must provide notice that sets forth the information required by Rule 14a-19 under the Exchange Act no later than December 4, 2026.</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0B3C61"/>
        </w:rPr>
        <w:t xml:space="preserve">2026 Proxy Statement | American Financial Group   </w:t>
      </w:r>
      <w:r>
        <w:rPr>
          <w:rFonts w:ascii="Arial" w:cs="Arial" w:eastAsia="Arial" w:hAnsi="Arial"/>
          <w:sz w:val="13"/>
          <w:szCs w:val="13"/>
          <w:b w:val="1"/>
          <w:bCs w:val="1"/>
          <w:color w:val="EA1D2D"/>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3137535</wp:posOffset>
            </wp:positionV>
            <wp:extent cx="3368675" cy="17741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8675"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135255</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54565B"/>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54565B"/>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lvl w:ilvl="1">
      <w:lvlJc w:val="left"/>
      <w:lvlText w:val="☐"/>
      <w:numFmt w:val="bullet"/>
      <w:start w:val="1"/>
    </w:lvl>
  </w:abstractNum>
  <w:abstractNum w:abstractNumId="1">
    <w:nsid w:val="7C83E458"/>
    <w:multiLevelType w:val="hybridMultilevel"/>
    <w:lvl w:ilvl="0">
      <w:lvlJc w:val="left"/>
      <w:lvlText w:val="1"/>
      <w:numFmt w:val="bullet"/>
      <w:start w:val="1"/>
    </w:lvl>
  </w:abstractNum>
  <w:abstractNum w:abstractNumId="2">
    <w:nsid w:val="257130A3"/>
    <w:multiLevelType w:val="hybridMultilevel"/>
    <w:lvl w:ilvl="0">
      <w:lvlJc w:val="left"/>
      <w:lvlText w:val="2"/>
      <w:numFmt w:val="bullet"/>
      <w:start w:val="1"/>
    </w:lvl>
  </w:abstractNum>
  <w:abstractNum w:abstractNumId="3">
    <w:nsid w:val="62BBD95A"/>
    <w:multiLevelType w:val="hybridMultilevel"/>
    <w:lvl w:ilvl="0">
      <w:lvlJc w:val="left"/>
      <w:lvlText w:val="3"/>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6"/>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2"/>
    </w:lvl>
  </w:abstractNum>
  <w:abstractNum w:abstractNumId="21">
    <w:nsid w:val="2901D82"/>
    <w:multiLevelType w:val="hybridMultilevel"/>
    <w:lvl w:ilvl="0">
      <w:lvlJc w:val="left"/>
      <w:lvlText w:val="(%1)"/>
      <w:numFmt w:val="decimal"/>
      <w:start w:val="2"/>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3"/>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2026-04-03T08:04:29Z</dcterms:created>
  <dcterms:modified xsi:type="dcterms:W3CDTF">2026-04-03T08:04:29Z</dcterms:modified>
</cp:coreProperties>
</file>